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5EF95" w14:textId="77777777" w:rsidR="00C93A29" w:rsidRPr="0036127B" w:rsidRDefault="004D1292" w:rsidP="004D1292">
      <w:pPr>
        <w:autoSpaceDE w:val="0"/>
        <w:autoSpaceDN w:val="0"/>
        <w:adjustRightInd w:val="0"/>
        <w:jc w:val="center"/>
        <w:rPr>
          <w:b/>
          <w:color w:val="000000"/>
          <w:sz w:val="22"/>
          <w:szCs w:val="22"/>
        </w:rPr>
      </w:pPr>
      <w:commentRangeStart w:id="0"/>
      <w:proofErr w:type="spellStart"/>
      <w:r>
        <w:rPr>
          <w:b/>
          <w:color w:val="000000"/>
          <w:sz w:val="22"/>
          <w:szCs w:val="22"/>
        </w:rPr>
        <w:t>Biost</w:t>
      </w:r>
      <w:proofErr w:type="spellEnd"/>
      <w:r>
        <w:rPr>
          <w:b/>
          <w:color w:val="000000"/>
          <w:sz w:val="22"/>
          <w:szCs w:val="22"/>
        </w:rPr>
        <w:t xml:space="preserve"> </w:t>
      </w:r>
      <w:commentRangeEnd w:id="0"/>
      <w:r w:rsidR="00527DC4">
        <w:rPr>
          <w:rStyle w:val="CommentReference"/>
        </w:rPr>
        <w:commentReference w:id="0"/>
      </w:r>
      <w:r>
        <w:rPr>
          <w:b/>
          <w:color w:val="000000"/>
          <w:sz w:val="22"/>
          <w:szCs w:val="22"/>
        </w:rPr>
        <w:t>536</w:t>
      </w:r>
      <w:r w:rsidR="00C93A29" w:rsidRPr="0036127B">
        <w:rPr>
          <w:b/>
          <w:color w:val="000000"/>
          <w:sz w:val="22"/>
          <w:szCs w:val="22"/>
        </w:rPr>
        <w:t xml:space="preserve">: </w:t>
      </w:r>
      <w:r>
        <w:rPr>
          <w:b/>
          <w:color w:val="000000"/>
          <w:sz w:val="22"/>
          <w:szCs w:val="22"/>
        </w:rPr>
        <w:t>Categorical Data Analysis in Epidemiology</w:t>
      </w:r>
    </w:p>
    <w:p w14:paraId="57E50D1B" w14:textId="77777777" w:rsidR="00C93A29" w:rsidRPr="0036127B" w:rsidRDefault="004D1292" w:rsidP="0036127B">
      <w:pPr>
        <w:autoSpaceDE w:val="0"/>
        <w:autoSpaceDN w:val="0"/>
        <w:adjustRightInd w:val="0"/>
        <w:jc w:val="center"/>
        <w:rPr>
          <w:color w:val="000000"/>
          <w:sz w:val="22"/>
          <w:szCs w:val="22"/>
        </w:rPr>
      </w:pPr>
      <w:r>
        <w:rPr>
          <w:color w:val="000000"/>
          <w:sz w:val="22"/>
          <w:szCs w:val="22"/>
        </w:rPr>
        <w:t>Emerson, Fall 2013</w:t>
      </w:r>
    </w:p>
    <w:p w14:paraId="0934A6E5" w14:textId="77777777" w:rsidR="00C93A29" w:rsidRPr="0036127B" w:rsidRDefault="00C93A29" w:rsidP="00C93A29">
      <w:pPr>
        <w:autoSpaceDE w:val="0"/>
        <w:autoSpaceDN w:val="0"/>
        <w:adjustRightInd w:val="0"/>
        <w:jc w:val="center"/>
        <w:rPr>
          <w:b/>
          <w:color w:val="000000"/>
          <w:sz w:val="22"/>
          <w:szCs w:val="22"/>
        </w:rPr>
      </w:pPr>
    </w:p>
    <w:p w14:paraId="43F349C0" w14:textId="77777777" w:rsidR="00C93A29" w:rsidRPr="0036127B" w:rsidRDefault="00261CFB" w:rsidP="00C93A29">
      <w:pPr>
        <w:autoSpaceDE w:val="0"/>
        <w:autoSpaceDN w:val="0"/>
        <w:adjustRightInd w:val="0"/>
        <w:jc w:val="center"/>
        <w:rPr>
          <w:b/>
          <w:color w:val="000000"/>
          <w:sz w:val="22"/>
          <w:szCs w:val="22"/>
        </w:rPr>
      </w:pPr>
      <w:r>
        <w:rPr>
          <w:b/>
          <w:color w:val="000000"/>
          <w:sz w:val="22"/>
          <w:szCs w:val="22"/>
        </w:rPr>
        <w:t>Homework #3</w:t>
      </w:r>
    </w:p>
    <w:p w14:paraId="67612B2E" w14:textId="77777777" w:rsidR="00C93A29" w:rsidRPr="0036127B" w:rsidRDefault="00261CFB" w:rsidP="00C93A29">
      <w:pPr>
        <w:autoSpaceDE w:val="0"/>
        <w:autoSpaceDN w:val="0"/>
        <w:adjustRightInd w:val="0"/>
        <w:jc w:val="center"/>
        <w:rPr>
          <w:color w:val="000000"/>
          <w:sz w:val="22"/>
          <w:szCs w:val="22"/>
        </w:rPr>
      </w:pPr>
      <w:r>
        <w:rPr>
          <w:color w:val="000000"/>
          <w:sz w:val="22"/>
          <w:szCs w:val="22"/>
        </w:rPr>
        <w:t>November 21</w:t>
      </w:r>
      <w:r w:rsidR="004D1292">
        <w:rPr>
          <w:color w:val="000000"/>
          <w:sz w:val="22"/>
          <w:szCs w:val="22"/>
        </w:rPr>
        <w:t>, 2013</w:t>
      </w:r>
    </w:p>
    <w:p w14:paraId="15C27B26" w14:textId="77777777" w:rsidR="00C93A29" w:rsidRPr="0036127B" w:rsidRDefault="00C93A29" w:rsidP="00410B89">
      <w:pPr>
        <w:autoSpaceDE w:val="0"/>
        <w:autoSpaceDN w:val="0"/>
        <w:adjustRightInd w:val="0"/>
        <w:rPr>
          <w:b/>
          <w:color w:val="000000"/>
          <w:sz w:val="22"/>
          <w:szCs w:val="22"/>
        </w:rPr>
      </w:pPr>
    </w:p>
    <w:p w14:paraId="60FB28CF" w14:textId="77777777" w:rsidR="0036127B" w:rsidRDefault="00751474" w:rsidP="00261CFB">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4D1292">
        <w:rPr>
          <w:color w:val="000000"/>
          <w:sz w:val="22"/>
          <w:szCs w:val="22"/>
        </w:rPr>
        <w:t>submitted as an email attachment</w:t>
      </w:r>
      <w:r w:rsidRPr="0036127B">
        <w:rPr>
          <w:color w:val="000000"/>
          <w:sz w:val="22"/>
          <w:szCs w:val="22"/>
        </w:rPr>
        <w:t xml:space="preserve"> in </w:t>
      </w:r>
      <w:r w:rsidR="004D1292">
        <w:rPr>
          <w:color w:val="000000"/>
          <w:sz w:val="22"/>
          <w:szCs w:val="22"/>
        </w:rPr>
        <w:t>by 5pm</w:t>
      </w:r>
      <w:r w:rsidR="004514C0">
        <w:rPr>
          <w:color w:val="000000"/>
          <w:sz w:val="22"/>
          <w:szCs w:val="22"/>
        </w:rPr>
        <w:t xml:space="preserve"> on </w:t>
      </w:r>
      <w:r w:rsidR="00261CFB">
        <w:rPr>
          <w:color w:val="000000"/>
          <w:sz w:val="22"/>
          <w:szCs w:val="22"/>
        </w:rPr>
        <w:t>Wedne</w:t>
      </w:r>
      <w:r w:rsidR="004D1292">
        <w:rPr>
          <w:color w:val="000000"/>
          <w:sz w:val="22"/>
          <w:szCs w:val="22"/>
        </w:rPr>
        <w:t>s</w:t>
      </w:r>
      <w:r w:rsidR="006336A9">
        <w:rPr>
          <w:color w:val="000000"/>
          <w:sz w:val="22"/>
          <w:szCs w:val="22"/>
        </w:rPr>
        <w:t>day</w:t>
      </w:r>
      <w:r w:rsidR="00F507B9">
        <w:rPr>
          <w:color w:val="000000"/>
          <w:sz w:val="22"/>
          <w:szCs w:val="22"/>
        </w:rPr>
        <w:t xml:space="preserve">, </w:t>
      </w:r>
      <w:r w:rsidR="00261CFB">
        <w:rPr>
          <w:color w:val="000000"/>
          <w:sz w:val="22"/>
          <w:szCs w:val="22"/>
        </w:rPr>
        <w:t>November</w:t>
      </w:r>
      <w:r w:rsidR="00510B41">
        <w:rPr>
          <w:color w:val="000000"/>
          <w:sz w:val="22"/>
          <w:szCs w:val="22"/>
        </w:rPr>
        <w:t xml:space="preserve"> </w:t>
      </w:r>
      <w:r w:rsidR="00261CFB">
        <w:rPr>
          <w:color w:val="000000"/>
          <w:sz w:val="22"/>
          <w:szCs w:val="22"/>
        </w:rPr>
        <w:t>27</w:t>
      </w:r>
      <w:r w:rsidR="004D1292">
        <w:rPr>
          <w:color w:val="000000"/>
          <w:sz w:val="22"/>
          <w:szCs w:val="22"/>
        </w:rPr>
        <w:t>, 2013</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1E597C65" w14:textId="77777777" w:rsidR="0062265F" w:rsidRPr="0062265F" w:rsidRDefault="0062265F" w:rsidP="0062265F">
      <w:pPr>
        <w:autoSpaceDE w:val="0"/>
        <w:autoSpaceDN w:val="0"/>
        <w:adjustRightInd w:val="0"/>
        <w:ind w:left="720"/>
        <w:rPr>
          <w:i/>
          <w:iCs/>
          <w:color w:val="000000"/>
          <w:sz w:val="22"/>
          <w:szCs w:val="22"/>
        </w:rPr>
      </w:pPr>
    </w:p>
    <w:p w14:paraId="6A05F772" w14:textId="77777777" w:rsidR="001E5158" w:rsidRDefault="00261CFB" w:rsidP="00137504">
      <w:pPr>
        <w:autoSpaceDE w:val="0"/>
        <w:autoSpaceDN w:val="0"/>
        <w:adjustRightInd w:val="0"/>
        <w:rPr>
          <w:sz w:val="24"/>
          <w:szCs w:val="24"/>
        </w:rPr>
      </w:pPr>
      <w:r>
        <w:rPr>
          <w:sz w:val="24"/>
          <w:szCs w:val="24"/>
        </w:rPr>
        <w:t>All q</w:t>
      </w:r>
      <w:r w:rsidRPr="00A3120A">
        <w:rPr>
          <w:sz w:val="24"/>
          <w:szCs w:val="24"/>
        </w:rPr>
        <w:t xml:space="preserve">uestions </w:t>
      </w:r>
      <w:r>
        <w:rPr>
          <w:sz w:val="24"/>
          <w:szCs w:val="24"/>
        </w:rPr>
        <w:t xml:space="preserve">relate to the question of whether the nadir PSA level following hormonal treatment for prostate cancer is prognostic of time in remission independently of any information from other commonly used covariates. </w:t>
      </w:r>
    </w:p>
    <w:p w14:paraId="01F2B892" w14:textId="77777777" w:rsidR="001E5158" w:rsidRPr="00FF45B7" w:rsidRDefault="00261CFB" w:rsidP="00137504">
      <w:pPr>
        <w:autoSpaceDE w:val="0"/>
        <w:autoSpaceDN w:val="0"/>
        <w:adjustRightInd w:val="0"/>
        <w:spacing w:after="120"/>
        <w:rPr>
          <w:rFonts w:ascii="Courier New" w:hAnsi="Courier New" w:cs="Courier New"/>
        </w:rPr>
      </w:pPr>
      <w:r>
        <w:rPr>
          <w:sz w:val="24"/>
          <w:szCs w:val="24"/>
        </w:rPr>
        <w:t>Note that all patients were followed for a minimum of 24 months. In all problems we will be considering the probability (or odds) of a patient surviving relapse-free for 24 months following therapy.</w:t>
      </w:r>
      <w:r w:rsidR="001E5158">
        <w:rPr>
          <w:sz w:val="24"/>
          <w:szCs w:val="24"/>
        </w:rPr>
        <w:t xml:space="preserve"> </w:t>
      </w:r>
    </w:p>
    <w:p w14:paraId="579F5895" w14:textId="77777777" w:rsidR="00137504" w:rsidRDefault="00261CFB" w:rsidP="00137504">
      <w:pPr>
        <w:numPr>
          <w:ilvl w:val="0"/>
          <w:numId w:val="19"/>
        </w:numPr>
        <w:autoSpaceDE w:val="0"/>
        <w:autoSpaceDN w:val="0"/>
        <w:adjustRightInd w:val="0"/>
        <w:spacing w:after="120"/>
        <w:rPr>
          <w:sz w:val="24"/>
          <w:szCs w:val="24"/>
        </w:rPr>
      </w:pPr>
      <w:commentRangeStart w:id="2"/>
      <w:r w:rsidRPr="00A3120A">
        <w:rPr>
          <w:sz w:val="24"/>
          <w:szCs w:val="24"/>
        </w:rPr>
        <w:t>Provide</w:t>
      </w:r>
      <w:commentRangeEnd w:id="2"/>
      <w:r w:rsidR="00527DC4">
        <w:rPr>
          <w:rStyle w:val="CommentReference"/>
        </w:rPr>
        <w:commentReference w:id="2"/>
      </w:r>
      <w:r w:rsidRPr="00A3120A">
        <w:rPr>
          <w:sz w:val="24"/>
          <w:szCs w:val="24"/>
        </w:rPr>
        <w:t xml:space="preserve"> suitable descriptive statistics </w:t>
      </w:r>
      <w:r>
        <w:rPr>
          <w:sz w:val="24"/>
          <w:szCs w:val="24"/>
        </w:rPr>
        <w:t>for this dataset as might be presented in Table 1 of a manuscript appearing in the medical literature</w:t>
      </w:r>
      <w:r w:rsidRPr="00A3120A">
        <w:rPr>
          <w:sz w:val="24"/>
          <w:szCs w:val="24"/>
        </w:rPr>
        <w:t>.</w:t>
      </w:r>
      <w:r>
        <w:rPr>
          <w:sz w:val="24"/>
          <w:szCs w:val="24"/>
        </w:rPr>
        <w:t xml:space="preserve"> (Because the primary question is comparing 24 month relapse free survival across groups defined by nadir PSA, you might consider presenting descriptive statistics in groups according to some dichotomization of nadir PSA levels.</w:t>
      </w:r>
      <w:r w:rsidR="001E5158">
        <w:rPr>
          <w:sz w:val="24"/>
          <w:szCs w:val="24"/>
        </w:rPr>
        <w:t xml:space="preserve"> Alternatively, you could provide descriptive statistics within groups defined by whether the subjects relapse within 24 months or not.)</w:t>
      </w:r>
    </w:p>
    <w:p w14:paraId="17163808" w14:textId="77777777" w:rsidR="00137504" w:rsidRPr="0054318C" w:rsidRDefault="00137504" w:rsidP="00137504">
      <w:pPr>
        <w:autoSpaceDE w:val="0"/>
        <w:autoSpaceDN w:val="0"/>
        <w:adjustRightInd w:val="0"/>
        <w:spacing w:after="120"/>
        <w:ind w:left="360"/>
        <w:rPr>
          <w:b/>
          <w:sz w:val="28"/>
          <w:szCs w:val="24"/>
        </w:rPr>
      </w:pPr>
      <w:r w:rsidRPr="0054318C">
        <w:rPr>
          <w:b/>
          <w:sz w:val="24"/>
        </w:rPr>
        <w:t>I chose to dichotomize nadir PSA according to levels con</w:t>
      </w:r>
      <w:r w:rsidR="00CC1FA0">
        <w:rPr>
          <w:b/>
          <w:sz w:val="24"/>
        </w:rPr>
        <w:t>sidered “healthy” (&lt;=4.0 ng/</w:t>
      </w:r>
      <w:r w:rsidRPr="0054318C">
        <w:rPr>
          <w:b/>
          <w:sz w:val="24"/>
        </w:rPr>
        <w:t xml:space="preserve">ml) vs. “unhealthy” (&gt;4.0 </w:t>
      </w:r>
      <w:proofErr w:type="spellStart"/>
      <w:r w:rsidRPr="0054318C">
        <w:rPr>
          <w:b/>
          <w:sz w:val="24"/>
        </w:rPr>
        <w:t>ng</w:t>
      </w:r>
      <w:proofErr w:type="spellEnd"/>
      <w:r w:rsidRPr="0054318C">
        <w:rPr>
          <w:b/>
          <w:sz w:val="24"/>
        </w:rPr>
        <w:t>/ml) based on the information given in the study description file.  Descriptive statistics for the cohort are:</w:t>
      </w:r>
    </w:p>
    <w:p w14:paraId="4A70449A" w14:textId="77777777" w:rsidR="00137504" w:rsidRPr="00137504" w:rsidRDefault="00137504" w:rsidP="00137504">
      <w:pPr>
        <w:pStyle w:val="Caption"/>
        <w:keepNext/>
        <w:rPr>
          <w:rFonts w:ascii="Times New Roman" w:hAnsi="Times New Roman" w:cs="Times New Roman"/>
          <w:color w:val="auto"/>
          <w:sz w:val="20"/>
        </w:rPr>
      </w:pPr>
      <w:r w:rsidRPr="00137504">
        <w:rPr>
          <w:rFonts w:ascii="Times New Roman" w:hAnsi="Times New Roman" w:cs="Times New Roman"/>
          <w:color w:val="auto"/>
          <w:sz w:val="20"/>
        </w:rPr>
        <w:t xml:space="preserve">Table </w:t>
      </w:r>
      <w:r w:rsidRPr="00137504">
        <w:rPr>
          <w:rFonts w:ascii="Times New Roman" w:hAnsi="Times New Roman" w:cs="Times New Roman"/>
          <w:color w:val="auto"/>
          <w:sz w:val="20"/>
        </w:rPr>
        <w:fldChar w:fldCharType="begin"/>
      </w:r>
      <w:r w:rsidRPr="00137504">
        <w:rPr>
          <w:rFonts w:ascii="Times New Roman" w:hAnsi="Times New Roman" w:cs="Times New Roman"/>
          <w:color w:val="auto"/>
          <w:sz w:val="20"/>
        </w:rPr>
        <w:instrText xml:space="preserve"> SEQ Table \* ROMAN </w:instrText>
      </w:r>
      <w:r w:rsidRPr="00137504">
        <w:rPr>
          <w:rFonts w:ascii="Times New Roman" w:hAnsi="Times New Roman" w:cs="Times New Roman"/>
          <w:color w:val="auto"/>
          <w:sz w:val="20"/>
        </w:rPr>
        <w:fldChar w:fldCharType="separate"/>
      </w:r>
      <w:r w:rsidRPr="00137504">
        <w:rPr>
          <w:rFonts w:ascii="Times New Roman" w:hAnsi="Times New Roman" w:cs="Times New Roman"/>
          <w:noProof/>
          <w:color w:val="auto"/>
          <w:sz w:val="20"/>
        </w:rPr>
        <w:t>I</w:t>
      </w:r>
      <w:r w:rsidRPr="00137504">
        <w:rPr>
          <w:rFonts w:ascii="Times New Roman" w:hAnsi="Times New Roman" w:cs="Times New Roman"/>
          <w:color w:val="auto"/>
          <w:sz w:val="20"/>
        </w:rPr>
        <w:fldChar w:fldCharType="end"/>
      </w:r>
      <w:r w:rsidRPr="00137504">
        <w:rPr>
          <w:rFonts w:ascii="Times New Roman" w:hAnsi="Times New Roman" w:cs="Times New Roman"/>
          <w:color w:val="auto"/>
          <w:sz w:val="20"/>
        </w:rPr>
        <w:t>: Descriptive Statistics for PSA Study Cohort</w:t>
      </w:r>
    </w:p>
    <w:tbl>
      <w:tblPr>
        <w:tblW w:w="8414" w:type="dxa"/>
        <w:tblInd w:w="93" w:type="dxa"/>
        <w:tblLook w:val="04A0" w:firstRow="1" w:lastRow="0" w:firstColumn="1" w:lastColumn="0" w:noHBand="0" w:noVBand="1"/>
      </w:tblPr>
      <w:tblGrid>
        <w:gridCol w:w="2535"/>
        <w:gridCol w:w="883"/>
        <w:gridCol w:w="1642"/>
        <w:gridCol w:w="1879"/>
        <w:gridCol w:w="1728"/>
      </w:tblGrid>
      <w:tr w:rsidR="005F7625" w:rsidRPr="00137504" w14:paraId="3DB9C28B" w14:textId="77777777" w:rsidTr="005F7625">
        <w:trPr>
          <w:trHeight w:val="611"/>
        </w:trPr>
        <w:tc>
          <w:tcPr>
            <w:tcW w:w="2535" w:type="dxa"/>
            <w:tcBorders>
              <w:top w:val="single" w:sz="4" w:space="0" w:color="000000"/>
              <w:left w:val="nil"/>
              <w:bottom w:val="single" w:sz="4" w:space="0" w:color="000000"/>
              <w:right w:val="nil"/>
            </w:tcBorders>
            <w:shd w:val="clear" w:color="auto" w:fill="auto"/>
            <w:noWrap/>
            <w:vAlign w:val="bottom"/>
            <w:hideMark/>
          </w:tcPr>
          <w:p w14:paraId="50049C8A" w14:textId="77777777" w:rsidR="005F7625" w:rsidRPr="00137504" w:rsidRDefault="005F7625" w:rsidP="00137504">
            <w:pPr>
              <w:jc w:val="right"/>
              <w:rPr>
                <w:b/>
                <w:bCs/>
                <w:color w:val="000000"/>
              </w:rPr>
            </w:pPr>
            <w:r w:rsidRPr="00137504">
              <w:rPr>
                <w:b/>
                <w:bCs/>
                <w:color w:val="000000"/>
              </w:rPr>
              <w:t>Parameter</w:t>
            </w:r>
          </w:p>
        </w:tc>
        <w:tc>
          <w:tcPr>
            <w:tcW w:w="630" w:type="dxa"/>
            <w:tcBorders>
              <w:top w:val="single" w:sz="4" w:space="0" w:color="000000"/>
              <w:left w:val="nil"/>
              <w:bottom w:val="single" w:sz="4" w:space="0" w:color="auto"/>
              <w:right w:val="nil"/>
            </w:tcBorders>
            <w:vAlign w:val="bottom"/>
          </w:tcPr>
          <w:p w14:paraId="5BF636BE" w14:textId="77777777" w:rsidR="005F7625" w:rsidRPr="00137504" w:rsidRDefault="005F7625" w:rsidP="005F7625">
            <w:pPr>
              <w:jc w:val="center"/>
              <w:rPr>
                <w:b/>
                <w:bCs/>
                <w:color w:val="000000"/>
              </w:rPr>
            </w:pPr>
            <w:r>
              <w:rPr>
                <w:b/>
                <w:bCs/>
                <w:color w:val="000000"/>
              </w:rPr>
              <w:t>Missing</w:t>
            </w:r>
          </w:p>
        </w:tc>
        <w:tc>
          <w:tcPr>
            <w:tcW w:w="1642" w:type="dxa"/>
            <w:tcBorders>
              <w:top w:val="single" w:sz="4" w:space="0" w:color="000000"/>
              <w:left w:val="nil"/>
              <w:bottom w:val="single" w:sz="4" w:space="0" w:color="auto"/>
              <w:right w:val="nil"/>
            </w:tcBorders>
            <w:shd w:val="clear" w:color="auto" w:fill="auto"/>
            <w:vAlign w:val="bottom"/>
            <w:hideMark/>
          </w:tcPr>
          <w:p w14:paraId="0F9F0459" w14:textId="77777777" w:rsidR="005F7625" w:rsidRDefault="005F7625" w:rsidP="00137504">
            <w:pPr>
              <w:jc w:val="center"/>
              <w:rPr>
                <w:b/>
                <w:bCs/>
                <w:color w:val="000000"/>
              </w:rPr>
            </w:pPr>
            <w:r w:rsidRPr="00137504">
              <w:rPr>
                <w:b/>
                <w:bCs/>
                <w:color w:val="000000"/>
              </w:rPr>
              <w:t>Hig</w:t>
            </w:r>
            <w:r>
              <w:rPr>
                <w:b/>
                <w:bCs/>
                <w:color w:val="000000"/>
              </w:rPr>
              <w:t>h Nadir PSA</w:t>
            </w:r>
            <w:r w:rsidRPr="00137504">
              <w:rPr>
                <w:b/>
                <w:bCs/>
                <w:color w:val="000000"/>
              </w:rPr>
              <w:t xml:space="preserve">           (&gt; 4.0 </w:t>
            </w:r>
            <w:proofErr w:type="spellStart"/>
            <w:r w:rsidRPr="00137504">
              <w:rPr>
                <w:b/>
                <w:bCs/>
                <w:color w:val="000000"/>
              </w:rPr>
              <w:t>ng</w:t>
            </w:r>
            <w:proofErr w:type="spellEnd"/>
            <w:r w:rsidRPr="00137504">
              <w:rPr>
                <w:b/>
                <w:bCs/>
                <w:color w:val="000000"/>
              </w:rPr>
              <w:t>/ml)</w:t>
            </w:r>
          </w:p>
          <w:p w14:paraId="62767E55" w14:textId="77777777" w:rsidR="005F7625" w:rsidRPr="00137504" w:rsidRDefault="005F7625" w:rsidP="00137504">
            <w:pPr>
              <w:jc w:val="center"/>
              <w:rPr>
                <w:b/>
                <w:bCs/>
                <w:color w:val="000000"/>
              </w:rPr>
            </w:pPr>
            <w:r>
              <w:rPr>
                <w:b/>
                <w:bCs/>
                <w:color w:val="000000"/>
              </w:rPr>
              <w:t>N=17</w:t>
            </w:r>
          </w:p>
        </w:tc>
        <w:tc>
          <w:tcPr>
            <w:tcW w:w="1879" w:type="dxa"/>
            <w:tcBorders>
              <w:top w:val="single" w:sz="4" w:space="0" w:color="000000"/>
              <w:left w:val="nil"/>
              <w:bottom w:val="single" w:sz="4" w:space="0" w:color="auto"/>
              <w:right w:val="nil"/>
            </w:tcBorders>
            <w:shd w:val="clear" w:color="auto" w:fill="auto"/>
            <w:vAlign w:val="bottom"/>
            <w:hideMark/>
          </w:tcPr>
          <w:p w14:paraId="76D95EF6" w14:textId="77777777" w:rsidR="005F7625" w:rsidRDefault="005F7625" w:rsidP="00137504">
            <w:pPr>
              <w:jc w:val="center"/>
              <w:rPr>
                <w:b/>
                <w:bCs/>
                <w:color w:val="000000"/>
              </w:rPr>
            </w:pPr>
            <w:r w:rsidRPr="00137504">
              <w:rPr>
                <w:b/>
                <w:bCs/>
                <w:color w:val="000000"/>
              </w:rPr>
              <w:t xml:space="preserve">Low </w:t>
            </w:r>
            <w:r>
              <w:rPr>
                <w:b/>
                <w:bCs/>
                <w:color w:val="000000"/>
              </w:rPr>
              <w:t>Nadir PSA</w:t>
            </w:r>
          </w:p>
          <w:p w14:paraId="0C1D0CA4" w14:textId="77777777" w:rsidR="005F7625" w:rsidRDefault="005F7625" w:rsidP="00137504">
            <w:pPr>
              <w:jc w:val="center"/>
              <w:rPr>
                <w:b/>
                <w:color w:val="000000"/>
              </w:rPr>
            </w:pPr>
            <w:r w:rsidRPr="00137504">
              <w:rPr>
                <w:b/>
                <w:bCs/>
                <w:color w:val="000000"/>
              </w:rPr>
              <w:t xml:space="preserve"> (</w:t>
            </w:r>
            <w:r w:rsidRPr="00137504">
              <w:rPr>
                <w:b/>
                <w:color w:val="000000"/>
              </w:rPr>
              <w:t xml:space="preserve">≤ 4.0 </w:t>
            </w:r>
            <w:proofErr w:type="spellStart"/>
            <w:r w:rsidRPr="00137504">
              <w:rPr>
                <w:b/>
                <w:color w:val="000000"/>
              </w:rPr>
              <w:t>ng</w:t>
            </w:r>
            <w:proofErr w:type="spellEnd"/>
            <w:r w:rsidRPr="00137504">
              <w:rPr>
                <w:b/>
                <w:color w:val="000000"/>
              </w:rPr>
              <w:t>/ml)</w:t>
            </w:r>
          </w:p>
          <w:p w14:paraId="517A9A10" w14:textId="77777777" w:rsidR="005F7625" w:rsidRPr="00137504" w:rsidRDefault="005F7625" w:rsidP="00137504">
            <w:pPr>
              <w:jc w:val="center"/>
              <w:rPr>
                <w:b/>
                <w:bCs/>
                <w:color w:val="000000"/>
              </w:rPr>
            </w:pPr>
            <w:r>
              <w:rPr>
                <w:b/>
                <w:color w:val="000000"/>
              </w:rPr>
              <w:t>N=33</w:t>
            </w:r>
          </w:p>
        </w:tc>
        <w:tc>
          <w:tcPr>
            <w:tcW w:w="1728" w:type="dxa"/>
            <w:tcBorders>
              <w:top w:val="single" w:sz="4" w:space="0" w:color="000000"/>
              <w:left w:val="nil"/>
              <w:bottom w:val="single" w:sz="4" w:space="0" w:color="auto"/>
              <w:right w:val="nil"/>
            </w:tcBorders>
            <w:shd w:val="clear" w:color="auto" w:fill="auto"/>
            <w:vAlign w:val="bottom"/>
            <w:hideMark/>
          </w:tcPr>
          <w:p w14:paraId="67753146" w14:textId="77777777" w:rsidR="005F7625" w:rsidRDefault="005F7625" w:rsidP="00137504">
            <w:pPr>
              <w:jc w:val="center"/>
              <w:rPr>
                <w:b/>
                <w:bCs/>
                <w:color w:val="000000"/>
              </w:rPr>
            </w:pPr>
            <w:r w:rsidRPr="00137504">
              <w:rPr>
                <w:b/>
                <w:bCs/>
                <w:color w:val="000000"/>
              </w:rPr>
              <w:t>Total</w:t>
            </w:r>
          </w:p>
          <w:p w14:paraId="15F045FD" w14:textId="77777777" w:rsidR="005F7625" w:rsidRPr="00137504" w:rsidRDefault="005F7625" w:rsidP="00137504">
            <w:pPr>
              <w:jc w:val="center"/>
              <w:rPr>
                <w:b/>
                <w:bCs/>
                <w:color w:val="000000"/>
              </w:rPr>
            </w:pPr>
            <w:r>
              <w:rPr>
                <w:b/>
                <w:bCs/>
                <w:color w:val="000000"/>
              </w:rPr>
              <w:t>N=50</w:t>
            </w:r>
          </w:p>
        </w:tc>
      </w:tr>
      <w:tr w:rsidR="005F7625" w:rsidRPr="00137504" w14:paraId="76F7D0C7" w14:textId="77777777" w:rsidTr="005F7625">
        <w:trPr>
          <w:trHeight w:val="288"/>
        </w:trPr>
        <w:tc>
          <w:tcPr>
            <w:tcW w:w="2535" w:type="dxa"/>
            <w:tcBorders>
              <w:top w:val="nil"/>
              <w:left w:val="nil"/>
              <w:bottom w:val="nil"/>
              <w:right w:val="nil"/>
            </w:tcBorders>
            <w:shd w:val="clear" w:color="auto" w:fill="FFFFFF" w:themeFill="background1"/>
            <w:vAlign w:val="bottom"/>
          </w:tcPr>
          <w:p w14:paraId="1A691ADA" w14:textId="77777777" w:rsidR="005F7625" w:rsidRPr="00137504" w:rsidRDefault="005F7625" w:rsidP="00137504">
            <w:pPr>
              <w:jc w:val="right"/>
              <w:rPr>
                <w:color w:val="000000"/>
                <w:u w:val="single"/>
              </w:rPr>
            </w:pPr>
          </w:p>
        </w:tc>
        <w:tc>
          <w:tcPr>
            <w:tcW w:w="630" w:type="dxa"/>
            <w:tcBorders>
              <w:top w:val="single" w:sz="4" w:space="0" w:color="auto"/>
              <w:left w:val="nil"/>
              <w:right w:val="nil"/>
            </w:tcBorders>
            <w:shd w:val="clear" w:color="auto" w:fill="FFFFFF" w:themeFill="background1"/>
          </w:tcPr>
          <w:p w14:paraId="4D37D431" w14:textId="77777777" w:rsidR="005F7625" w:rsidRPr="00137504" w:rsidRDefault="005F7625" w:rsidP="00137504">
            <w:pPr>
              <w:jc w:val="center"/>
              <w:rPr>
                <w:color w:val="000000"/>
              </w:rPr>
            </w:pPr>
          </w:p>
        </w:tc>
        <w:tc>
          <w:tcPr>
            <w:tcW w:w="5249" w:type="dxa"/>
            <w:gridSpan w:val="3"/>
            <w:tcBorders>
              <w:top w:val="single" w:sz="4" w:space="0" w:color="auto"/>
              <w:left w:val="nil"/>
              <w:bottom w:val="single" w:sz="4" w:space="0" w:color="auto"/>
              <w:right w:val="nil"/>
            </w:tcBorders>
            <w:shd w:val="clear" w:color="auto" w:fill="FFFFFF" w:themeFill="background1"/>
            <w:noWrap/>
            <w:vAlign w:val="bottom"/>
          </w:tcPr>
          <w:p w14:paraId="71D44213" w14:textId="77777777" w:rsidR="005F7625" w:rsidRPr="00137504" w:rsidRDefault="005F7625" w:rsidP="00137504">
            <w:pPr>
              <w:jc w:val="center"/>
              <w:rPr>
                <w:color w:val="000000"/>
              </w:rPr>
            </w:pPr>
            <w:r w:rsidRPr="00137504">
              <w:rPr>
                <w:color w:val="000000"/>
              </w:rPr>
              <w:t>Mean (SD)</w:t>
            </w:r>
          </w:p>
        </w:tc>
      </w:tr>
      <w:tr w:rsidR="005F7625" w:rsidRPr="00137504" w14:paraId="75B12876" w14:textId="77777777" w:rsidTr="005F7625">
        <w:trPr>
          <w:trHeight w:val="288"/>
        </w:trPr>
        <w:tc>
          <w:tcPr>
            <w:tcW w:w="2535" w:type="dxa"/>
            <w:tcBorders>
              <w:top w:val="nil"/>
              <w:left w:val="nil"/>
              <w:bottom w:val="nil"/>
              <w:right w:val="nil"/>
            </w:tcBorders>
            <w:shd w:val="clear" w:color="auto" w:fill="auto"/>
            <w:vAlign w:val="bottom"/>
            <w:hideMark/>
          </w:tcPr>
          <w:p w14:paraId="1C11687E" w14:textId="77777777" w:rsidR="005F7625" w:rsidRPr="00137504" w:rsidRDefault="005F7625" w:rsidP="00137504">
            <w:pPr>
              <w:jc w:val="right"/>
              <w:rPr>
                <w:color w:val="000000"/>
              </w:rPr>
            </w:pPr>
            <w:r w:rsidRPr="00137504">
              <w:rPr>
                <w:color w:val="000000"/>
              </w:rPr>
              <w:t>Nadir PSA</w:t>
            </w:r>
            <w:r w:rsidR="00F27973">
              <w:rPr>
                <w:color w:val="000000"/>
              </w:rPr>
              <w:t xml:space="preserve"> (</w:t>
            </w:r>
            <w:proofErr w:type="spellStart"/>
            <w:r w:rsidR="00F27973">
              <w:rPr>
                <w:color w:val="000000"/>
              </w:rPr>
              <w:t>ng</w:t>
            </w:r>
            <w:proofErr w:type="spellEnd"/>
            <w:r w:rsidR="00F27973">
              <w:rPr>
                <w:color w:val="000000"/>
              </w:rPr>
              <w:t>/ml)</w:t>
            </w:r>
            <w:r w:rsidRPr="00137504">
              <w:rPr>
                <w:color w:val="000000"/>
              </w:rPr>
              <w:t xml:space="preserve"> </w:t>
            </w:r>
          </w:p>
        </w:tc>
        <w:tc>
          <w:tcPr>
            <w:tcW w:w="630" w:type="dxa"/>
            <w:tcBorders>
              <w:left w:val="nil"/>
              <w:bottom w:val="nil"/>
              <w:right w:val="nil"/>
            </w:tcBorders>
            <w:vAlign w:val="bottom"/>
          </w:tcPr>
          <w:p w14:paraId="62E26989" w14:textId="77777777" w:rsidR="005F7625" w:rsidRPr="00137504" w:rsidRDefault="004D47A4" w:rsidP="005F7625">
            <w:pPr>
              <w:jc w:val="center"/>
              <w:rPr>
                <w:color w:val="000000"/>
              </w:rPr>
            </w:pPr>
            <w:r>
              <w:rPr>
                <w:color w:val="000000"/>
              </w:rPr>
              <w:t>0</w:t>
            </w:r>
          </w:p>
        </w:tc>
        <w:tc>
          <w:tcPr>
            <w:tcW w:w="1642" w:type="dxa"/>
            <w:tcBorders>
              <w:top w:val="single" w:sz="4" w:space="0" w:color="auto"/>
              <w:left w:val="nil"/>
              <w:bottom w:val="nil"/>
              <w:right w:val="nil"/>
            </w:tcBorders>
            <w:shd w:val="clear" w:color="auto" w:fill="auto"/>
            <w:noWrap/>
            <w:vAlign w:val="bottom"/>
          </w:tcPr>
          <w:p w14:paraId="22F79CB7" w14:textId="77777777" w:rsidR="005F7625" w:rsidRPr="00137504" w:rsidRDefault="005F7625" w:rsidP="00137504">
            <w:pPr>
              <w:jc w:val="center"/>
              <w:rPr>
                <w:color w:val="000000"/>
              </w:rPr>
            </w:pPr>
            <w:r w:rsidRPr="00137504">
              <w:rPr>
                <w:color w:val="000000"/>
              </w:rPr>
              <w:t>46.78 (56.8)</w:t>
            </w:r>
          </w:p>
        </w:tc>
        <w:tc>
          <w:tcPr>
            <w:tcW w:w="1879" w:type="dxa"/>
            <w:tcBorders>
              <w:top w:val="single" w:sz="4" w:space="0" w:color="auto"/>
              <w:left w:val="nil"/>
              <w:bottom w:val="nil"/>
              <w:right w:val="nil"/>
            </w:tcBorders>
            <w:shd w:val="clear" w:color="auto" w:fill="auto"/>
            <w:noWrap/>
            <w:vAlign w:val="bottom"/>
          </w:tcPr>
          <w:p w14:paraId="1043DA32" w14:textId="77777777" w:rsidR="005F7625" w:rsidRPr="00137504" w:rsidRDefault="005F7625" w:rsidP="00137504">
            <w:pPr>
              <w:jc w:val="center"/>
              <w:rPr>
                <w:color w:val="000000"/>
              </w:rPr>
            </w:pPr>
            <w:r w:rsidRPr="00137504">
              <w:rPr>
                <w:color w:val="000000"/>
              </w:rPr>
              <w:t>0.69 (0.68)</w:t>
            </w:r>
          </w:p>
        </w:tc>
        <w:tc>
          <w:tcPr>
            <w:tcW w:w="1728" w:type="dxa"/>
            <w:tcBorders>
              <w:top w:val="single" w:sz="4" w:space="0" w:color="auto"/>
              <w:left w:val="nil"/>
              <w:bottom w:val="nil"/>
              <w:right w:val="nil"/>
            </w:tcBorders>
            <w:shd w:val="clear" w:color="auto" w:fill="auto"/>
            <w:noWrap/>
            <w:vAlign w:val="bottom"/>
            <w:hideMark/>
          </w:tcPr>
          <w:p w14:paraId="16166F1B" w14:textId="77777777" w:rsidR="005F7625" w:rsidRPr="00137504" w:rsidRDefault="005F7625" w:rsidP="00137504">
            <w:pPr>
              <w:jc w:val="center"/>
              <w:rPr>
                <w:color w:val="000000"/>
              </w:rPr>
            </w:pPr>
            <w:r w:rsidRPr="00137504">
              <w:rPr>
                <w:color w:val="000000"/>
              </w:rPr>
              <w:t>16.36 (39.25)</w:t>
            </w:r>
          </w:p>
        </w:tc>
      </w:tr>
      <w:tr w:rsidR="005F7625" w:rsidRPr="00137504" w14:paraId="1225FDD6" w14:textId="77777777" w:rsidTr="005F7625">
        <w:trPr>
          <w:trHeight w:val="288"/>
        </w:trPr>
        <w:tc>
          <w:tcPr>
            <w:tcW w:w="2535" w:type="dxa"/>
            <w:tcBorders>
              <w:top w:val="nil"/>
              <w:left w:val="nil"/>
              <w:bottom w:val="nil"/>
              <w:right w:val="nil"/>
            </w:tcBorders>
            <w:shd w:val="clear" w:color="D9D9D9" w:fill="D9D9D9"/>
            <w:vAlign w:val="bottom"/>
            <w:hideMark/>
          </w:tcPr>
          <w:p w14:paraId="286A25EA" w14:textId="77777777" w:rsidR="005F7625" w:rsidRPr="00137504" w:rsidRDefault="005F7625" w:rsidP="00137504">
            <w:pPr>
              <w:jc w:val="right"/>
              <w:rPr>
                <w:color w:val="000000"/>
              </w:rPr>
            </w:pPr>
            <w:r>
              <w:rPr>
                <w:color w:val="000000"/>
              </w:rPr>
              <w:t>Age (y</w:t>
            </w:r>
            <w:r w:rsidRPr="00137504">
              <w:rPr>
                <w:color w:val="000000"/>
              </w:rPr>
              <w:t>ears)</w:t>
            </w:r>
          </w:p>
        </w:tc>
        <w:tc>
          <w:tcPr>
            <w:tcW w:w="630" w:type="dxa"/>
            <w:tcBorders>
              <w:top w:val="nil"/>
              <w:left w:val="nil"/>
              <w:bottom w:val="nil"/>
              <w:right w:val="nil"/>
            </w:tcBorders>
            <w:shd w:val="clear" w:color="D9D9D9" w:fill="D9D9D9"/>
            <w:vAlign w:val="bottom"/>
          </w:tcPr>
          <w:p w14:paraId="0B3D3CFB" w14:textId="77777777" w:rsidR="005F7625" w:rsidRPr="00137504" w:rsidRDefault="004D47A4" w:rsidP="005F7625">
            <w:pPr>
              <w:jc w:val="center"/>
              <w:rPr>
                <w:color w:val="000000"/>
              </w:rPr>
            </w:pPr>
            <w:r>
              <w:rPr>
                <w:color w:val="000000"/>
              </w:rPr>
              <w:t>0</w:t>
            </w:r>
          </w:p>
        </w:tc>
        <w:tc>
          <w:tcPr>
            <w:tcW w:w="1642" w:type="dxa"/>
            <w:tcBorders>
              <w:top w:val="nil"/>
              <w:left w:val="nil"/>
              <w:bottom w:val="nil"/>
              <w:right w:val="nil"/>
            </w:tcBorders>
            <w:shd w:val="clear" w:color="D9D9D9" w:fill="D9D9D9"/>
            <w:noWrap/>
            <w:vAlign w:val="bottom"/>
          </w:tcPr>
          <w:p w14:paraId="47591AC9" w14:textId="77777777" w:rsidR="005F7625" w:rsidRPr="00137504" w:rsidRDefault="005F7625" w:rsidP="00137504">
            <w:pPr>
              <w:jc w:val="center"/>
              <w:rPr>
                <w:color w:val="000000"/>
              </w:rPr>
            </w:pPr>
            <w:r w:rsidRPr="00137504">
              <w:rPr>
                <w:color w:val="000000"/>
              </w:rPr>
              <w:t>68.71 (6.19)</w:t>
            </w:r>
          </w:p>
        </w:tc>
        <w:tc>
          <w:tcPr>
            <w:tcW w:w="1879" w:type="dxa"/>
            <w:tcBorders>
              <w:top w:val="nil"/>
              <w:left w:val="nil"/>
              <w:bottom w:val="nil"/>
              <w:right w:val="nil"/>
            </w:tcBorders>
            <w:shd w:val="clear" w:color="D9D9D9" w:fill="D9D9D9"/>
            <w:noWrap/>
            <w:vAlign w:val="bottom"/>
          </w:tcPr>
          <w:p w14:paraId="4065744D" w14:textId="77777777" w:rsidR="005F7625" w:rsidRPr="00137504" w:rsidRDefault="005F7625" w:rsidP="00137504">
            <w:pPr>
              <w:jc w:val="center"/>
              <w:rPr>
                <w:color w:val="000000"/>
              </w:rPr>
            </w:pPr>
            <w:r w:rsidRPr="00137504">
              <w:rPr>
                <w:color w:val="000000"/>
              </w:rPr>
              <w:t>66.79 (5.53)</w:t>
            </w:r>
          </w:p>
        </w:tc>
        <w:tc>
          <w:tcPr>
            <w:tcW w:w="1728" w:type="dxa"/>
            <w:tcBorders>
              <w:top w:val="nil"/>
              <w:left w:val="nil"/>
              <w:bottom w:val="nil"/>
              <w:right w:val="nil"/>
            </w:tcBorders>
            <w:shd w:val="clear" w:color="D9D9D9" w:fill="D9D9D9"/>
            <w:noWrap/>
            <w:vAlign w:val="bottom"/>
            <w:hideMark/>
          </w:tcPr>
          <w:p w14:paraId="0F2B7B4D" w14:textId="77777777" w:rsidR="005F7625" w:rsidRPr="00137504" w:rsidRDefault="005F7625" w:rsidP="00137504">
            <w:pPr>
              <w:jc w:val="center"/>
              <w:rPr>
                <w:color w:val="000000"/>
              </w:rPr>
            </w:pPr>
            <w:r w:rsidRPr="00137504">
              <w:rPr>
                <w:color w:val="000000"/>
              </w:rPr>
              <w:t>67.44 (5.77)</w:t>
            </w:r>
          </w:p>
        </w:tc>
      </w:tr>
      <w:tr w:rsidR="005F7625" w:rsidRPr="00137504" w14:paraId="4831B34F" w14:textId="77777777" w:rsidTr="005F7625">
        <w:trPr>
          <w:trHeight w:val="288"/>
        </w:trPr>
        <w:tc>
          <w:tcPr>
            <w:tcW w:w="2535" w:type="dxa"/>
            <w:tcBorders>
              <w:top w:val="nil"/>
              <w:left w:val="nil"/>
              <w:right w:val="nil"/>
            </w:tcBorders>
            <w:shd w:val="clear" w:color="auto" w:fill="auto"/>
            <w:vAlign w:val="bottom"/>
            <w:hideMark/>
          </w:tcPr>
          <w:p w14:paraId="5687AB72" w14:textId="77777777" w:rsidR="005F7625" w:rsidRPr="00137504" w:rsidRDefault="005F7625" w:rsidP="00137504">
            <w:pPr>
              <w:jc w:val="right"/>
              <w:rPr>
                <w:color w:val="000000"/>
              </w:rPr>
            </w:pPr>
            <w:r w:rsidRPr="00137504">
              <w:rPr>
                <w:color w:val="000000"/>
              </w:rPr>
              <w:t>Pretreatment PSA</w:t>
            </w:r>
            <w:r w:rsidR="00F27973">
              <w:rPr>
                <w:color w:val="000000"/>
              </w:rPr>
              <w:t xml:space="preserve"> (</w:t>
            </w:r>
            <w:proofErr w:type="spellStart"/>
            <w:r w:rsidR="00F27973">
              <w:rPr>
                <w:color w:val="000000"/>
              </w:rPr>
              <w:t>ng</w:t>
            </w:r>
            <w:proofErr w:type="spellEnd"/>
            <w:r w:rsidR="00F27973">
              <w:rPr>
                <w:color w:val="000000"/>
              </w:rPr>
              <w:t>/ml)</w:t>
            </w:r>
          </w:p>
        </w:tc>
        <w:tc>
          <w:tcPr>
            <w:tcW w:w="630" w:type="dxa"/>
            <w:tcBorders>
              <w:top w:val="nil"/>
              <w:left w:val="nil"/>
              <w:right w:val="nil"/>
            </w:tcBorders>
            <w:vAlign w:val="bottom"/>
          </w:tcPr>
          <w:p w14:paraId="2DC910CD" w14:textId="77777777" w:rsidR="005F7625" w:rsidRPr="00137504" w:rsidRDefault="004D47A4" w:rsidP="005F7625">
            <w:pPr>
              <w:jc w:val="center"/>
              <w:rPr>
                <w:color w:val="000000"/>
              </w:rPr>
            </w:pPr>
            <w:r>
              <w:rPr>
                <w:color w:val="000000"/>
              </w:rPr>
              <w:t>7</w:t>
            </w:r>
          </w:p>
        </w:tc>
        <w:tc>
          <w:tcPr>
            <w:tcW w:w="1642" w:type="dxa"/>
            <w:tcBorders>
              <w:top w:val="nil"/>
              <w:left w:val="nil"/>
              <w:right w:val="nil"/>
            </w:tcBorders>
            <w:shd w:val="clear" w:color="auto" w:fill="auto"/>
            <w:noWrap/>
            <w:vAlign w:val="bottom"/>
          </w:tcPr>
          <w:p w14:paraId="159660E4" w14:textId="77777777" w:rsidR="005F7625" w:rsidRPr="00137504" w:rsidRDefault="005F7625" w:rsidP="00137504">
            <w:pPr>
              <w:jc w:val="center"/>
              <w:rPr>
                <w:color w:val="000000"/>
              </w:rPr>
            </w:pPr>
            <w:r w:rsidRPr="00137504">
              <w:rPr>
                <w:color w:val="000000"/>
              </w:rPr>
              <w:t>938.4 (1597.99)</w:t>
            </w:r>
          </w:p>
        </w:tc>
        <w:tc>
          <w:tcPr>
            <w:tcW w:w="1879" w:type="dxa"/>
            <w:tcBorders>
              <w:top w:val="nil"/>
              <w:left w:val="nil"/>
              <w:right w:val="nil"/>
            </w:tcBorders>
            <w:shd w:val="clear" w:color="auto" w:fill="auto"/>
            <w:noWrap/>
            <w:vAlign w:val="bottom"/>
          </w:tcPr>
          <w:p w14:paraId="450FCB31" w14:textId="77777777" w:rsidR="005F7625" w:rsidRPr="00137504" w:rsidRDefault="005F7625" w:rsidP="00137504">
            <w:pPr>
              <w:jc w:val="center"/>
              <w:rPr>
                <w:color w:val="000000"/>
              </w:rPr>
            </w:pPr>
            <w:r w:rsidRPr="00137504">
              <w:rPr>
                <w:color w:val="000000"/>
              </w:rPr>
              <w:t>527.37 (1092.68)</w:t>
            </w:r>
          </w:p>
        </w:tc>
        <w:tc>
          <w:tcPr>
            <w:tcW w:w="1728" w:type="dxa"/>
            <w:tcBorders>
              <w:top w:val="nil"/>
              <w:left w:val="nil"/>
              <w:right w:val="nil"/>
            </w:tcBorders>
            <w:shd w:val="clear" w:color="auto" w:fill="auto"/>
            <w:noWrap/>
            <w:vAlign w:val="bottom"/>
            <w:hideMark/>
          </w:tcPr>
          <w:p w14:paraId="09F2F1C4" w14:textId="77777777" w:rsidR="005F7625" w:rsidRPr="00137504" w:rsidRDefault="005F7625" w:rsidP="00137504">
            <w:pPr>
              <w:jc w:val="center"/>
              <w:rPr>
                <w:color w:val="000000"/>
              </w:rPr>
            </w:pPr>
            <w:r w:rsidRPr="00137504">
              <w:rPr>
                <w:color w:val="000000"/>
              </w:rPr>
              <w:t>670.75 (1287.64)</w:t>
            </w:r>
          </w:p>
        </w:tc>
      </w:tr>
      <w:tr w:rsidR="005F7625" w:rsidRPr="00137504" w14:paraId="1F0BA8B5" w14:textId="77777777" w:rsidTr="005F7625">
        <w:trPr>
          <w:trHeight w:val="288"/>
        </w:trPr>
        <w:tc>
          <w:tcPr>
            <w:tcW w:w="2535" w:type="dxa"/>
            <w:tcBorders>
              <w:top w:val="nil"/>
              <w:left w:val="nil"/>
              <w:bottom w:val="single" w:sz="4" w:space="0" w:color="auto"/>
              <w:right w:val="nil"/>
            </w:tcBorders>
            <w:shd w:val="clear" w:color="D9D9D9" w:fill="D9D9D9"/>
            <w:vAlign w:val="bottom"/>
            <w:hideMark/>
          </w:tcPr>
          <w:p w14:paraId="35B8C600" w14:textId="77777777" w:rsidR="005F7625" w:rsidRPr="00137504" w:rsidRDefault="005F7625" w:rsidP="00137504">
            <w:pPr>
              <w:jc w:val="right"/>
              <w:rPr>
                <w:color w:val="000000"/>
              </w:rPr>
            </w:pPr>
            <w:r w:rsidRPr="00137504">
              <w:rPr>
                <w:color w:val="000000"/>
              </w:rPr>
              <w:t>Performance Score</w:t>
            </w:r>
          </w:p>
        </w:tc>
        <w:tc>
          <w:tcPr>
            <w:tcW w:w="630" w:type="dxa"/>
            <w:tcBorders>
              <w:top w:val="nil"/>
              <w:left w:val="nil"/>
              <w:bottom w:val="single" w:sz="4" w:space="0" w:color="auto"/>
              <w:right w:val="nil"/>
            </w:tcBorders>
            <w:shd w:val="clear" w:color="D9D9D9" w:fill="D9D9D9"/>
            <w:vAlign w:val="bottom"/>
          </w:tcPr>
          <w:p w14:paraId="0C90C1D9" w14:textId="77777777" w:rsidR="005F7625" w:rsidRPr="00137504" w:rsidRDefault="004D47A4" w:rsidP="005F7625">
            <w:pPr>
              <w:jc w:val="center"/>
              <w:rPr>
                <w:color w:val="000000"/>
              </w:rPr>
            </w:pPr>
            <w:r>
              <w:rPr>
                <w:color w:val="000000"/>
              </w:rPr>
              <w:t>2</w:t>
            </w:r>
          </w:p>
        </w:tc>
        <w:tc>
          <w:tcPr>
            <w:tcW w:w="1642" w:type="dxa"/>
            <w:tcBorders>
              <w:top w:val="nil"/>
              <w:left w:val="nil"/>
              <w:bottom w:val="single" w:sz="4" w:space="0" w:color="auto"/>
              <w:right w:val="nil"/>
            </w:tcBorders>
            <w:shd w:val="clear" w:color="D9D9D9" w:fill="D9D9D9"/>
            <w:noWrap/>
            <w:vAlign w:val="bottom"/>
          </w:tcPr>
          <w:p w14:paraId="28695F20" w14:textId="77777777" w:rsidR="005F7625" w:rsidRPr="00137504" w:rsidRDefault="005F7625" w:rsidP="00137504">
            <w:pPr>
              <w:jc w:val="center"/>
              <w:rPr>
                <w:color w:val="000000"/>
              </w:rPr>
            </w:pPr>
            <w:r w:rsidRPr="00137504">
              <w:rPr>
                <w:color w:val="000000"/>
              </w:rPr>
              <w:t>77.5 (9.31)</w:t>
            </w:r>
          </w:p>
        </w:tc>
        <w:tc>
          <w:tcPr>
            <w:tcW w:w="1879" w:type="dxa"/>
            <w:tcBorders>
              <w:top w:val="nil"/>
              <w:left w:val="nil"/>
              <w:bottom w:val="single" w:sz="4" w:space="0" w:color="auto"/>
              <w:right w:val="nil"/>
            </w:tcBorders>
            <w:shd w:val="clear" w:color="D9D9D9" w:fill="D9D9D9"/>
            <w:noWrap/>
            <w:vAlign w:val="bottom"/>
          </w:tcPr>
          <w:p w14:paraId="6D73186D" w14:textId="77777777" w:rsidR="005F7625" w:rsidRPr="00137504" w:rsidRDefault="005F7625" w:rsidP="00137504">
            <w:pPr>
              <w:jc w:val="center"/>
              <w:rPr>
                <w:color w:val="000000"/>
              </w:rPr>
            </w:pPr>
            <w:r w:rsidRPr="00137504">
              <w:rPr>
                <w:color w:val="000000"/>
              </w:rPr>
              <w:t>82.5 (11.64)</w:t>
            </w:r>
          </w:p>
        </w:tc>
        <w:tc>
          <w:tcPr>
            <w:tcW w:w="1728" w:type="dxa"/>
            <w:tcBorders>
              <w:top w:val="nil"/>
              <w:left w:val="nil"/>
              <w:bottom w:val="single" w:sz="4" w:space="0" w:color="auto"/>
              <w:right w:val="nil"/>
            </w:tcBorders>
            <w:shd w:val="clear" w:color="D9D9D9" w:fill="D9D9D9"/>
            <w:noWrap/>
            <w:vAlign w:val="bottom"/>
            <w:hideMark/>
          </w:tcPr>
          <w:p w14:paraId="737D0A93" w14:textId="77777777" w:rsidR="005F7625" w:rsidRPr="00137504" w:rsidRDefault="005F7625" w:rsidP="00137504">
            <w:pPr>
              <w:jc w:val="center"/>
              <w:rPr>
                <w:color w:val="000000"/>
              </w:rPr>
            </w:pPr>
            <w:r w:rsidRPr="00137504">
              <w:rPr>
                <w:color w:val="000000"/>
              </w:rPr>
              <w:t>80.83 (11.08)</w:t>
            </w:r>
          </w:p>
        </w:tc>
      </w:tr>
      <w:tr w:rsidR="005F7625" w:rsidRPr="00137504" w14:paraId="66B95B03" w14:textId="77777777" w:rsidTr="005F7625">
        <w:trPr>
          <w:trHeight w:val="288"/>
        </w:trPr>
        <w:tc>
          <w:tcPr>
            <w:tcW w:w="2535" w:type="dxa"/>
            <w:tcBorders>
              <w:top w:val="single" w:sz="4" w:space="0" w:color="auto"/>
              <w:left w:val="nil"/>
              <w:bottom w:val="nil"/>
              <w:right w:val="nil"/>
            </w:tcBorders>
            <w:shd w:val="clear" w:color="auto" w:fill="auto"/>
            <w:vAlign w:val="bottom"/>
          </w:tcPr>
          <w:p w14:paraId="1D53F29C" w14:textId="77777777" w:rsidR="005F7625" w:rsidRPr="00137504" w:rsidRDefault="005F7625" w:rsidP="00137504">
            <w:pPr>
              <w:jc w:val="right"/>
              <w:rPr>
                <w:color w:val="000000"/>
              </w:rPr>
            </w:pPr>
          </w:p>
        </w:tc>
        <w:tc>
          <w:tcPr>
            <w:tcW w:w="630" w:type="dxa"/>
            <w:tcBorders>
              <w:top w:val="single" w:sz="4" w:space="0" w:color="auto"/>
              <w:left w:val="nil"/>
              <w:right w:val="nil"/>
            </w:tcBorders>
            <w:vAlign w:val="bottom"/>
          </w:tcPr>
          <w:p w14:paraId="388F0FC2" w14:textId="77777777" w:rsidR="005F7625" w:rsidRPr="00137504" w:rsidRDefault="005F7625" w:rsidP="005F7625">
            <w:pPr>
              <w:jc w:val="center"/>
              <w:rPr>
                <w:color w:val="000000"/>
              </w:rPr>
            </w:pPr>
          </w:p>
        </w:tc>
        <w:tc>
          <w:tcPr>
            <w:tcW w:w="5249" w:type="dxa"/>
            <w:gridSpan w:val="3"/>
            <w:tcBorders>
              <w:top w:val="single" w:sz="4" w:space="0" w:color="auto"/>
              <w:left w:val="nil"/>
              <w:bottom w:val="single" w:sz="4" w:space="0" w:color="auto"/>
              <w:right w:val="nil"/>
            </w:tcBorders>
            <w:shd w:val="clear" w:color="auto" w:fill="auto"/>
            <w:noWrap/>
            <w:vAlign w:val="bottom"/>
          </w:tcPr>
          <w:p w14:paraId="635C4B15" w14:textId="77777777" w:rsidR="005F7625" w:rsidRPr="00137504" w:rsidRDefault="005F7625" w:rsidP="00137504">
            <w:pPr>
              <w:jc w:val="center"/>
              <w:rPr>
                <w:color w:val="000000"/>
              </w:rPr>
            </w:pPr>
            <w:r w:rsidRPr="00137504">
              <w:rPr>
                <w:color w:val="000000"/>
              </w:rPr>
              <w:t>N (%)</w:t>
            </w:r>
          </w:p>
        </w:tc>
      </w:tr>
      <w:tr w:rsidR="005F7625" w:rsidRPr="00137504" w14:paraId="7F7E3D37" w14:textId="77777777" w:rsidTr="005F7625">
        <w:trPr>
          <w:trHeight w:val="288"/>
        </w:trPr>
        <w:tc>
          <w:tcPr>
            <w:tcW w:w="2535" w:type="dxa"/>
            <w:tcBorders>
              <w:top w:val="nil"/>
              <w:left w:val="nil"/>
              <w:bottom w:val="nil"/>
              <w:right w:val="nil"/>
            </w:tcBorders>
            <w:shd w:val="clear" w:color="auto" w:fill="auto"/>
            <w:vAlign w:val="bottom"/>
            <w:hideMark/>
          </w:tcPr>
          <w:p w14:paraId="6FE581FD" w14:textId="77777777" w:rsidR="005F7625" w:rsidRPr="00137504" w:rsidRDefault="005F7625" w:rsidP="00137504">
            <w:pPr>
              <w:jc w:val="right"/>
              <w:rPr>
                <w:color w:val="000000"/>
              </w:rPr>
            </w:pPr>
            <w:r w:rsidRPr="00137504">
              <w:rPr>
                <w:color w:val="000000"/>
              </w:rPr>
              <w:t xml:space="preserve">Bone Scan Score: </w:t>
            </w:r>
          </w:p>
        </w:tc>
        <w:tc>
          <w:tcPr>
            <w:tcW w:w="630" w:type="dxa"/>
            <w:tcBorders>
              <w:left w:val="nil"/>
              <w:bottom w:val="nil"/>
              <w:right w:val="nil"/>
            </w:tcBorders>
            <w:vAlign w:val="bottom"/>
          </w:tcPr>
          <w:p w14:paraId="52B8C96F" w14:textId="77777777" w:rsidR="005F7625" w:rsidRPr="00137504" w:rsidRDefault="004D47A4" w:rsidP="005F7625">
            <w:pPr>
              <w:jc w:val="center"/>
              <w:rPr>
                <w:color w:val="000000"/>
              </w:rPr>
            </w:pPr>
            <w:r>
              <w:rPr>
                <w:color w:val="000000"/>
              </w:rPr>
              <w:t>2</w:t>
            </w:r>
          </w:p>
        </w:tc>
        <w:tc>
          <w:tcPr>
            <w:tcW w:w="1642" w:type="dxa"/>
            <w:tcBorders>
              <w:top w:val="single" w:sz="4" w:space="0" w:color="auto"/>
              <w:left w:val="nil"/>
              <w:bottom w:val="nil"/>
              <w:right w:val="nil"/>
            </w:tcBorders>
            <w:shd w:val="clear" w:color="auto" w:fill="auto"/>
            <w:noWrap/>
            <w:vAlign w:val="bottom"/>
          </w:tcPr>
          <w:p w14:paraId="1614915A" w14:textId="77777777" w:rsidR="005F7625" w:rsidRPr="00137504" w:rsidRDefault="005F7625" w:rsidP="00137504">
            <w:pPr>
              <w:jc w:val="center"/>
              <w:rPr>
                <w:color w:val="000000"/>
              </w:rPr>
            </w:pPr>
          </w:p>
        </w:tc>
        <w:tc>
          <w:tcPr>
            <w:tcW w:w="1879" w:type="dxa"/>
            <w:tcBorders>
              <w:top w:val="single" w:sz="4" w:space="0" w:color="auto"/>
              <w:left w:val="nil"/>
              <w:bottom w:val="nil"/>
              <w:right w:val="nil"/>
            </w:tcBorders>
            <w:shd w:val="clear" w:color="auto" w:fill="auto"/>
            <w:noWrap/>
            <w:vAlign w:val="bottom"/>
          </w:tcPr>
          <w:p w14:paraId="2E18DDFF" w14:textId="77777777" w:rsidR="005F7625" w:rsidRPr="00137504" w:rsidRDefault="005F7625" w:rsidP="00137504">
            <w:pPr>
              <w:jc w:val="center"/>
              <w:rPr>
                <w:color w:val="000000"/>
              </w:rPr>
            </w:pPr>
          </w:p>
        </w:tc>
        <w:tc>
          <w:tcPr>
            <w:tcW w:w="1728" w:type="dxa"/>
            <w:tcBorders>
              <w:top w:val="single" w:sz="4" w:space="0" w:color="auto"/>
              <w:left w:val="nil"/>
              <w:bottom w:val="nil"/>
              <w:right w:val="nil"/>
            </w:tcBorders>
            <w:shd w:val="clear" w:color="auto" w:fill="auto"/>
            <w:noWrap/>
            <w:vAlign w:val="bottom"/>
            <w:hideMark/>
          </w:tcPr>
          <w:p w14:paraId="0B09513D" w14:textId="77777777" w:rsidR="005F7625" w:rsidRPr="00137504" w:rsidRDefault="005F7625" w:rsidP="00137504">
            <w:pPr>
              <w:jc w:val="center"/>
              <w:rPr>
                <w:color w:val="000000"/>
              </w:rPr>
            </w:pPr>
          </w:p>
        </w:tc>
      </w:tr>
      <w:tr w:rsidR="005F7625" w:rsidRPr="00137504" w14:paraId="3135B43E" w14:textId="77777777" w:rsidTr="005F7625">
        <w:trPr>
          <w:trHeight w:val="288"/>
        </w:trPr>
        <w:tc>
          <w:tcPr>
            <w:tcW w:w="2535" w:type="dxa"/>
            <w:tcBorders>
              <w:top w:val="nil"/>
              <w:left w:val="nil"/>
              <w:bottom w:val="nil"/>
              <w:right w:val="nil"/>
            </w:tcBorders>
            <w:shd w:val="clear" w:color="D9D9D9" w:fill="D9D9D9"/>
            <w:vAlign w:val="bottom"/>
            <w:hideMark/>
          </w:tcPr>
          <w:p w14:paraId="28FF5FB1" w14:textId="77777777" w:rsidR="005F7625" w:rsidRPr="00137504" w:rsidRDefault="005F7625" w:rsidP="00137504">
            <w:pPr>
              <w:jc w:val="right"/>
              <w:rPr>
                <w:color w:val="000000"/>
              </w:rPr>
            </w:pPr>
            <w:r w:rsidRPr="00137504">
              <w:rPr>
                <w:color w:val="000000"/>
              </w:rPr>
              <w:t>1</w:t>
            </w:r>
          </w:p>
        </w:tc>
        <w:tc>
          <w:tcPr>
            <w:tcW w:w="630" w:type="dxa"/>
            <w:tcBorders>
              <w:top w:val="nil"/>
              <w:left w:val="nil"/>
              <w:bottom w:val="nil"/>
              <w:right w:val="nil"/>
            </w:tcBorders>
            <w:shd w:val="clear" w:color="D9D9D9" w:fill="D9D9D9"/>
            <w:vAlign w:val="bottom"/>
          </w:tcPr>
          <w:p w14:paraId="6806D4C0" w14:textId="77777777" w:rsidR="005F7625" w:rsidRPr="00137504" w:rsidRDefault="005F7625" w:rsidP="005F7625">
            <w:pPr>
              <w:jc w:val="center"/>
              <w:rPr>
                <w:color w:val="000000"/>
              </w:rPr>
            </w:pPr>
          </w:p>
        </w:tc>
        <w:tc>
          <w:tcPr>
            <w:tcW w:w="1642" w:type="dxa"/>
            <w:tcBorders>
              <w:top w:val="nil"/>
              <w:left w:val="nil"/>
              <w:bottom w:val="nil"/>
              <w:right w:val="nil"/>
            </w:tcBorders>
            <w:shd w:val="clear" w:color="D9D9D9" w:fill="D9D9D9"/>
            <w:noWrap/>
            <w:vAlign w:val="bottom"/>
          </w:tcPr>
          <w:p w14:paraId="691CC694" w14:textId="77777777" w:rsidR="005F7625" w:rsidRPr="00137504" w:rsidRDefault="005F7625" w:rsidP="00137504">
            <w:pPr>
              <w:jc w:val="center"/>
              <w:rPr>
                <w:color w:val="000000"/>
              </w:rPr>
            </w:pPr>
            <w:r w:rsidRPr="00137504">
              <w:rPr>
                <w:color w:val="000000"/>
              </w:rPr>
              <w:t>0 (0)</w:t>
            </w:r>
          </w:p>
        </w:tc>
        <w:tc>
          <w:tcPr>
            <w:tcW w:w="1879" w:type="dxa"/>
            <w:tcBorders>
              <w:top w:val="nil"/>
              <w:left w:val="nil"/>
              <w:bottom w:val="nil"/>
              <w:right w:val="nil"/>
            </w:tcBorders>
            <w:shd w:val="clear" w:color="D9D9D9" w:fill="D9D9D9"/>
            <w:noWrap/>
            <w:vAlign w:val="bottom"/>
          </w:tcPr>
          <w:p w14:paraId="0FFB0D23" w14:textId="77777777" w:rsidR="005F7625" w:rsidRPr="00137504" w:rsidRDefault="005F7625" w:rsidP="00137504">
            <w:pPr>
              <w:jc w:val="center"/>
              <w:rPr>
                <w:color w:val="000000"/>
              </w:rPr>
            </w:pPr>
            <w:r w:rsidRPr="00137504">
              <w:rPr>
                <w:color w:val="000000"/>
              </w:rPr>
              <w:t>5 (15.2)</w:t>
            </w:r>
          </w:p>
        </w:tc>
        <w:tc>
          <w:tcPr>
            <w:tcW w:w="1728" w:type="dxa"/>
            <w:tcBorders>
              <w:top w:val="nil"/>
              <w:left w:val="nil"/>
              <w:bottom w:val="nil"/>
              <w:right w:val="nil"/>
            </w:tcBorders>
            <w:shd w:val="clear" w:color="D9D9D9" w:fill="D9D9D9"/>
            <w:noWrap/>
            <w:vAlign w:val="bottom"/>
            <w:hideMark/>
          </w:tcPr>
          <w:p w14:paraId="2D33A460" w14:textId="77777777" w:rsidR="005F7625" w:rsidRPr="00137504" w:rsidRDefault="005F7625" w:rsidP="00137504">
            <w:pPr>
              <w:jc w:val="center"/>
              <w:rPr>
                <w:color w:val="000000"/>
              </w:rPr>
            </w:pPr>
            <w:r w:rsidRPr="00137504">
              <w:rPr>
                <w:color w:val="000000"/>
              </w:rPr>
              <w:t>5 (10.0)</w:t>
            </w:r>
          </w:p>
        </w:tc>
      </w:tr>
      <w:tr w:rsidR="005F7625" w:rsidRPr="00137504" w14:paraId="473B2FA0" w14:textId="77777777" w:rsidTr="005F7625">
        <w:trPr>
          <w:trHeight w:val="288"/>
        </w:trPr>
        <w:tc>
          <w:tcPr>
            <w:tcW w:w="2535" w:type="dxa"/>
            <w:tcBorders>
              <w:top w:val="nil"/>
              <w:left w:val="nil"/>
              <w:bottom w:val="nil"/>
              <w:right w:val="nil"/>
            </w:tcBorders>
            <w:shd w:val="clear" w:color="auto" w:fill="auto"/>
            <w:vAlign w:val="bottom"/>
            <w:hideMark/>
          </w:tcPr>
          <w:p w14:paraId="74507F4B" w14:textId="77777777" w:rsidR="005F7625" w:rsidRPr="00137504" w:rsidRDefault="005F7625" w:rsidP="00137504">
            <w:pPr>
              <w:jc w:val="right"/>
              <w:rPr>
                <w:color w:val="000000"/>
              </w:rPr>
            </w:pPr>
            <w:r w:rsidRPr="00137504">
              <w:rPr>
                <w:color w:val="000000"/>
              </w:rPr>
              <w:t>2</w:t>
            </w:r>
          </w:p>
        </w:tc>
        <w:tc>
          <w:tcPr>
            <w:tcW w:w="630" w:type="dxa"/>
            <w:tcBorders>
              <w:top w:val="nil"/>
              <w:left w:val="nil"/>
              <w:bottom w:val="nil"/>
              <w:right w:val="nil"/>
            </w:tcBorders>
            <w:vAlign w:val="bottom"/>
          </w:tcPr>
          <w:p w14:paraId="4F30591B" w14:textId="77777777" w:rsidR="005F7625" w:rsidRPr="00137504" w:rsidRDefault="005F7625" w:rsidP="005F7625">
            <w:pPr>
              <w:jc w:val="center"/>
              <w:rPr>
                <w:color w:val="000000"/>
              </w:rPr>
            </w:pPr>
          </w:p>
        </w:tc>
        <w:tc>
          <w:tcPr>
            <w:tcW w:w="1642" w:type="dxa"/>
            <w:tcBorders>
              <w:top w:val="nil"/>
              <w:left w:val="nil"/>
              <w:bottom w:val="nil"/>
              <w:right w:val="nil"/>
            </w:tcBorders>
            <w:shd w:val="clear" w:color="auto" w:fill="auto"/>
            <w:noWrap/>
            <w:vAlign w:val="bottom"/>
          </w:tcPr>
          <w:p w14:paraId="0CD73A34" w14:textId="77777777" w:rsidR="005F7625" w:rsidRPr="00137504" w:rsidRDefault="005F7625" w:rsidP="00137504">
            <w:pPr>
              <w:jc w:val="center"/>
              <w:rPr>
                <w:color w:val="000000"/>
              </w:rPr>
            </w:pPr>
            <w:r w:rsidRPr="00137504">
              <w:rPr>
                <w:color w:val="000000"/>
              </w:rPr>
              <w:t>3 (17.7)</w:t>
            </w:r>
          </w:p>
        </w:tc>
        <w:tc>
          <w:tcPr>
            <w:tcW w:w="1879" w:type="dxa"/>
            <w:tcBorders>
              <w:top w:val="nil"/>
              <w:left w:val="nil"/>
              <w:bottom w:val="nil"/>
              <w:right w:val="nil"/>
            </w:tcBorders>
            <w:shd w:val="clear" w:color="auto" w:fill="auto"/>
            <w:noWrap/>
            <w:vAlign w:val="bottom"/>
          </w:tcPr>
          <w:p w14:paraId="37E084C1" w14:textId="77777777" w:rsidR="005F7625" w:rsidRPr="00137504" w:rsidRDefault="005F7625" w:rsidP="00137504">
            <w:pPr>
              <w:jc w:val="center"/>
              <w:rPr>
                <w:color w:val="000000"/>
              </w:rPr>
            </w:pPr>
            <w:r w:rsidRPr="00137504">
              <w:rPr>
                <w:color w:val="000000"/>
              </w:rPr>
              <w:t>10 (30.3)</w:t>
            </w:r>
          </w:p>
        </w:tc>
        <w:tc>
          <w:tcPr>
            <w:tcW w:w="1728" w:type="dxa"/>
            <w:tcBorders>
              <w:top w:val="nil"/>
              <w:left w:val="nil"/>
              <w:bottom w:val="nil"/>
              <w:right w:val="nil"/>
            </w:tcBorders>
            <w:shd w:val="clear" w:color="auto" w:fill="auto"/>
            <w:noWrap/>
            <w:vAlign w:val="bottom"/>
            <w:hideMark/>
          </w:tcPr>
          <w:p w14:paraId="3B51ABDE" w14:textId="77777777" w:rsidR="005F7625" w:rsidRPr="00137504" w:rsidRDefault="005F7625" w:rsidP="00137504">
            <w:pPr>
              <w:jc w:val="center"/>
              <w:rPr>
                <w:color w:val="000000"/>
              </w:rPr>
            </w:pPr>
            <w:r w:rsidRPr="00137504">
              <w:rPr>
                <w:color w:val="000000"/>
              </w:rPr>
              <w:t>13 (36.0)</w:t>
            </w:r>
          </w:p>
        </w:tc>
      </w:tr>
      <w:tr w:rsidR="005F7625" w:rsidRPr="00137504" w14:paraId="5E83BCF4" w14:textId="77777777" w:rsidTr="005F7625">
        <w:trPr>
          <w:trHeight w:val="288"/>
        </w:trPr>
        <w:tc>
          <w:tcPr>
            <w:tcW w:w="2535" w:type="dxa"/>
            <w:tcBorders>
              <w:top w:val="nil"/>
              <w:left w:val="nil"/>
              <w:bottom w:val="nil"/>
              <w:right w:val="nil"/>
            </w:tcBorders>
            <w:shd w:val="clear" w:color="D9D9D9" w:fill="D9D9D9"/>
            <w:vAlign w:val="bottom"/>
            <w:hideMark/>
          </w:tcPr>
          <w:p w14:paraId="449EEE02" w14:textId="77777777" w:rsidR="005F7625" w:rsidRPr="00137504" w:rsidRDefault="005F7625" w:rsidP="00137504">
            <w:pPr>
              <w:jc w:val="right"/>
              <w:rPr>
                <w:color w:val="000000"/>
              </w:rPr>
            </w:pPr>
            <w:r w:rsidRPr="00137504">
              <w:rPr>
                <w:color w:val="000000"/>
              </w:rPr>
              <w:t>3</w:t>
            </w:r>
          </w:p>
        </w:tc>
        <w:tc>
          <w:tcPr>
            <w:tcW w:w="630" w:type="dxa"/>
            <w:tcBorders>
              <w:top w:val="nil"/>
              <w:left w:val="nil"/>
              <w:bottom w:val="nil"/>
              <w:right w:val="nil"/>
            </w:tcBorders>
            <w:shd w:val="clear" w:color="D9D9D9" w:fill="D9D9D9"/>
            <w:vAlign w:val="bottom"/>
          </w:tcPr>
          <w:p w14:paraId="201D973F" w14:textId="77777777" w:rsidR="005F7625" w:rsidRPr="00137504" w:rsidRDefault="005F7625" w:rsidP="005F7625">
            <w:pPr>
              <w:jc w:val="center"/>
              <w:rPr>
                <w:color w:val="000000"/>
              </w:rPr>
            </w:pPr>
          </w:p>
        </w:tc>
        <w:tc>
          <w:tcPr>
            <w:tcW w:w="1642" w:type="dxa"/>
            <w:tcBorders>
              <w:top w:val="nil"/>
              <w:left w:val="nil"/>
              <w:bottom w:val="nil"/>
              <w:right w:val="nil"/>
            </w:tcBorders>
            <w:shd w:val="clear" w:color="D9D9D9" w:fill="D9D9D9"/>
            <w:noWrap/>
            <w:vAlign w:val="bottom"/>
          </w:tcPr>
          <w:p w14:paraId="2A402188" w14:textId="77777777" w:rsidR="005F7625" w:rsidRPr="00137504" w:rsidRDefault="005F7625" w:rsidP="00137504">
            <w:pPr>
              <w:jc w:val="center"/>
              <w:rPr>
                <w:color w:val="000000"/>
              </w:rPr>
            </w:pPr>
            <w:r w:rsidRPr="00137504">
              <w:rPr>
                <w:color w:val="000000"/>
              </w:rPr>
              <w:t>13 (76.5)</w:t>
            </w:r>
          </w:p>
        </w:tc>
        <w:tc>
          <w:tcPr>
            <w:tcW w:w="1879" w:type="dxa"/>
            <w:tcBorders>
              <w:top w:val="nil"/>
              <w:left w:val="nil"/>
              <w:bottom w:val="nil"/>
              <w:right w:val="nil"/>
            </w:tcBorders>
            <w:shd w:val="clear" w:color="D9D9D9" w:fill="D9D9D9"/>
            <w:noWrap/>
            <w:vAlign w:val="bottom"/>
          </w:tcPr>
          <w:p w14:paraId="7953297B" w14:textId="77777777" w:rsidR="005F7625" w:rsidRPr="00137504" w:rsidRDefault="005F7625" w:rsidP="00137504">
            <w:pPr>
              <w:jc w:val="center"/>
              <w:rPr>
                <w:color w:val="000000"/>
              </w:rPr>
            </w:pPr>
            <w:r w:rsidRPr="00137504">
              <w:rPr>
                <w:color w:val="000000"/>
              </w:rPr>
              <w:t>17 (51.5)</w:t>
            </w:r>
          </w:p>
        </w:tc>
        <w:tc>
          <w:tcPr>
            <w:tcW w:w="1728" w:type="dxa"/>
            <w:tcBorders>
              <w:top w:val="nil"/>
              <w:left w:val="nil"/>
              <w:bottom w:val="nil"/>
              <w:right w:val="nil"/>
            </w:tcBorders>
            <w:shd w:val="clear" w:color="D9D9D9" w:fill="D9D9D9"/>
            <w:noWrap/>
            <w:vAlign w:val="bottom"/>
            <w:hideMark/>
          </w:tcPr>
          <w:p w14:paraId="066B540A" w14:textId="77777777" w:rsidR="005F7625" w:rsidRPr="00137504" w:rsidRDefault="005F7625" w:rsidP="00137504">
            <w:pPr>
              <w:jc w:val="center"/>
              <w:rPr>
                <w:color w:val="000000"/>
              </w:rPr>
            </w:pPr>
            <w:r w:rsidRPr="00137504">
              <w:rPr>
                <w:color w:val="000000"/>
              </w:rPr>
              <w:t>30 (60.0)</w:t>
            </w:r>
          </w:p>
        </w:tc>
      </w:tr>
      <w:tr w:rsidR="005F7625" w:rsidRPr="00137504" w14:paraId="60A1863B" w14:textId="77777777" w:rsidTr="005F7625">
        <w:trPr>
          <w:trHeight w:val="288"/>
        </w:trPr>
        <w:tc>
          <w:tcPr>
            <w:tcW w:w="2535" w:type="dxa"/>
            <w:tcBorders>
              <w:top w:val="nil"/>
              <w:left w:val="nil"/>
              <w:bottom w:val="nil"/>
              <w:right w:val="nil"/>
            </w:tcBorders>
            <w:shd w:val="clear" w:color="auto" w:fill="auto"/>
            <w:vAlign w:val="bottom"/>
            <w:hideMark/>
          </w:tcPr>
          <w:p w14:paraId="7EF4B4C1" w14:textId="77777777" w:rsidR="005F7625" w:rsidRPr="00137504" w:rsidRDefault="005F7625" w:rsidP="00137504">
            <w:pPr>
              <w:jc w:val="right"/>
              <w:rPr>
                <w:color w:val="000000"/>
              </w:rPr>
            </w:pPr>
            <w:r w:rsidRPr="00137504">
              <w:rPr>
                <w:color w:val="000000"/>
              </w:rPr>
              <w:t>Tumor Grade:</w:t>
            </w:r>
          </w:p>
        </w:tc>
        <w:tc>
          <w:tcPr>
            <w:tcW w:w="630" w:type="dxa"/>
            <w:tcBorders>
              <w:top w:val="nil"/>
              <w:left w:val="nil"/>
              <w:bottom w:val="nil"/>
              <w:right w:val="nil"/>
            </w:tcBorders>
            <w:vAlign w:val="bottom"/>
          </w:tcPr>
          <w:p w14:paraId="0CC74155" w14:textId="77777777" w:rsidR="005F7625" w:rsidRPr="00137504" w:rsidRDefault="004D47A4" w:rsidP="005F7625">
            <w:pPr>
              <w:jc w:val="center"/>
              <w:rPr>
                <w:color w:val="000000"/>
              </w:rPr>
            </w:pPr>
            <w:r>
              <w:rPr>
                <w:color w:val="000000"/>
              </w:rPr>
              <w:t>9</w:t>
            </w:r>
          </w:p>
        </w:tc>
        <w:tc>
          <w:tcPr>
            <w:tcW w:w="1642" w:type="dxa"/>
            <w:tcBorders>
              <w:top w:val="nil"/>
              <w:left w:val="nil"/>
              <w:bottom w:val="nil"/>
              <w:right w:val="nil"/>
            </w:tcBorders>
            <w:shd w:val="clear" w:color="auto" w:fill="auto"/>
            <w:noWrap/>
            <w:vAlign w:val="bottom"/>
          </w:tcPr>
          <w:p w14:paraId="53221F09" w14:textId="77777777" w:rsidR="005F7625" w:rsidRPr="00137504" w:rsidRDefault="005F7625" w:rsidP="00137504">
            <w:pPr>
              <w:jc w:val="center"/>
              <w:rPr>
                <w:color w:val="000000"/>
              </w:rPr>
            </w:pPr>
            <w:r w:rsidRPr="00137504">
              <w:rPr>
                <w:color w:val="000000"/>
              </w:rPr>
              <w:t xml:space="preserve"> </w:t>
            </w:r>
          </w:p>
        </w:tc>
        <w:tc>
          <w:tcPr>
            <w:tcW w:w="1879" w:type="dxa"/>
            <w:tcBorders>
              <w:top w:val="nil"/>
              <w:left w:val="nil"/>
              <w:bottom w:val="nil"/>
              <w:right w:val="nil"/>
            </w:tcBorders>
            <w:shd w:val="clear" w:color="auto" w:fill="auto"/>
            <w:noWrap/>
            <w:vAlign w:val="bottom"/>
          </w:tcPr>
          <w:p w14:paraId="5F0D8F35" w14:textId="77777777" w:rsidR="005F7625" w:rsidRPr="00137504" w:rsidRDefault="005F7625" w:rsidP="00137504">
            <w:pPr>
              <w:jc w:val="center"/>
              <w:rPr>
                <w:color w:val="000000"/>
              </w:rPr>
            </w:pPr>
            <w:r w:rsidRPr="00137504">
              <w:rPr>
                <w:color w:val="000000"/>
              </w:rPr>
              <w:t xml:space="preserve"> </w:t>
            </w:r>
          </w:p>
        </w:tc>
        <w:tc>
          <w:tcPr>
            <w:tcW w:w="1728" w:type="dxa"/>
            <w:tcBorders>
              <w:top w:val="nil"/>
              <w:left w:val="nil"/>
              <w:bottom w:val="nil"/>
              <w:right w:val="nil"/>
            </w:tcBorders>
            <w:shd w:val="clear" w:color="auto" w:fill="auto"/>
            <w:noWrap/>
            <w:vAlign w:val="bottom"/>
            <w:hideMark/>
          </w:tcPr>
          <w:p w14:paraId="263BD685" w14:textId="77777777" w:rsidR="005F7625" w:rsidRPr="00137504" w:rsidRDefault="005F7625" w:rsidP="00137504">
            <w:pPr>
              <w:jc w:val="center"/>
              <w:rPr>
                <w:color w:val="000000"/>
              </w:rPr>
            </w:pPr>
            <w:r w:rsidRPr="00137504">
              <w:rPr>
                <w:color w:val="000000"/>
              </w:rPr>
              <w:t xml:space="preserve">  </w:t>
            </w:r>
          </w:p>
        </w:tc>
      </w:tr>
      <w:tr w:rsidR="005F7625" w:rsidRPr="00137504" w14:paraId="6676624E" w14:textId="77777777" w:rsidTr="005F7625">
        <w:trPr>
          <w:trHeight w:val="288"/>
        </w:trPr>
        <w:tc>
          <w:tcPr>
            <w:tcW w:w="2535" w:type="dxa"/>
            <w:tcBorders>
              <w:top w:val="nil"/>
              <w:left w:val="nil"/>
              <w:bottom w:val="nil"/>
              <w:right w:val="nil"/>
            </w:tcBorders>
            <w:shd w:val="clear" w:color="D9D9D9" w:fill="D9D9D9"/>
            <w:vAlign w:val="bottom"/>
            <w:hideMark/>
          </w:tcPr>
          <w:p w14:paraId="2FA75E13" w14:textId="77777777" w:rsidR="005F7625" w:rsidRPr="00137504" w:rsidRDefault="005F7625" w:rsidP="00137504">
            <w:pPr>
              <w:jc w:val="right"/>
              <w:rPr>
                <w:color w:val="000000"/>
              </w:rPr>
            </w:pPr>
            <w:r w:rsidRPr="00137504">
              <w:rPr>
                <w:color w:val="000000"/>
              </w:rPr>
              <w:t>1</w:t>
            </w:r>
          </w:p>
        </w:tc>
        <w:tc>
          <w:tcPr>
            <w:tcW w:w="630" w:type="dxa"/>
            <w:tcBorders>
              <w:top w:val="nil"/>
              <w:left w:val="nil"/>
              <w:bottom w:val="nil"/>
              <w:right w:val="nil"/>
            </w:tcBorders>
            <w:shd w:val="clear" w:color="D9D9D9" w:fill="D9D9D9"/>
            <w:vAlign w:val="bottom"/>
          </w:tcPr>
          <w:p w14:paraId="42D0D42C" w14:textId="77777777" w:rsidR="005F7625" w:rsidRPr="00137504" w:rsidRDefault="005F7625" w:rsidP="005F7625">
            <w:pPr>
              <w:jc w:val="center"/>
              <w:rPr>
                <w:color w:val="000000"/>
              </w:rPr>
            </w:pPr>
          </w:p>
        </w:tc>
        <w:tc>
          <w:tcPr>
            <w:tcW w:w="1642" w:type="dxa"/>
            <w:tcBorders>
              <w:top w:val="nil"/>
              <w:left w:val="nil"/>
              <w:bottom w:val="nil"/>
              <w:right w:val="nil"/>
            </w:tcBorders>
            <w:shd w:val="clear" w:color="D9D9D9" w:fill="D9D9D9"/>
            <w:noWrap/>
            <w:vAlign w:val="bottom"/>
          </w:tcPr>
          <w:p w14:paraId="60686A95" w14:textId="77777777" w:rsidR="005F7625" w:rsidRPr="00137504" w:rsidRDefault="005F7625" w:rsidP="00137504">
            <w:pPr>
              <w:jc w:val="center"/>
              <w:rPr>
                <w:color w:val="000000"/>
              </w:rPr>
            </w:pPr>
            <w:r w:rsidRPr="00137504">
              <w:rPr>
                <w:color w:val="000000"/>
              </w:rPr>
              <w:t>3 (17.7)</w:t>
            </w:r>
          </w:p>
        </w:tc>
        <w:tc>
          <w:tcPr>
            <w:tcW w:w="1879" w:type="dxa"/>
            <w:tcBorders>
              <w:top w:val="nil"/>
              <w:left w:val="nil"/>
              <w:bottom w:val="nil"/>
              <w:right w:val="nil"/>
            </w:tcBorders>
            <w:shd w:val="clear" w:color="D9D9D9" w:fill="D9D9D9"/>
            <w:noWrap/>
            <w:vAlign w:val="bottom"/>
          </w:tcPr>
          <w:p w14:paraId="20CDC4BA" w14:textId="77777777" w:rsidR="005F7625" w:rsidRPr="00137504" w:rsidRDefault="005F7625" w:rsidP="00137504">
            <w:pPr>
              <w:jc w:val="center"/>
              <w:rPr>
                <w:color w:val="000000"/>
              </w:rPr>
            </w:pPr>
            <w:r w:rsidRPr="00137504">
              <w:rPr>
                <w:color w:val="000000"/>
              </w:rPr>
              <w:t>7 (21.2)</w:t>
            </w:r>
          </w:p>
        </w:tc>
        <w:tc>
          <w:tcPr>
            <w:tcW w:w="1728" w:type="dxa"/>
            <w:tcBorders>
              <w:top w:val="nil"/>
              <w:left w:val="nil"/>
              <w:bottom w:val="nil"/>
              <w:right w:val="nil"/>
            </w:tcBorders>
            <w:shd w:val="clear" w:color="D9D9D9" w:fill="D9D9D9"/>
            <w:noWrap/>
            <w:vAlign w:val="bottom"/>
            <w:hideMark/>
          </w:tcPr>
          <w:p w14:paraId="1100CAF2" w14:textId="77777777" w:rsidR="005F7625" w:rsidRPr="00137504" w:rsidRDefault="005F7625" w:rsidP="00137504">
            <w:pPr>
              <w:jc w:val="center"/>
              <w:rPr>
                <w:color w:val="000000"/>
              </w:rPr>
            </w:pPr>
            <w:r w:rsidRPr="00137504">
              <w:rPr>
                <w:color w:val="000000"/>
              </w:rPr>
              <w:t>10 (20.0)</w:t>
            </w:r>
          </w:p>
        </w:tc>
      </w:tr>
      <w:tr w:rsidR="005F7625" w:rsidRPr="00137504" w14:paraId="2D9C5565" w14:textId="77777777" w:rsidTr="005F7625">
        <w:trPr>
          <w:trHeight w:val="288"/>
        </w:trPr>
        <w:tc>
          <w:tcPr>
            <w:tcW w:w="2535" w:type="dxa"/>
            <w:tcBorders>
              <w:top w:val="nil"/>
              <w:left w:val="nil"/>
              <w:bottom w:val="nil"/>
              <w:right w:val="nil"/>
            </w:tcBorders>
            <w:shd w:val="clear" w:color="auto" w:fill="auto"/>
            <w:vAlign w:val="bottom"/>
            <w:hideMark/>
          </w:tcPr>
          <w:p w14:paraId="66A6339C" w14:textId="77777777" w:rsidR="005F7625" w:rsidRPr="00137504" w:rsidRDefault="005F7625" w:rsidP="00137504">
            <w:pPr>
              <w:jc w:val="right"/>
              <w:rPr>
                <w:color w:val="000000"/>
              </w:rPr>
            </w:pPr>
            <w:r w:rsidRPr="00137504">
              <w:rPr>
                <w:color w:val="000000"/>
              </w:rPr>
              <w:t>2</w:t>
            </w:r>
          </w:p>
        </w:tc>
        <w:tc>
          <w:tcPr>
            <w:tcW w:w="630" w:type="dxa"/>
            <w:tcBorders>
              <w:top w:val="nil"/>
              <w:left w:val="nil"/>
              <w:bottom w:val="nil"/>
              <w:right w:val="nil"/>
            </w:tcBorders>
            <w:vAlign w:val="bottom"/>
          </w:tcPr>
          <w:p w14:paraId="1116C962" w14:textId="77777777" w:rsidR="005F7625" w:rsidRPr="00137504" w:rsidRDefault="005F7625" w:rsidP="005F7625">
            <w:pPr>
              <w:jc w:val="center"/>
              <w:rPr>
                <w:color w:val="000000"/>
              </w:rPr>
            </w:pPr>
          </w:p>
        </w:tc>
        <w:tc>
          <w:tcPr>
            <w:tcW w:w="1642" w:type="dxa"/>
            <w:tcBorders>
              <w:top w:val="nil"/>
              <w:left w:val="nil"/>
              <w:bottom w:val="nil"/>
              <w:right w:val="nil"/>
            </w:tcBorders>
            <w:shd w:val="clear" w:color="auto" w:fill="auto"/>
            <w:noWrap/>
            <w:vAlign w:val="bottom"/>
          </w:tcPr>
          <w:p w14:paraId="323862AF" w14:textId="77777777" w:rsidR="005F7625" w:rsidRPr="00137504" w:rsidRDefault="005F7625" w:rsidP="00137504">
            <w:pPr>
              <w:jc w:val="center"/>
              <w:rPr>
                <w:color w:val="000000"/>
              </w:rPr>
            </w:pPr>
            <w:r w:rsidRPr="00137504">
              <w:rPr>
                <w:color w:val="000000"/>
              </w:rPr>
              <w:t>5 (29.4)</w:t>
            </w:r>
          </w:p>
        </w:tc>
        <w:tc>
          <w:tcPr>
            <w:tcW w:w="1879" w:type="dxa"/>
            <w:tcBorders>
              <w:top w:val="nil"/>
              <w:left w:val="nil"/>
              <w:bottom w:val="nil"/>
              <w:right w:val="nil"/>
            </w:tcBorders>
            <w:shd w:val="clear" w:color="auto" w:fill="auto"/>
            <w:noWrap/>
            <w:vAlign w:val="bottom"/>
          </w:tcPr>
          <w:p w14:paraId="382EA240" w14:textId="77777777" w:rsidR="005F7625" w:rsidRPr="00137504" w:rsidRDefault="005F7625" w:rsidP="00137504">
            <w:pPr>
              <w:jc w:val="center"/>
              <w:rPr>
                <w:color w:val="000000"/>
              </w:rPr>
            </w:pPr>
            <w:r w:rsidRPr="00137504">
              <w:rPr>
                <w:color w:val="000000"/>
              </w:rPr>
              <w:t>10 (30.3)</w:t>
            </w:r>
          </w:p>
        </w:tc>
        <w:tc>
          <w:tcPr>
            <w:tcW w:w="1728" w:type="dxa"/>
            <w:tcBorders>
              <w:top w:val="nil"/>
              <w:left w:val="nil"/>
              <w:bottom w:val="nil"/>
              <w:right w:val="nil"/>
            </w:tcBorders>
            <w:shd w:val="clear" w:color="auto" w:fill="auto"/>
            <w:noWrap/>
            <w:vAlign w:val="bottom"/>
            <w:hideMark/>
          </w:tcPr>
          <w:p w14:paraId="70134072" w14:textId="77777777" w:rsidR="005F7625" w:rsidRPr="00137504" w:rsidRDefault="005F7625" w:rsidP="00137504">
            <w:pPr>
              <w:jc w:val="center"/>
              <w:rPr>
                <w:color w:val="000000"/>
              </w:rPr>
            </w:pPr>
            <w:r w:rsidRPr="00137504">
              <w:rPr>
                <w:color w:val="000000"/>
              </w:rPr>
              <w:t>15 (30.0)</w:t>
            </w:r>
          </w:p>
        </w:tc>
      </w:tr>
      <w:tr w:rsidR="005F7625" w:rsidRPr="00137504" w14:paraId="177F8438" w14:textId="77777777" w:rsidTr="005F7625">
        <w:trPr>
          <w:trHeight w:val="288"/>
        </w:trPr>
        <w:tc>
          <w:tcPr>
            <w:tcW w:w="2535" w:type="dxa"/>
            <w:tcBorders>
              <w:top w:val="nil"/>
              <w:left w:val="nil"/>
              <w:bottom w:val="nil"/>
              <w:right w:val="nil"/>
            </w:tcBorders>
            <w:shd w:val="clear" w:color="D9D9D9" w:fill="D9D9D9"/>
            <w:vAlign w:val="bottom"/>
            <w:hideMark/>
          </w:tcPr>
          <w:p w14:paraId="6184C075" w14:textId="77777777" w:rsidR="005F7625" w:rsidRPr="00137504" w:rsidRDefault="005F7625" w:rsidP="00137504">
            <w:pPr>
              <w:jc w:val="right"/>
              <w:rPr>
                <w:color w:val="000000"/>
              </w:rPr>
            </w:pPr>
            <w:r w:rsidRPr="00137504">
              <w:rPr>
                <w:color w:val="000000"/>
              </w:rPr>
              <w:t>3</w:t>
            </w:r>
          </w:p>
        </w:tc>
        <w:tc>
          <w:tcPr>
            <w:tcW w:w="630" w:type="dxa"/>
            <w:tcBorders>
              <w:top w:val="nil"/>
              <w:left w:val="nil"/>
              <w:bottom w:val="nil"/>
              <w:right w:val="nil"/>
            </w:tcBorders>
            <w:shd w:val="clear" w:color="D9D9D9" w:fill="D9D9D9"/>
            <w:vAlign w:val="bottom"/>
          </w:tcPr>
          <w:p w14:paraId="3CD82E42" w14:textId="77777777" w:rsidR="005F7625" w:rsidRPr="00137504" w:rsidRDefault="005F7625" w:rsidP="005F7625">
            <w:pPr>
              <w:jc w:val="center"/>
              <w:rPr>
                <w:color w:val="000000"/>
              </w:rPr>
            </w:pPr>
          </w:p>
        </w:tc>
        <w:tc>
          <w:tcPr>
            <w:tcW w:w="1642" w:type="dxa"/>
            <w:tcBorders>
              <w:top w:val="nil"/>
              <w:left w:val="nil"/>
              <w:bottom w:val="nil"/>
              <w:right w:val="nil"/>
            </w:tcBorders>
            <w:shd w:val="clear" w:color="D9D9D9" w:fill="D9D9D9"/>
            <w:noWrap/>
            <w:vAlign w:val="bottom"/>
          </w:tcPr>
          <w:p w14:paraId="4C736714" w14:textId="77777777" w:rsidR="005F7625" w:rsidRPr="00137504" w:rsidRDefault="005F7625" w:rsidP="00137504">
            <w:pPr>
              <w:jc w:val="center"/>
              <w:rPr>
                <w:color w:val="000000"/>
              </w:rPr>
            </w:pPr>
            <w:r w:rsidRPr="00137504">
              <w:rPr>
                <w:color w:val="000000"/>
              </w:rPr>
              <w:t>4 (23.53)</w:t>
            </w:r>
          </w:p>
        </w:tc>
        <w:tc>
          <w:tcPr>
            <w:tcW w:w="1879" w:type="dxa"/>
            <w:tcBorders>
              <w:top w:val="nil"/>
              <w:left w:val="nil"/>
              <w:bottom w:val="nil"/>
              <w:right w:val="nil"/>
            </w:tcBorders>
            <w:shd w:val="clear" w:color="D9D9D9" w:fill="D9D9D9"/>
            <w:noWrap/>
            <w:vAlign w:val="bottom"/>
          </w:tcPr>
          <w:p w14:paraId="02464096" w14:textId="77777777" w:rsidR="005F7625" w:rsidRPr="00137504" w:rsidRDefault="005F7625" w:rsidP="00137504">
            <w:pPr>
              <w:jc w:val="center"/>
              <w:rPr>
                <w:color w:val="000000"/>
              </w:rPr>
            </w:pPr>
            <w:r w:rsidRPr="00137504">
              <w:rPr>
                <w:color w:val="000000"/>
              </w:rPr>
              <w:t>12 (36.4)</w:t>
            </w:r>
          </w:p>
        </w:tc>
        <w:tc>
          <w:tcPr>
            <w:tcW w:w="1728" w:type="dxa"/>
            <w:tcBorders>
              <w:top w:val="nil"/>
              <w:left w:val="nil"/>
              <w:bottom w:val="nil"/>
              <w:right w:val="nil"/>
            </w:tcBorders>
            <w:shd w:val="clear" w:color="D9D9D9" w:fill="D9D9D9"/>
            <w:noWrap/>
            <w:vAlign w:val="bottom"/>
            <w:hideMark/>
          </w:tcPr>
          <w:p w14:paraId="5C28778F" w14:textId="77777777" w:rsidR="005F7625" w:rsidRPr="00137504" w:rsidRDefault="005F7625" w:rsidP="00137504">
            <w:pPr>
              <w:jc w:val="center"/>
              <w:rPr>
                <w:color w:val="000000"/>
              </w:rPr>
            </w:pPr>
            <w:r w:rsidRPr="00137504">
              <w:rPr>
                <w:color w:val="000000"/>
              </w:rPr>
              <w:t>16 (32.0)</w:t>
            </w:r>
          </w:p>
        </w:tc>
      </w:tr>
      <w:tr w:rsidR="005F7625" w:rsidRPr="00137504" w14:paraId="71A96D2E" w14:textId="77777777" w:rsidTr="005F7625">
        <w:trPr>
          <w:trHeight w:val="288"/>
        </w:trPr>
        <w:tc>
          <w:tcPr>
            <w:tcW w:w="2535" w:type="dxa"/>
            <w:tcBorders>
              <w:top w:val="nil"/>
              <w:left w:val="nil"/>
              <w:bottom w:val="single" w:sz="4" w:space="0" w:color="000000"/>
              <w:right w:val="nil"/>
            </w:tcBorders>
            <w:shd w:val="clear" w:color="D9D9D9" w:fill="D9D9D9"/>
            <w:vAlign w:val="bottom"/>
          </w:tcPr>
          <w:p w14:paraId="1200059B" w14:textId="77777777" w:rsidR="005F7625" w:rsidRPr="00137504" w:rsidRDefault="005F7625" w:rsidP="00137504">
            <w:pPr>
              <w:jc w:val="right"/>
              <w:rPr>
                <w:color w:val="000000"/>
              </w:rPr>
            </w:pPr>
            <w:r w:rsidRPr="00137504">
              <w:rPr>
                <w:color w:val="000000"/>
              </w:rPr>
              <w:t>Relapsed within 24 months</w:t>
            </w:r>
          </w:p>
        </w:tc>
        <w:tc>
          <w:tcPr>
            <w:tcW w:w="630" w:type="dxa"/>
            <w:tcBorders>
              <w:top w:val="nil"/>
              <w:left w:val="nil"/>
              <w:bottom w:val="single" w:sz="4" w:space="0" w:color="000000"/>
              <w:right w:val="nil"/>
            </w:tcBorders>
            <w:shd w:val="clear" w:color="D9D9D9" w:fill="D9D9D9"/>
            <w:vAlign w:val="bottom"/>
          </w:tcPr>
          <w:p w14:paraId="25E3B3B2" w14:textId="77777777" w:rsidR="005F7625" w:rsidRPr="00137504" w:rsidRDefault="00FD442D" w:rsidP="005F7625">
            <w:pPr>
              <w:jc w:val="center"/>
              <w:rPr>
                <w:color w:val="000000"/>
              </w:rPr>
            </w:pPr>
            <w:r>
              <w:rPr>
                <w:color w:val="000000"/>
              </w:rPr>
              <w:t>0</w:t>
            </w:r>
          </w:p>
        </w:tc>
        <w:tc>
          <w:tcPr>
            <w:tcW w:w="1642" w:type="dxa"/>
            <w:tcBorders>
              <w:top w:val="nil"/>
              <w:left w:val="nil"/>
              <w:bottom w:val="single" w:sz="4" w:space="0" w:color="000000"/>
              <w:right w:val="nil"/>
            </w:tcBorders>
            <w:shd w:val="clear" w:color="D9D9D9" w:fill="D9D9D9"/>
            <w:noWrap/>
            <w:vAlign w:val="bottom"/>
          </w:tcPr>
          <w:p w14:paraId="2B7189D5" w14:textId="77777777" w:rsidR="005F7625" w:rsidRPr="00137504" w:rsidRDefault="005F7625" w:rsidP="00137504">
            <w:pPr>
              <w:jc w:val="center"/>
              <w:rPr>
                <w:color w:val="000000"/>
              </w:rPr>
            </w:pPr>
            <w:r w:rsidRPr="00137504">
              <w:rPr>
                <w:color w:val="000000"/>
              </w:rPr>
              <w:t>15 (88.2)</w:t>
            </w:r>
          </w:p>
        </w:tc>
        <w:tc>
          <w:tcPr>
            <w:tcW w:w="1879" w:type="dxa"/>
            <w:tcBorders>
              <w:top w:val="nil"/>
              <w:left w:val="nil"/>
              <w:bottom w:val="single" w:sz="4" w:space="0" w:color="000000"/>
              <w:right w:val="nil"/>
            </w:tcBorders>
            <w:shd w:val="clear" w:color="D9D9D9" w:fill="D9D9D9"/>
            <w:noWrap/>
            <w:vAlign w:val="bottom"/>
          </w:tcPr>
          <w:p w14:paraId="3DC185DF" w14:textId="77777777" w:rsidR="005F7625" w:rsidRPr="00137504" w:rsidRDefault="005F7625" w:rsidP="00137504">
            <w:pPr>
              <w:jc w:val="center"/>
              <w:rPr>
                <w:color w:val="000000"/>
              </w:rPr>
            </w:pPr>
            <w:r w:rsidRPr="00137504">
              <w:rPr>
                <w:color w:val="000000"/>
              </w:rPr>
              <w:t>7 (21.1)</w:t>
            </w:r>
          </w:p>
        </w:tc>
        <w:tc>
          <w:tcPr>
            <w:tcW w:w="1728" w:type="dxa"/>
            <w:tcBorders>
              <w:top w:val="nil"/>
              <w:left w:val="nil"/>
              <w:bottom w:val="single" w:sz="4" w:space="0" w:color="000000"/>
              <w:right w:val="nil"/>
            </w:tcBorders>
            <w:shd w:val="clear" w:color="D9D9D9" w:fill="D9D9D9"/>
            <w:noWrap/>
            <w:vAlign w:val="bottom"/>
          </w:tcPr>
          <w:p w14:paraId="44399F84" w14:textId="77777777" w:rsidR="005F7625" w:rsidRPr="00137504" w:rsidRDefault="005F7625" w:rsidP="00137504">
            <w:pPr>
              <w:jc w:val="center"/>
              <w:rPr>
                <w:color w:val="000000"/>
              </w:rPr>
            </w:pPr>
            <w:r w:rsidRPr="00137504">
              <w:rPr>
                <w:color w:val="000000"/>
              </w:rPr>
              <w:t>22 (40.0)</w:t>
            </w:r>
          </w:p>
        </w:tc>
      </w:tr>
    </w:tbl>
    <w:p w14:paraId="0BCE82F0" w14:textId="77777777" w:rsidR="00137504" w:rsidRPr="00A3120A" w:rsidRDefault="00137504" w:rsidP="00137504">
      <w:pPr>
        <w:autoSpaceDE w:val="0"/>
        <w:autoSpaceDN w:val="0"/>
        <w:adjustRightInd w:val="0"/>
        <w:spacing w:after="120"/>
        <w:rPr>
          <w:sz w:val="24"/>
          <w:szCs w:val="24"/>
        </w:rPr>
      </w:pPr>
    </w:p>
    <w:p w14:paraId="0C81E32B" w14:textId="77777777" w:rsidR="00261CFB" w:rsidRPr="00A3120A" w:rsidRDefault="00261CFB" w:rsidP="00261CFB">
      <w:pPr>
        <w:numPr>
          <w:ilvl w:val="0"/>
          <w:numId w:val="19"/>
        </w:numPr>
        <w:autoSpaceDE w:val="0"/>
        <w:autoSpaceDN w:val="0"/>
        <w:adjustRightInd w:val="0"/>
        <w:spacing w:after="120"/>
        <w:rPr>
          <w:sz w:val="24"/>
          <w:szCs w:val="24"/>
        </w:rPr>
      </w:pPr>
      <w:r w:rsidRPr="00A3120A">
        <w:rPr>
          <w:sz w:val="24"/>
          <w:szCs w:val="24"/>
        </w:rPr>
        <w:lastRenderedPageBreak/>
        <w:t xml:space="preserve">Perform </w:t>
      </w:r>
      <w:r>
        <w:rPr>
          <w:sz w:val="24"/>
          <w:szCs w:val="24"/>
        </w:rPr>
        <w:t>logistic regression analyses to determine whether the distribution of relapse within 24 months differs across groups defined by nadir PSA level after adjustment for bone scan score and performance status. For each of the following models, provide full statistical inference for your measure of association.</w:t>
      </w:r>
    </w:p>
    <w:p w14:paraId="6DF4A204" w14:textId="77777777" w:rsidR="00261CFB" w:rsidRDefault="00261CFB" w:rsidP="00261CFB">
      <w:pPr>
        <w:numPr>
          <w:ilvl w:val="1"/>
          <w:numId w:val="19"/>
        </w:numPr>
        <w:autoSpaceDE w:val="0"/>
        <w:autoSpaceDN w:val="0"/>
        <w:adjustRightInd w:val="0"/>
        <w:spacing w:after="120"/>
        <w:rPr>
          <w:sz w:val="24"/>
          <w:szCs w:val="24"/>
        </w:rPr>
      </w:pPr>
      <w:commentRangeStart w:id="3"/>
      <w:r>
        <w:rPr>
          <w:sz w:val="24"/>
          <w:szCs w:val="24"/>
        </w:rPr>
        <w:t>Perform</w:t>
      </w:r>
      <w:commentRangeEnd w:id="3"/>
      <w:r w:rsidR="00527DC4">
        <w:rPr>
          <w:rStyle w:val="CommentReference"/>
        </w:rPr>
        <w:commentReference w:id="3"/>
      </w:r>
      <w:r>
        <w:rPr>
          <w:sz w:val="24"/>
          <w:szCs w:val="24"/>
        </w:rPr>
        <w:t xml:space="preserve"> an adjusted logistic regression comparing the odds of relapse within 24 months across groups defined by the nadir PSA level when modeled as a continuous, untransformed variable. </w:t>
      </w:r>
    </w:p>
    <w:tbl>
      <w:tblPr>
        <w:tblStyle w:val="LightShading"/>
        <w:tblW w:w="5826" w:type="dxa"/>
        <w:tblInd w:w="1440" w:type="dxa"/>
        <w:tblLook w:val="04A0" w:firstRow="1" w:lastRow="0" w:firstColumn="1" w:lastColumn="0" w:noHBand="0" w:noVBand="1"/>
      </w:tblPr>
      <w:tblGrid>
        <w:gridCol w:w="2088"/>
        <w:gridCol w:w="1428"/>
        <w:gridCol w:w="1350"/>
        <w:gridCol w:w="960"/>
      </w:tblGrid>
      <w:tr w:rsidR="004D47A4" w:rsidRPr="00A21734" w14:paraId="184BCA0A" w14:textId="77777777" w:rsidTr="00FD442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8" w:type="dxa"/>
            <w:noWrap/>
            <w:hideMark/>
          </w:tcPr>
          <w:p w14:paraId="5CF85289" w14:textId="77777777" w:rsidR="004D47A4" w:rsidRPr="00A21734" w:rsidRDefault="004D47A4" w:rsidP="004D47A4">
            <w:pPr>
              <w:rPr>
                <w:rFonts w:ascii="Calibri" w:eastAsia="Times New Roman" w:hAnsi="Calibri" w:cs="Times New Roman"/>
                <w:color w:val="000000"/>
              </w:rPr>
            </w:pPr>
            <w:r w:rsidRPr="00A21734">
              <w:rPr>
                <w:rFonts w:ascii="Calibri" w:eastAsia="Times New Roman" w:hAnsi="Calibri" w:cs="Times New Roman"/>
                <w:color w:val="000000"/>
              </w:rPr>
              <w:t>Predictor</w:t>
            </w:r>
          </w:p>
        </w:tc>
        <w:tc>
          <w:tcPr>
            <w:tcW w:w="1428" w:type="dxa"/>
            <w:noWrap/>
            <w:hideMark/>
          </w:tcPr>
          <w:p w14:paraId="3D833EF1" w14:textId="77777777" w:rsidR="004D47A4" w:rsidRPr="00A21734"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OR</w:t>
            </w:r>
          </w:p>
        </w:tc>
        <w:tc>
          <w:tcPr>
            <w:tcW w:w="1350" w:type="dxa"/>
            <w:noWrap/>
            <w:hideMark/>
          </w:tcPr>
          <w:p w14:paraId="6F126FFA" w14:textId="77777777" w:rsidR="004D47A4" w:rsidRPr="00A21734"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 xml:space="preserve">95% CI </w:t>
            </w:r>
          </w:p>
        </w:tc>
        <w:tc>
          <w:tcPr>
            <w:tcW w:w="960" w:type="dxa"/>
            <w:noWrap/>
            <w:hideMark/>
          </w:tcPr>
          <w:p w14:paraId="315EAE27" w14:textId="77777777" w:rsidR="004D47A4" w:rsidRPr="00A21734"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p</w:t>
            </w:r>
          </w:p>
        </w:tc>
      </w:tr>
      <w:tr w:rsidR="004D47A4" w:rsidRPr="00A21734" w14:paraId="2D96AC48" w14:textId="77777777" w:rsidTr="00FD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8" w:type="dxa"/>
            <w:noWrap/>
            <w:hideMark/>
          </w:tcPr>
          <w:p w14:paraId="2E929A21" w14:textId="77777777" w:rsidR="004D47A4" w:rsidRPr="00A21734" w:rsidRDefault="004D47A4" w:rsidP="004D47A4">
            <w:pPr>
              <w:jc w:val="right"/>
              <w:rPr>
                <w:rFonts w:ascii="Calibri" w:eastAsia="Times New Roman" w:hAnsi="Calibri" w:cs="Times New Roman"/>
                <w:color w:val="000000"/>
              </w:rPr>
            </w:pPr>
            <w:r w:rsidRPr="00A21734">
              <w:rPr>
                <w:rFonts w:ascii="Calibri" w:eastAsia="Times New Roman" w:hAnsi="Calibri" w:cs="Times New Roman"/>
                <w:color w:val="000000"/>
              </w:rPr>
              <w:t>Nadir PSA</w:t>
            </w:r>
          </w:p>
        </w:tc>
        <w:tc>
          <w:tcPr>
            <w:tcW w:w="1428" w:type="dxa"/>
            <w:noWrap/>
            <w:hideMark/>
          </w:tcPr>
          <w:p w14:paraId="492FBC2E" w14:textId="77777777" w:rsidR="004D47A4" w:rsidRPr="00A21734"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1.03</w:t>
            </w:r>
          </w:p>
        </w:tc>
        <w:tc>
          <w:tcPr>
            <w:tcW w:w="1350" w:type="dxa"/>
            <w:noWrap/>
            <w:hideMark/>
          </w:tcPr>
          <w:p w14:paraId="47530288" w14:textId="77777777" w:rsidR="004D47A4" w:rsidRPr="00A21734"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(0.94 - 1.13)</w:t>
            </w:r>
          </w:p>
        </w:tc>
        <w:tc>
          <w:tcPr>
            <w:tcW w:w="960" w:type="dxa"/>
            <w:noWrap/>
            <w:hideMark/>
          </w:tcPr>
          <w:p w14:paraId="569502BB" w14:textId="77777777" w:rsidR="004D47A4" w:rsidRPr="00A21734"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0.476</w:t>
            </w:r>
          </w:p>
        </w:tc>
      </w:tr>
      <w:tr w:rsidR="004D47A4" w:rsidRPr="00A21734" w14:paraId="4FF44733" w14:textId="77777777" w:rsidTr="00FD442D">
        <w:trPr>
          <w:trHeight w:val="300"/>
        </w:trPr>
        <w:tc>
          <w:tcPr>
            <w:cnfStyle w:val="001000000000" w:firstRow="0" w:lastRow="0" w:firstColumn="1" w:lastColumn="0" w:oddVBand="0" w:evenVBand="0" w:oddHBand="0" w:evenHBand="0" w:firstRowFirstColumn="0" w:firstRowLastColumn="0" w:lastRowFirstColumn="0" w:lastRowLastColumn="0"/>
            <w:tcW w:w="2088" w:type="dxa"/>
            <w:noWrap/>
            <w:hideMark/>
          </w:tcPr>
          <w:p w14:paraId="085C12A9" w14:textId="77777777" w:rsidR="004D47A4" w:rsidRPr="00A21734" w:rsidRDefault="004D47A4" w:rsidP="004D47A4">
            <w:pPr>
              <w:jc w:val="right"/>
              <w:rPr>
                <w:rFonts w:ascii="Calibri" w:eastAsia="Times New Roman" w:hAnsi="Calibri" w:cs="Times New Roman"/>
                <w:color w:val="000000"/>
              </w:rPr>
            </w:pPr>
            <w:r w:rsidRPr="00A21734">
              <w:rPr>
                <w:rFonts w:ascii="Calibri" w:eastAsia="Times New Roman" w:hAnsi="Calibri" w:cs="Times New Roman"/>
                <w:color w:val="000000"/>
              </w:rPr>
              <w:t>Bone Scan Score</w:t>
            </w:r>
          </w:p>
        </w:tc>
        <w:tc>
          <w:tcPr>
            <w:tcW w:w="1428" w:type="dxa"/>
            <w:noWrap/>
            <w:hideMark/>
          </w:tcPr>
          <w:p w14:paraId="4F44A254" w14:textId="77777777" w:rsidR="004D47A4" w:rsidRPr="00A21734"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2.62</w:t>
            </w:r>
          </w:p>
        </w:tc>
        <w:tc>
          <w:tcPr>
            <w:tcW w:w="1350" w:type="dxa"/>
            <w:noWrap/>
            <w:hideMark/>
          </w:tcPr>
          <w:p w14:paraId="17144E8E" w14:textId="77777777" w:rsidR="004D47A4" w:rsidRPr="00A21734"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(0.94 - 7.3)</w:t>
            </w:r>
          </w:p>
        </w:tc>
        <w:tc>
          <w:tcPr>
            <w:tcW w:w="960" w:type="dxa"/>
            <w:noWrap/>
            <w:hideMark/>
          </w:tcPr>
          <w:p w14:paraId="01164F7E" w14:textId="77777777" w:rsidR="004D47A4" w:rsidRPr="00A21734"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0.064</w:t>
            </w:r>
          </w:p>
        </w:tc>
      </w:tr>
      <w:tr w:rsidR="004D47A4" w:rsidRPr="00A21734" w14:paraId="26161E97" w14:textId="77777777" w:rsidTr="00FD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8" w:type="dxa"/>
            <w:noWrap/>
            <w:hideMark/>
          </w:tcPr>
          <w:p w14:paraId="695C52BB" w14:textId="77777777" w:rsidR="004D47A4" w:rsidRPr="00A21734" w:rsidRDefault="004D47A4" w:rsidP="004D47A4">
            <w:pPr>
              <w:jc w:val="right"/>
              <w:rPr>
                <w:rFonts w:ascii="Calibri" w:eastAsia="Times New Roman" w:hAnsi="Calibri" w:cs="Times New Roman"/>
                <w:color w:val="000000"/>
              </w:rPr>
            </w:pPr>
            <w:r w:rsidRPr="00A21734">
              <w:rPr>
                <w:rFonts w:ascii="Calibri" w:eastAsia="Times New Roman" w:hAnsi="Calibri" w:cs="Times New Roman"/>
                <w:color w:val="000000"/>
              </w:rPr>
              <w:t>Performance Score</w:t>
            </w:r>
          </w:p>
        </w:tc>
        <w:tc>
          <w:tcPr>
            <w:tcW w:w="1428" w:type="dxa"/>
            <w:noWrap/>
            <w:hideMark/>
          </w:tcPr>
          <w:p w14:paraId="15DEC81F" w14:textId="77777777" w:rsidR="004D47A4" w:rsidRPr="00A21734"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0.95</w:t>
            </w:r>
          </w:p>
        </w:tc>
        <w:tc>
          <w:tcPr>
            <w:tcW w:w="1350" w:type="dxa"/>
            <w:noWrap/>
            <w:hideMark/>
          </w:tcPr>
          <w:p w14:paraId="1EB00E3A" w14:textId="77777777" w:rsidR="004D47A4" w:rsidRPr="00A21734"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(0.88 - 1.03)</w:t>
            </w:r>
          </w:p>
        </w:tc>
        <w:tc>
          <w:tcPr>
            <w:tcW w:w="960" w:type="dxa"/>
            <w:noWrap/>
            <w:hideMark/>
          </w:tcPr>
          <w:p w14:paraId="631E8D0D" w14:textId="77777777" w:rsidR="004D47A4" w:rsidRPr="00A21734"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0.211</w:t>
            </w:r>
          </w:p>
        </w:tc>
      </w:tr>
    </w:tbl>
    <w:p w14:paraId="39A04BCA" w14:textId="77777777" w:rsidR="004D47A4" w:rsidRDefault="004D47A4" w:rsidP="004D47A4">
      <w:pPr>
        <w:autoSpaceDE w:val="0"/>
        <w:autoSpaceDN w:val="0"/>
        <w:adjustRightInd w:val="0"/>
        <w:spacing w:after="120"/>
        <w:rPr>
          <w:sz w:val="24"/>
          <w:szCs w:val="24"/>
        </w:rPr>
      </w:pPr>
    </w:p>
    <w:p w14:paraId="24EA18C3" w14:textId="63D7915C" w:rsidR="00682EFC" w:rsidRDefault="00682EFC" w:rsidP="00FD442D">
      <w:pPr>
        <w:autoSpaceDE w:val="0"/>
        <w:autoSpaceDN w:val="0"/>
        <w:adjustRightInd w:val="0"/>
        <w:spacing w:after="120"/>
        <w:ind w:left="1080"/>
        <w:rPr>
          <w:b/>
          <w:sz w:val="24"/>
          <w:szCs w:val="24"/>
        </w:rPr>
      </w:pPr>
      <w:r>
        <w:rPr>
          <w:b/>
          <w:sz w:val="24"/>
          <w:szCs w:val="24"/>
        </w:rPr>
        <w:t>Note: For this model and all models below, I</w:t>
      </w:r>
      <w:r w:rsidR="007E33ED">
        <w:rPr>
          <w:b/>
          <w:sz w:val="24"/>
          <w:szCs w:val="24"/>
        </w:rPr>
        <w:t xml:space="preserve"> chose to model bone scan score (BSS) and performance score (PS) as having a linear association with relapse in 24 months (e.g. the probability of relapse increases with increasing bone scan score and decreasing performance score).  This is only an assumption but allows me to proceed without “mining” the data before my main analysis.  </w:t>
      </w:r>
    </w:p>
    <w:p w14:paraId="5588626B" w14:textId="7863CA74" w:rsidR="00FD442D" w:rsidRPr="00FD442D" w:rsidRDefault="00FD442D" w:rsidP="00FD442D">
      <w:pPr>
        <w:autoSpaceDE w:val="0"/>
        <w:autoSpaceDN w:val="0"/>
        <w:adjustRightInd w:val="0"/>
        <w:spacing w:after="120"/>
        <w:ind w:left="1080"/>
        <w:rPr>
          <w:b/>
          <w:sz w:val="24"/>
          <w:szCs w:val="24"/>
        </w:rPr>
      </w:pPr>
      <w:r>
        <w:rPr>
          <w:b/>
          <w:sz w:val="24"/>
          <w:szCs w:val="24"/>
        </w:rPr>
        <w:t xml:space="preserve">From logistic regression of nadir PSA on relapse within 24 months, </w:t>
      </w:r>
      <w:r w:rsidR="007E33ED">
        <w:rPr>
          <w:b/>
          <w:sz w:val="24"/>
          <w:szCs w:val="24"/>
        </w:rPr>
        <w:t xml:space="preserve">with robust standard errors, </w:t>
      </w:r>
      <w:r>
        <w:rPr>
          <w:b/>
          <w:sz w:val="24"/>
          <w:szCs w:val="24"/>
        </w:rPr>
        <w:t>comparing men with the same bone scan score and performance score</w:t>
      </w:r>
      <w:r w:rsidR="00F27973">
        <w:rPr>
          <w:b/>
          <w:sz w:val="24"/>
          <w:szCs w:val="24"/>
        </w:rPr>
        <w:t xml:space="preserve"> and a 1 </w:t>
      </w:r>
      <w:proofErr w:type="spellStart"/>
      <w:r w:rsidR="00F27973">
        <w:rPr>
          <w:b/>
          <w:sz w:val="24"/>
          <w:szCs w:val="24"/>
        </w:rPr>
        <w:t>ng</w:t>
      </w:r>
      <w:proofErr w:type="spellEnd"/>
      <w:r w:rsidR="00F27973">
        <w:rPr>
          <w:b/>
          <w:sz w:val="24"/>
          <w:szCs w:val="24"/>
        </w:rPr>
        <w:t>/ml difference in nadir PSA</w:t>
      </w:r>
      <w:r>
        <w:rPr>
          <w:b/>
          <w:sz w:val="24"/>
          <w:szCs w:val="24"/>
        </w:rPr>
        <w:t>,</w:t>
      </w:r>
      <w:r w:rsidR="00F27973">
        <w:rPr>
          <w:b/>
          <w:sz w:val="24"/>
          <w:szCs w:val="24"/>
        </w:rPr>
        <w:t xml:space="preserve"> we</w:t>
      </w:r>
      <w:r>
        <w:rPr>
          <w:b/>
          <w:sz w:val="24"/>
          <w:szCs w:val="24"/>
        </w:rPr>
        <w:t xml:space="preserve"> estimate that the odds of relapse in 24 months</w:t>
      </w:r>
      <w:r w:rsidR="00F27973">
        <w:rPr>
          <w:b/>
          <w:sz w:val="24"/>
          <w:szCs w:val="24"/>
        </w:rPr>
        <w:t xml:space="preserve"> are</w:t>
      </w:r>
      <w:r>
        <w:rPr>
          <w:b/>
          <w:sz w:val="24"/>
          <w:szCs w:val="24"/>
        </w:rPr>
        <w:t xml:space="preserve"> 1.03 times higher in </w:t>
      </w:r>
      <w:r w:rsidR="00F27973">
        <w:rPr>
          <w:b/>
          <w:sz w:val="24"/>
          <w:szCs w:val="24"/>
        </w:rPr>
        <w:t xml:space="preserve">the </w:t>
      </w:r>
      <w:r>
        <w:rPr>
          <w:b/>
          <w:sz w:val="24"/>
          <w:szCs w:val="24"/>
        </w:rPr>
        <w:t xml:space="preserve">men with </w:t>
      </w:r>
      <w:r w:rsidR="00F27973">
        <w:rPr>
          <w:b/>
          <w:sz w:val="24"/>
          <w:szCs w:val="24"/>
        </w:rPr>
        <w:t xml:space="preserve">higher nadir PSA.  This </w:t>
      </w:r>
      <w:r w:rsidR="00426699">
        <w:rPr>
          <w:b/>
          <w:sz w:val="24"/>
          <w:szCs w:val="24"/>
        </w:rPr>
        <w:t>odds ratio</w:t>
      </w:r>
      <w:r w:rsidR="00F27973">
        <w:rPr>
          <w:b/>
          <w:sz w:val="24"/>
          <w:szCs w:val="24"/>
        </w:rPr>
        <w:t xml:space="preserve"> is not statistically significant from </w:t>
      </w:r>
      <w:r w:rsidR="001212A6">
        <w:rPr>
          <w:b/>
          <w:sz w:val="24"/>
          <w:szCs w:val="24"/>
        </w:rPr>
        <w:t>1.0</w:t>
      </w:r>
      <w:r w:rsidR="00F27973">
        <w:rPr>
          <w:b/>
          <w:sz w:val="24"/>
          <w:szCs w:val="24"/>
        </w:rPr>
        <w:t xml:space="preserve"> (p=0.476), with a 95% CI suggesting that the observed results would</w:t>
      </w:r>
      <w:r w:rsidR="00D81505">
        <w:rPr>
          <w:b/>
          <w:sz w:val="24"/>
          <w:szCs w:val="24"/>
        </w:rPr>
        <w:t xml:space="preserve"> not be unusual if the true BSS-and PS-</w:t>
      </w:r>
      <w:r w:rsidR="00F27973">
        <w:rPr>
          <w:b/>
          <w:sz w:val="24"/>
          <w:szCs w:val="24"/>
        </w:rPr>
        <w:t>adjusted odds of relapse in 24 months were anywhere between 0.94 times as high and 1.13 times higher in men with 1 unit higher nadir PSA</w:t>
      </w:r>
      <w:r w:rsidR="00D81505">
        <w:rPr>
          <w:b/>
          <w:sz w:val="24"/>
          <w:szCs w:val="24"/>
        </w:rPr>
        <w:t>.  Therefore we cannot reject the null hypothesis that after controlling for BSS and PS, the odds of relapse in 24 months does not differ by nadir PSA score.</w:t>
      </w:r>
    </w:p>
    <w:p w14:paraId="6C347B22" w14:textId="77777777" w:rsidR="00261CFB" w:rsidRDefault="00261CFB" w:rsidP="00261CFB">
      <w:pPr>
        <w:numPr>
          <w:ilvl w:val="1"/>
          <w:numId w:val="19"/>
        </w:numPr>
        <w:autoSpaceDE w:val="0"/>
        <w:autoSpaceDN w:val="0"/>
        <w:adjustRightInd w:val="0"/>
        <w:spacing w:after="120"/>
        <w:rPr>
          <w:sz w:val="24"/>
          <w:szCs w:val="24"/>
        </w:rPr>
      </w:pPr>
      <w:commentRangeStart w:id="4"/>
      <w:r>
        <w:rPr>
          <w:sz w:val="24"/>
          <w:szCs w:val="24"/>
        </w:rPr>
        <w:t>Perform</w:t>
      </w:r>
      <w:commentRangeEnd w:id="4"/>
      <w:r w:rsidR="00527DC4">
        <w:rPr>
          <w:rStyle w:val="CommentReference"/>
        </w:rPr>
        <w:commentReference w:id="4"/>
      </w:r>
      <w:r>
        <w:rPr>
          <w:sz w:val="24"/>
          <w:szCs w:val="24"/>
        </w:rPr>
        <w:t xml:space="preserve"> an adjusted logistic regression comparing the odds of relapse within 24 months across groups defined by the nadir PSA level when modeled as a continuous, log transformed variable. </w:t>
      </w:r>
    </w:p>
    <w:tbl>
      <w:tblPr>
        <w:tblStyle w:val="LightShading"/>
        <w:tblW w:w="5238" w:type="dxa"/>
        <w:tblInd w:w="1440" w:type="dxa"/>
        <w:tblLook w:val="04A0" w:firstRow="1" w:lastRow="0" w:firstColumn="1" w:lastColumn="0" w:noHBand="0" w:noVBand="1"/>
      </w:tblPr>
      <w:tblGrid>
        <w:gridCol w:w="1998"/>
        <w:gridCol w:w="960"/>
        <w:gridCol w:w="1380"/>
        <w:gridCol w:w="900"/>
      </w:tblGrid>
      <w:tr w:rsidR="004D47A4" w:rsidRPr="00A21734" w14:paraId="2225E4AB" w14:textId="77777777" w:rsidTr="00D8150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8" w:type="dxa"/>
            <w:noWrap/>
            <w:hideMark/>
          </w:tcPr>
          <w:p w14:paraId="3464C682" w14:textId="77777777" w:rsidR="004D47A4" w:rsidRPr="00A21734" w:rsidRDefault="004D47A4" w:rsidP="004D47A4">
            <w:pPr>
              <w:rPr>
                <w:rFonts w:ascii="Calibri" w:eastAsia="Times New Roman" w:hAnsi="Calibri" w:cs="Times New Roman"/>
                <w:color w:val="000000"/>
              </w:rPr>
            </w:pPr>
            <w:r w:rsidRPr="00A21734">
              <w:rPr>
                <w:rFonts w:ascii="Calibri" w:eastAsia="Times New Roman" w:hAnsi="Calibri" w:cs="Times New Roman"/>
                <w:color w:val="000000"/>
              </w:rPr>
              <w:t>Predictor</w:t>
            </w:r>
          </w:p>
        </w:tc>
        <w:tc>
          <w:tcPr>
            <w:tcW w:w="960" w:type="dxa"/>
            <w:noWrap/>
            <w:hideMark/>
          </w:tcPr>
          <w:p w14:paraId="19202625" w14:textId="77777777" w:rsidR="004D47A4" w:rsidRPr="00A21734"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OR</w:t>
            </w:r>
          </w:p>
        </w:tc>
        <w:tc>
          <w:tcPr>
            <w:tcW w:w="1380" w:type="dxa"/>
            <w:noWrap/>
            <w:hideMark/>
          </w:tcPr>
          <w:p w14:paraId="016426C6" w14:textId="77777777" w:rsidR="004D47A4" w:rsidRPr="00A21734"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 xml:space="preserve">95% CI </w:t>
            </w:r>
          </w:p>
        </w:tc>
        <w:tc>
          <w:tcPr>
            <w:tcW w:w="900" w:type="dxa"/>
            <w:noWrap/>
            <w:hideMark/>
          </w:tcPr>
          <w:p w14:paraId="7A30186C" w14:textId="77777777" w:rsidR="004D47A4" w:rsidRPr="00A21734"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p</w:t>
            </w:r>
          </w:p>
        </w:tc>
      </w:tr>
      <w:tr w:rsidR="004D47A4" w:rsidRPr="00A21734" w14:paraId="14835AFB" w14:textId="77777777" w:rsidTr="00D815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8" w:type="dxa"/>
            <w:noWrap/>
            <w:hideMark/>
          </w:tcPr>
          <w:p w14:paraId="22C235AF" w14:textId="77777777" w:rsidR="004D47A4" w:rsidRPr="00A21734" w:rsidRDefault="004D47A4" w:rsidP="004D47A4">
            <w:pPr>
              <w:jc w:val="right"/>
              <w:rPr>
                <w:rFonts w:ascii="Calibri" w:eastAsia="Times New Roman" w:hAnsi="Calibri" w:cs="Times New Roman"/>
                <w:color w:val="000000"/>
              </w:rPr>
            </w:pPr>
            <w:r w:rsidRPr="00A21734">
              <w:rPr>
                <w:rFonts w:ascii="Calibri" w:eastAsia="Times New Roman" w:hAnsi="Calibri" w:cs="Times New Roman"/>
                <w:color w:val="000000"/>
              </w:rPr>
              <w:t>Log Nadir PSA</w:t>
            </w:r>
          </w:p>
        </w:tc>
        <w:tc>
          <w:tcPr>
            <w:tcW w:w="960" w:type="dxa"/>
            <w:noWrap/>
            <w:hideMark/>
          </w:tcPr>
          <w:p w14:paraId="0F9251F2" w14:textId="77777777" w:rsidR="004D47A4" w:rsidRPr="00A21734" w:rsidRDefault="004D47A4" w:rsidP="004D47A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2.36</w:t>
            </w:r>
          </w:p>
        </w:tc>
        <w:tc>
          <w:tcPr>
            <w:tcW w:w="1380" w:type="dxa"/>
            <w:noWrap/>
            <w:hideMark/>
          </w:tcPr>
          <w:p w14:paraId="7B5E5C72" w14:textId="77777777" w:rsidR="004D47A4" w:rsidRPr="00A21734"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(1.27 - 4.40)</w:t>
            </w:r>
          </w:p>
        </w:tc>
        <w:tc>
          <w:tcPr>
            <w:tcW w:w="900" w:type="dxa"/>
            <w:noWrap/>
            <w:hideMark/>
          </w:tcPr>
          <w:p w14:paraId="6E0D6FB5" w14:textId="77777777" w:rsidR="004D47A4" w:rsidRPr="00A21734" w:rsidRDefault="004D47A4" w:rsidP="004D47A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0.007</w:t>
            </w:r>
          </w:p>
        </w:tc>
      </w:tr>
      <w:tr w:rsidR="004D47A4" w:rsidRPr="00A21734" w14:paraId="41CC8321" w14:textId="77777777" w:rsidTr="00D81505">
        <w:trPr>
          <w:trHeight w:val="300"/>
        </w:trPr>
        <w:tc>
          <w:tcPr>
            <w:cnfStyle w:val="001000000000" w:firstRow="0" w:lastRow="0" w:firstColumn="1" w:lastColumn="0" w:oddVBand="0" w:evenVBand="0" w:oddHBand="0" w:evenHBand="0" w:firstRowFirstColumn="0" w:firstRowLastColumn="0" w:lastRowFirstColumn="0" w:lastRowLastColumn="0"/>
            <w:tcW w:w="1998" w:type="dxa"/>
            <w:noWrap/>
            <w:hideMark/>
          </w:tcPr>
          <w:p w14:paraId="0E461C23" w14:textId="77777777" w:rsidR="004D47A4" w:rsidRPr="00A21734" w:rsidRDefault="004D47A4" w:rsidP="004D47A4">
            <w:pPr>
              <w:jc w:val="right"/>
              <w:rPr>
                <w:rFonts w:ascii="Calibri" w:eastAsia="Times New Roman" w:hAnsi="Calibri" w:cs="Times New Roman"/>
                <w:color w:val="000000"/>
              </w:rPr>
            </w:pPr>
            <w:r w:rsidRPr="00A21734">
              <w:rPr>
                <w:rFonts w:ascii="Calibri" w:eastAsia="Times New Roman" w:hAnsi="Calibri" w:cs="Times New Roman"/>
                <w:color w:val="000000"/>
              </w:rPr>
              <w:t>Bone Scan Score</w:t>
            </w:r>
          </w:p>
        </w:tc>
        <w:tc>
          <w:tcPr>
            <w:tcW w:w="960" w:type="dxa"/>
            <w:noWrap/>
            <w:hideMark/>
          </w:tcPr>
          <w:p w14:paraId="32B23319" w14:textId="77777777" w:rsidR="004D47A4" w:rsidRPr="00A21734" w:rsidRDefault="004D47A4" w:rsidP="004D47A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2.35</w:t>
            </w:r>
          </w:p>
        </w:tc>
        <w:tc>
          <w:tcPr>
            <w:tcW w:w="1380" w:type="dxa"/>
            <w:noWrap/>
            <w:hideMark/>
          </w:tcPr>
          <w:p w14:paraId="795F0B63" w14:textId="77777777" w:rsidR="004D47A4" w:rsidRPr="00A21734"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(0.6</w:t>
            </w:r>
            <w:r>
              <w:rPr>
                <w:rFonts w:ascii="Calibri" w:eastAsia="Times New Roman" w:hAnsi="Calibri" w:cs="Times New Roman"/>
                <w:color w:val="000000"/>
              </w:rPr>
              <w:t>0</w:t>
            </w:r>
            <w:r w:rsidRPr="00A21734">
              <w:rPr>
                <w:rFonts w:ascii="Calibri" w:eastAsia="Times New Roman" w:hAnsi="Calibri" w:cs="Times New Roman"/>
                <w:color w:val="000000"/>
              </w:rPr>
              <w:t xml:space="preserve"> - 9.24)</w:t>
            </w:r>
          </w:p>
        </w:tc>
        <w:tc>
          <w:tcPr>
            <w:tcW w:w="900" w:type="dxa"/>
            <w:noWrap/>
            <w:hideMark/>
          </w:tcPr>
          <w:p w14:paraId="4E44D5D7" w14:textId="77777777" w:rsidR="004D47A4" w:rsidRPr="00A21734" w:rsidRDefault="004D47A4" w:rsidP="004D47A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0.223</w:t>
            </w:r>
          </w:p>
        </w:tc>
      </w:tr>
      <w:tr w:rsidR="004D47A4" w:rsidRPr="00A21734" w14:paraId="14D08AD6" w14:textId="77777777" w:rsidTr="00D815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8" w:type="dxa"/>
            <w:noWrap/>
            <w:hideMark/>
          </w:tcPr>
          <w:p w14:paraId="5DCF63A6" w14:textId="77777777" w:rsidR="004D47A4" w:rsidRPr="00A21734" w:rsidRDefault="004D47A4" w:rsidP="004D47A4">
            <w:pPr>
              <w:jc w:val="right"/>
              <w:rPr>
                <w:rFonts w:ascii="Calibri" w:eastAsia="Times New Roman" w:hAnsi="Calibri" w:cs="Times New Roman"/>
                <w:color w:val="000000"/>
              </w:rPr>
            </w:pPr>
            <w:r w:rsidRPr="00A21734">
              <w:rPr>
                <w:rFonts w:ascii="Calibri" w:eastAsia="Times New Roman" w:hAnsi="Calibri" w:cs="Times New Roman"/>
                <w:color w:val="000000"/>
              </w:rPr>
              <w:t>Performance Score</w:t>
            </w:r>
          </w:p>
        </w:tc>
        <w:tc>
          <w:tcPr>
            <w:tcW w:w="960" w:type="dxa"/>
            <w:noWrap/>
            <w:hideMark/>
          </w:tcPr>
          <w:p w14:paraId="782ECF43" w14:textId="77777777" w:rsidR="004D47A4" w:rsidRPr="00A21734" w:rsidRDefault="004D47A4" w:rsidP="004D47A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0.95</w:t>
            </w:r>
          </w:p>
        </w:tc>
        <w:tc>
          <w:tcPr>
            <w:tcW w:w="1380" w:type="dxa"/>
            <w:noWrap/>
            <w:hideMark/>
          </w:tcPr>
          <w:p w14:paraId="36D23620" w14:textId="77777777" w:rsidR="004D47A4" w:rsidRPr="00A21734"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(0.88 - 1.02)</w:t>
            </w:r>
          </w:p>
        </w:tc>
        <w:tc>
          <w:tcPr>
            <w:tcW w:w="900" w:type="dxa"/>
            <w:noWrap/>
            <w:hideMark/>
          </w:tcPr>
          <w:p w14:paraId="39733BF9" w14:textId="77777777" w:rsidR="004D47A4" w:rsidRPr="00A21734" w:rsidRDefault="004D47A4" w:rsidP="004D47A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21734">
              <w:rPr>
                <w:rFonts w:ascii="Calibri" w:eastAsia="Times New Roman" w:hAnsi="Calibri" w:cs="Times New Roman"/>
                <w:color w:val="000000"/>
              </w:rPr>
              <w:t>0.174</w:t>
            </w:r>
          </w:p>
        </w:tc>
      </w:tr>
    </w:tbl>
    <w:p w14:paraId="1F6B033E" w14:textId="77777777" w:rsidR="00D81505" w:rsidRDefault="00D81505" w:rsidP="00D81505">
      <w:pPr>
        <w:autoSpaceDE w:val="0"/>
        <w:autoSpaceDN w:val="0"/>
        <w:adjustRightInd w:val="0"/>
        <w:spacing w:after="120"/>
        <w:ind w:left="1080"/>
        <w:rPr>
          <w:b/>
          <w:sz w:val="24"/>
          <w:szCs w:val="24"/>
        </w:rPr>
      </w:pPr>
    </w:p>
    <w:p w14:paraId="676830A5" w14:textId="5A1E4765" w:rsidR="00D81505" w:rsidRPr="00FD442D" w:rsidRDefault="00D81505" w:rsidP="00D81505">
      <w:pPr>
        <w:autoSpaceDE w:val="0"/>
        <w:autoSpaceDN w:val="0"/>
        <w:adjustRightInd w:val="0"/>
        <w:spacing w:after="120"/>
        <w:ind w:left="1080"/>
        <w:rPr>
          <w:b/>
          <w:sz w:val="24"/>
          <w:szCs w:val="24"/>
        </w:rPr>
      </w:pPr>
      <w:r>
        <w:rPr>
          <w:b/>
          <w:sz w:val="24"/>
          <w:szCs w:val="24"/>
        </w:rPr>
        <w:t xml:space="preserve">From logistic regression of log nadir PSA on relapse within 24 months, </w:t>
      </w:r>
      <w:r w:rsidR="00426699">
        <w:rPr>
          <w:b/>
          <w:sz w:val="24"/>
          <w:szCs w:val="24"/>
        </w:rPr>
        <w:t xml:space="preserve">with robust standard errors, </w:t>
      </w:r>
      <w:r>
        <w:rPr>
          <w:b/>
          <w:sz w:val="24"/>
          <w:szCs w:val="24"/>
        </w:rPr>
        <w:t xml:space="preserve">comparing men with the same bone scan score and performance score and a 1 unit difference in log nadir PSA, we estimate that the odds of relapse in 24 months are 2.36 times higher in the men with </w:t>
      </w:r>
      <w:r w:rsidR="00426699">
        <w:rPr>
          <w:b/>
          <w:sz w:val="24"/>
          <w:szCs w:val="24"/>
        </w:rPr>
        <w:t xml:space="preserve">1 unit </w:t>
      </w:r>
      <w:proofErr w:type="spellStart"/>
      <w:r w:rsidR="00426699">
        <w:rPr>
          <w:b/>
          <w:sz w:val="24"/>
          <w:szCs w:val="24"/>
        </w:rPr>
        <w:t>h</w:t>
      </w:r>
      <w:r>
        <w:rPr>
          <w:b/>
          <w:sz w:val="24"/>
          <w:szCs w:val="24"/>
        </w:rPr>
        <w:t>higher</w:t>
      </w:r>
      <w:proofErr w:type="spellEnd"/>
      <w:r>
        <w:rPr>
          <w:b/>
          <w:sz w:val="24"/>
          <w:szCs w:val="24"/>
        </w:rPr>
        <w:t xml:space="preserve"> log nadir PSA.  This result is highly statistically significant (p=0.007), with a 95% CI suggesting that the observed results would not be unusual if the true BSS-and PS-adjusted odds of relapse in 24 months were anywhere between </w:t>
      </w:r>
      <w:r>
        <w:rPr>
          <w:b/>
          <w:sz w:val="24"/>
          <w:szCs w:val="24"/>
        </w:rPr>
        <w:lastRenderedPageBreak/>
        <w:t xml:space="preserve">1.27 times higher and 4.40 times higher in men with 1 </w:t>
      </w:r>
      <w:r w:rsidR="00426699">
        <w:rPr>
          <w:b/>
          <w:sz w:val="24"/>
          <w:szCs w:val="24"/>
        </w:rPr>
        <w:t>unit</w:t>
      </w:r>
      <w:r>
        <w:rPr>
          <w:b/>
          <w:sz w:val="24"/>
          <w:szCs w:val="24"/>
        </w:rPr>
        <w:t xml:space="preserve"> higher </w:t>
      </w:r>
      <w:r w:rsidR="00426699">
        <w:rPr>
          <w:b/>
          <w:sz w:val="24"/>
          <w:szCs w:val="24"/>
        </w:rPr>
        <w:t xml:space="preserve">log </w:t>
      </w:r>
      <w:r>
        <w:rPr>
          <w:b/>
          <w:sz w:val="24"/>
          <w:szCs w:val="24"/>
        </w:rPr>
        <w:t>nadir PSA.  Therefore we reject the null hypothesis that after controlling for BSS and PS, the odds of relapse in 24 months does not differ by log nadir PSA score.</w:t>
      </w:r>
    </w:p>
    <w:p w14:paraId="231F22F4" w14:textId="77777777" w:rsidR="004D47A4" w:rsidRDefault="004D47A4" w:rsidP="004D47A4">
      <w:pPr>
        <w:autoSpaceDE w:val="0"/>
        <w:autoSpaceDN w:val="0"/>
        <w:adjustRightInd w:val="0"/>
        <w:spacing w:after="120"/>
        <w:rPr>
          <w:sz w:val="24"/>
          <w:szCs w:val="24"/>
        </w:rPr>
      </w:pPr>
    </w:p>
    <w:p w14:paraId="7C8CAB86" w14:textId="77777777" w:rsidR="00261CFB" w:rsidRDefault="00261CFB" w:rsidP="00261CFB">
      <w:pPr>
        <w:numPr>
          <w:ilvl w:val="1"/>
          <w:numId w:val="19"/>
        </w:numPr>
        <w:autoSpaceDE w:val="0"/>
        <w:autoSpaceDN w:val="0"/>
        <w:adjustRightInd w:val="0"/>
        <w:spacing w:after="120"/>
        <w:rPr>
          <w:sz w:val="24"/>
          <w:szCs w:val="24"/>
        </w:rPr>
      </w:pPr>
      <w:commentRangeStart w:id="5"/>
      <w:r>
        <w:rPr>
          <w:sz w:val="24"/>
          <w:szCs w:val="24"/>
        </w:rPr>
        <w:t>Perform</w:t>
      </w:r>
      <w:commentRangeEnd w:id="5"/>
      <w:r w:rsidR="00527DC4">
        <w:rPr>
          <w:rStyle w:val="CommentReference"/>
        </w:rPr>
        <w:commentReference w:id="5"/>
      </w:r>
      <w:r>
        <w:rPr>
          <w:sz w:val="24"/>
          <w:szCs w:val="24"/>
        </w:rPr>
        <w:t xml:space="preserve"> an adjusted logistic regression comparing the odds of relapse within 24 months across groups defined by the nadir PSA level when modeled as linear splines with knots at 1, 4, and </w:t>
      </w:r>
      <w:proofErr w:type="gramStart"/>
      <w:r>
        <w:rPr>
          <w:sz w:val="24"/>
          <w:szCs w:val="24"/>
        </w:rPr>
        <w:t xml:space="preserve">16 </w:t>
      </w:r>
      <w:proofErr w:type="spellStart"/>
      <w:r>
        <w:rPr>
          <w:sz w:val="24"/>
          <w:szCs w:val="24"/>
        </w:rPr>
        <w:t>ng</w:t>
      </w:r>
      <w:proofErr w:type="spellEnd"/>
      <w:r>
        <w:rPr>
          <w:sz w:val="24"/>
          <w:szCs w:val="24"/>
        </w:rPr>
        <w:t>/ml</w:t>
      </w:r>
      <w:proofErr w:type="gramEnd"/>
      <w:r>
        <w:rPr>
          <w:sz w:val="24"/>
          <w:szCs w:val="24"/>
        </w:rPr>
        <w:t xml:space="preserve">. </w:t>
      </w:r>
    </w:p>
    <w:tbl>
      <w:tblPr>
        <w:tblStyle w:val="LightShading"/>
        <w:tblW w:w="5508" w:type="dxa"/>
        <w:tblInd w:w="1440" w:type="dxa"/>
        <w:tblLayout w:type="fixed"/>
        <w:tblLook w:val="04A0" w:firstRow="1" w:lastRow="0" w:firstColumn="1" w:lastColumn="0" w:noHBand="0" w:noVBand="1"/>
      </w:tblPr>
      <w:tblGrid>
        <w:gridCol w:w="1735"/>
        <w:gridCol w:w="263"/>
        <w:gridCol w:w="697"/>
        <w:gridCol w:w="376"/>
        <w:gridCol w:w="1177"/>
        <w:gridCol w:w="376"/>
        <w:gridCol w:w="884"/>
      </w:tblGrid>
      <w:tr w:rsidR="004D47A4" w:rsidRPr="00A979AF" w14:paraId="28D9773C" w14:textId="77777777" w:rsidTr="0025171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5" w:type="dxa"/>
            <w:noWrap/>
            <w:hideMark/>
          </w:tcPr>
          <w:p w14:paraId="3B9D3F6C" w14:textId="77777777" w:rsidR="004D47A4" w:rsidRPr="00A979AF" w:rsidRDefault="004D47A4" w:rsidP="004D47A4">
            <w:pPr>
              <w:rPr>
                <w:rFonts w:ascii="Calibri" w:eastAsia="Times New Roman" w:hAnsi="Calibri" w:cs="Times New Roman"/>
                <w:color w:val="000000"/>
              </w:rPr>
            </w:pPr>
            <w:r w:rsidRPr="00A979AF">
              <w:rPr>
                <w:rFonts w:ascii="Calibri" w:eastAsia="Times New Roman" w:hAnsi="Calibri" w:cs="Times New Roman"/>
                <w:color w:val="000000"/>
              </w:rPr>
              <w:t>Predictor</w:t>
            </w:r>
          </w:p>
        </w:tc>
        <w:tc>
          <w:tcPr>
            <w:tcW w:w="960" w:type="dxa"/>
            <w:gridSpan w:val="2"/>
            <w:noWrap/>
            <w:hideMark/>
          </w:tcPr>
          <w:p w14:paraId="1A96E2EF" w14:textId="77777777" w:rsidR="004D47A4" w:rsidRPr="00A979AF"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OR</w:t>
            </w:r>
          </w:p>
        </w:tc>
        <w:tc>
          <w:tcPr>
            <w:tcW w:w="1553" w:type="dxa"/>
            <w:gridSpan w:val="2"/>
            <w:noWrap/>
            <w:hideMark/>
          </w:tcPr>
          <w:p w14:paraId="298CB65B" w14:textId="77777777" w:rsidR="004D47A4" w:rsidRPr="00A979AF"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 xml:space="preserve">95% CI </w:t>
            </w:r>
          </w:p>
        </w:tc>
        <w:tc>
          <w:tcPr>
            <w:tcW w:w="1260" w:type="dxa"/>
            <w:gridSpan w:val="2"/>
            <w:noWrap/>
            <w:hideMark/>
          </w:tcPr>
          <w:p w14:paraId="163C7822" w14:textId="77777777" w:rsidR="004D47A4" w:rsidRPr="00A979AF"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p</w:t>
            </w:r>
          </w:p>
        </w:tc>
      </w:tr>
      <w:tr w:rsidR="004D47A4" w:rsidRPr="00A979AF" w14:paraId="417AC10A" w14:textId="77777777" w:rsidTr="002517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8" w:type="dxa"/>
            <w:gridSpan w:val="2"/>
            <w:noWrap/>
            <w:hideMark/>
          </w:tcPr>
          <w:p w14:paraId="39C00C31" w14:textId="77777777" w:rsidR="004D47A4" w:rsidRPr="00A979AF" w:rsidRDefault="004D47A4" w:rsidP="004D47A4">
            <w:pPr>
              <w:jc w:val="right"/>
              <w:rPr>
                <w:rFonts w:ascii="Calibri" w:eastAsia="Times New Roman" w:hAnsi="Calibri" w:cs="Times New Roman"/>
                <w:color w:val="000000"/>
              </w:rPr>
            </w:pPr>
            <w:r w:rsidRPr="00A979AF">
              <w:rPr>
                <w:rFonts w:ascii="Calibri" w:eastAsia="Times New Roman" w:hAnsi="Calibri" w:cs="Times New Roman"/>
                <w:color w:val="000000"/>
              </w:rPr>
              <w:t>Nadir PSA 0-1</w:t>
            </w:r>
          </w:p>
        </w:tc>
        <w:tc>
          <w:tcPr>
            <w:tcW w:w="1073" w:type="dxa"/>
            <w:gridSpan w:val="2"/>
            <w:noWrap/>
            <w:hideMark/>
          </w:tcPr>
          <w:p w14:paraId="17A09403" w14:textId="77777777" w:rsidR="004D47A4" w:rsidRPr="00A979AF" w:rsidRDefault="004D47A4" w:rsidP="004D47A4">
            <w:pPr>
              <w:ind w:hanging="1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29.62</w:t>
            </w:r>
          </w:p>
        </w:tc>
        <w:tc>
          <w:tcPr>
            <w:tcW w:w="1553" w:type="dxa"/>
            <w:gridSpan w:val="2"/>
            <w:noWrap/>
            <w:hideMark/>
          </w:tcPr>
          <w:p w14:paraId="065AF343" w14:textId="77777777" w:rsidR="004D47A4" w:rsidRPr="00A979AF" w:rsidRDefault="004D47A4" w:rsidP="004D47A4">
            <w:pPr>
              <w:ind w:hanging="1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(1.36 - 645.63)</w:t>
            </w:r>
          </w:p>
        </w:tc>
        <w:tc>
          <w:tcPr>
            <w:tcW w:w="884" w:type="dxa"/>
            <w:vMerge w:val="restart"/>
            <w:noWrap/>
            <w:hideMark/>
          </w:tcPr>
          <w:p w14:paraId="6A32FF58" w14:textId="77777777" w:rsidR="004D47A4" w:rsidRPr="00A979AF" w:rsidRDefault="004D47A4" w:rsidP="004D47A4">
            <w:pPr>
              <w:ind w:hanging="1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0.0143</w:t>
            </w:r>
          </w:p>
        </w:tc>
      </w:tr>
      <w:tr w:rsidR="004D47A4" w:rsidRPr="00A979AF" w14:paraId="72628561" w14:textId="77777777" w:rsidTr="0025171F">
        <w:trPr>
          <w:trHeight w:val="300"/>
        </w:trPr>
        <w:tc>
          <w:tcPr>
            <w:cnfStyle w:val="001000000000" w:firstRow="0" w:lastRow="0" w:firstColumn="1" w:lastColumn="0" w:oddVBand="0" w:evenVBand="0" w:oddHBand="0" w:evenHBand="0" w:firstRowFirstColumn="0" w:firstRowLastColumn="0" w:lastRowFirstColumn="0" w:lastRowLastColumn="0"/>
            <w:tcW w:w="1998" w:type="dxa"/>
            <w:gridSpan w:val="2"/>
            <w:noWrap/>
            <w:hideMark/>
          </w:tcPr>
          <w:p w14:paraId="1D4C6FF5" w14:textId="77777777" w:rsidR="004D47A4" w:rsidRPr="00A979AF" w:rsidRDefault="004D47A4" w:rsidP="004D47A4">
            <w:pPr>
              <w:jc w:val="right"/>
              <w:rPr>
                <w:rFonts w:ascii="Calibri" w:eastAsia="Times New Roman" w:hAnsi="Calibri" w:cs="Times New Roman"/>
                <w:color w:val="000000"/>
              </w:rPr>
            </w:pPr>
            <w:r w:rsidRPr="00A979AF">
              <w:rPr>
                <w:rFonts w:ascii="Calibri" w:eastAsia="Times New Roman" w:hAnsi="Calibri" w:cs="Times New Roman"/>
                <w:color w:val="000000"/>
              </w:rPr>
              <w:t>Nadir PSA 1-4</w:t>
            </w:r>
          </w:p>
        </w:tc>
        <w:tc>
          <w:tcPr>
            <w:tcW w:w="1073" w:type="dxa"/>
            <w:gridSpan w:val="2"/>
            <w:noWrap/>
            <w:hideMark/>
          </w:tcPr>
          <w:p w14:paraId="186FBCE2" w14:textId="77777777" w:rsidR="004D47A4" w:rsidRPr="00A979AF" w:rsidRDefault="004D47A4" w:rsidP="004D47A4">
            <w:pPr>
              <w:ind w:hanging="1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0.90</w:t>
            </w:r>
          </w:p>
        </w:tc>
        <w:tc>
          <w:tcPr>
            <w:tcW w:w="1553" w:type="dxa"/>
            <w:gridSpan w:val="2"/>
            <w:noWrap/>
            <w:hideMark/>
          </w:tcPr>
          <w:p w14:paraId="11ADEA65" w14:textId="77777777" w:rsidR="004D47A4" w:rsidRPr="00A979AF" w:rsidRDefault="004D47A4" w:rsidP="004D47A4">
            <w:pPr>
              <w:ind w:hanging="1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(0.33 - 2.5)</w:t>
            </w:r>
          </w:p>
        </w:tc>
        <w:tc>
          <w:tcPr>
            <w:tcW w:w="884" w:type="dxa"/>
            <w:vMerge/>
            <w:hideMark/>
          </w:tcPr>
          <w:p w14:paraId="5805D252" w14:textId="77777777" w:rsidR="004D47A4" w:rsidRPr="00A979AF" w:rsidRDefault="004D47A4" w:rsidP="004D47A4">
            <w:pPr>
              <w:ind w:hanging="1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r w:rsidR="004D47A4" w:rsidRPr="00A979AF" w14:paraId="1958D8AD" w14:textId="77777777" w:rsidTr="002517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8" w:type="dxa"/>
            <w:gridSpan w:val="2"/>
            <w:noWrap/>
            <w:hideMark/>
          </w:tcPr>
          <w:p w14:paraId="48A3C22A" w14:textId="77777777" w:rsidR="004D47A4" w:rsidRPr="00A979AF" w:rsidRDefault="004D47A4" w:rsidP="004D47A4">
            <w:pPr>
              <w:jc w:val="right"/>
              <w:rPr>
                <w:rFonts w:ascii="Calibri" w:eastAsia="Times New Roman" w:hAnsi="Calibri" w:cs="Times New Roman"/>
                <w:color w:val="000000"/>
              </w:rPr>
            </w:pPr>
            <w:r w:rsidRPr="00A979AF">
              <w:rPr>
                <w:rFonts w:ascii="Calibri" w:eastAsia="Times New Roman" w:hAnsi="Calibri" w:cs="Times New Roman"/>
                <w:color w:val="000000"/>
              </w:rPr>
              <w:t>Nadir PSA 4-16</w:t>
            </w:r>
          </w:p>
        </w:tc>
        <w:tc>
          <w:tcPr>
            <w:tcW w:w="1073" w:type="dxa"/>
            <w:gridSpan w:val="2"/>
            <w:noWrap/>
            <w:hideMark/>
          </w:tcPr>
          <w:p w14:paraId="4D5C9CB3" w14:textId="77777777" w:rsidR="004D47A4" w:rsidRPr="00A979AF" w:rsidRDefault="004D47A4" w:rsidP="004D47A4">
            <w:pPr>
              <w:ind w:hanging="1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1.38</w:t>
            </w:r>
          </w:p>
        </w:tc>
        <w:tc>
          <w:tcPr>
            <w:tcW w:w="1553" w:type="dxa"/>
            <w:gridSpan w:val="2"/>
            <w:noWrap/>
            <w:hideMark/>
          </w:tcPr>
          <w:p w14:paraId="74F457E4" w14:textId="77777777" w:rsidR="004D47A4" w:rsidRPr="00A979AF" w:rsidRDefault="004D47A4" w:rsidP="004D47A4">
            <w:pPr>
              <w:ind w:hanging="1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(0.94 - 2.02)</w:t>
            </w:r>
          </w:p>
        </w:tc>
        <w:tc>
          <w:tcPr>
            <w:tcW w:w="884" w:type="dxa"/>
            <w:vMerge/>
            <w:hideMark/>
          </w:tcPr>
          <w:p w14:paraId="5CDCB000" w14:textId="77777777" w:rsidR="004D47A4" w:rsidRPr="00A979AF" w:rsidRDefault="004D47A4" w:rsidP="004D47A4">
            <w:pPr>
              <w:ind w:hanging="1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r>
      <w:tr w:rsidR="004D47A4" w:rsidRPr="00A979AF" w14:paraId="50BA40BC" w14:textId="77777777" w:rsidTr="0025171F">
        <w:trPr>
          <w:trHeight w:val="300"/>
        </w:trPr>
        <w:tc>
          <w:tcPr>
            <w:cnfStyle w:val="001000000000" w:firstRow="0" w:lastRow="0" w:firstColumn="1" w:lastColumn="0" w:oddVBand="0" w:evenVBand="0" w:oddHBand="0" w:evenHBand="0" w:firstRowFirstColumn="0" w:firstRowLastColumn="0" w:lastRowFirstColumn="0" w:lastRowLastColumn="0"/>
            <w:tcW w:w="1998" w:type="dxa"/>
            <w:gridSpan w:val="2"/>
            <w:noWrap/>
            <w:hideMark/>
          </w:tcPr>
          <w:p w14:paraId="007D352D" w14:textId="77777777" w:rsidR="004D47A4" w:rsidRPr="00A979AF" w:rsidRDefault="004D47A4" w:rsidP="004D47A4">
            <w:pPr>
              <w:jc w:val="right"/>
              <w:rPr>
                <w:rFonts w:ascii="Calibri" w:eastAsia="Times New Roman" w:hAnsi="Calibri" w:cs="Times New Roman"/>
                <w:color w:val="000000"/>
              </w:rPr>
            </w:pPr>
            <w:r w:rsidRPr="00A979AF">
              <w:rPr>
                <w:rFonts w:ascii="Calibri" w:eastAsia="Times New Roman" w:hAnsi="Calibri" w:cs="Times New Roman"/>
                <w:color w:val="000000"/>
              </w:rPr>
              <w:t>Nadir PSA &gt;16</w:t>
            </w:r>
          </w:p>
        </w:tc>
        <w:tc>
          <w:tcPr>
            <w:tcW w:w="1073" w:type="dxa"/>
            <w:gridSpan w:val="2"/>
            <w:noWrap/>
            <w:hideMark/>
          </w:tcPr>
          <w:p w14:paraId="5E6DA808" w14:textId="77777777" w:rsidR="004D47A4" w:rsidRPr="00A979AF" w:rsidRDefault="004D47A4" w:rsidP="004D47A4">
            <w:pPr>
              <w:ind w:hanging="1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0.98</w:t>
            </w:r>
          </w:p>
        </w:tc>
        <w:tc>
          <w:tcPr>
            <w:tcW w:w="1553" w:type="dxa"/>
            <w:gridSpan w:val="2"/>
            <w:noWrap/>
            <w:hideMark/>
          </w:tcPr>
          <w:p w14:paraId="2FD42CF3" w14:textId="77777777" w:rsidR="004D47A4" w:rsidRPr="00A979AF" w:rsidRDefault="004D47A4" w:rsidP="004D47A4">
            <w:pPr>
              <w:ind w:hanging="1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(0.96 - 1)</w:t>
            </w:r>
          </w:p>
        </w:tc>
        <w:tc>
          <w:tcPr>
            <w:tcW w:w="884" w:type="dxa"/>
            <w:vMerge/>
            <w:hideMark/>
          </w:tcPr>
          <w:p w14:paraId="79CD36BF" w14:textId="77777777" w:rsidR="004D47A4" w:rsidRPr="00A979AF" w:rsidRDefault="004D47A4" w:rsidP="004D47A4">
            <w:pPr>
              <w:ind w:hanging="1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r w:rsidR="004D47A4" w:rsidRPr="00A979AF" w14:paraId="7A0BAF3C" w14:textId="77777777" w:rsidTr="002517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8" w:type="dxa"/>
            <w:gridSpan w:val="2"/>
            <w:noWrap/>
            <w:hideMark/>
          </w:tcPr>
          <w:p w14:paraId="1452562C" w14:textId="77777777" w:rsidR="004D47A4" w:rsidRPr="00A979AF" w:rsidRDefault="004D47A4" w:rsidP="004D47A4">
            <w:pPr>
              <w:jc w:val="right"/>
              <w:rPr>
                <w:rFonts w:ascii="Calibri" w:eastAsia="Times New Roman" w:hAnsi="Calibri" w:cs="Times New Roman"/>
                <w:color w:val="000000"/>
              </w:rPr>
            </w:pPr>
            <w:r w:rsidRPr="00A979AF">
              <w:rPr>
                <w:rFonts w:ascii="Calibri" w:eastAsia="Times New Roman" w:hAnsi="Calibri" w:cs="Times New Roman"/>
                <w:color w:val="000000"/>
              </w:rPr>
              <w:t>Bone Scan Score</w:t>
            </w:r>
          </w:p>
        </w:tc>
        <w:tc>
          <w:tcPr>
            <w:tcW w:w="1073" w:type="dxa"/>
            <w:gridSpan w:val="2"/>
            <w:noWrap/>
            <w:hideMark/>
          </w:tcPr>
          <w:p w14:paraId="35C0A2B6" w14:textId="77777777" w:rsidR="004D47A4" w:rsidRPr="00A979AF" w:rsidRDefault="004D47A4" w:rsidP="004D47A4">
            <w:pPr>
              <w:ind w:hanging="1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2.52</w:t>
            </w:r>
          </w:p>
        </w:tc>
        <w:tc>
          <w:tcPr>
            <w:tcW w:w="1553" w:type="dxa"/>
            <w:gridSpan w:val="2"/>
            <w:noWrap/>
            <w:hideMark/>
          </w:tcPr>
          <w:p w14:paraId="3A2EF9F5" w14:textId="77777777" w:rsidR="004D47A4" w:rsidRPr="00A979AF" w:rsidRDefault="004D47A4" w:rsidP="004D47A4">
            <w:pPr>
              <w:ind w:hanging="1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(0.6 - 10.58)</w:t>
            </w:r>
          </w:p>
        </w:tc>
        <w:tc>
          <w:tcPr>
            <w:tcW w:w="884" w:type="dxa"/>
            <w:noWrap/>
            <w:hideMark/>
          </w:tcPr>
          <w:p w14:paraId="3737FDAD" w14:textId="77777777" w:rsidR="004D47A4" w:rsidRPr="00A979AF" w:rsidRDefault="004D47A4" w:rsidP="004D47A4">
            <w:pPr>
              <w:ind w:hanging="1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0.206</w:t>
            </w:r>
          </w:p>
        </w:tc>
      </w:tr>
      <w:tr w:rsidR="004D47A4" w:rsidRPr="00A979AF" w14:paraId="566D4981" w14:textId="77777777" w:rsidTr="0025171F">
        <w:trPr>
          <w:trHeight w:val="300"/>
        </w:trPr>
        <w:tc>
          <w:tcPr>
            <w:cnfStyle w:val="001000000000" w:firstRow="0" w:lastRow="0" w:firstColumn="1" w:lastColumn="0" w:oddVBand="0" w:evenVBand="0" w:oddHBand="0" w:evenHBand="0" w:firstRowFirstColumn="0" w:firstRowLastColumn="0" w:lastRowFirstColumn="0" w:lastRowLastColumn="0"/>
            <w:tcW w:w="1998" w:type="dxa"/>
            <w:gridSpan w:val="2"/>
            <w:noWrap/>
            <w:hideMark/>
          </w:tcPr>
          <w:p w14:paraId="2D4E8563" w14:textId="77777777" w:rsidR="004D47A4" w:rsidRPr="00A979AF" w:rsidRDefault="004D47A4" w:rsidP="004D47A4">
            <w:pPr>
              <w:jc w:val="right"/>
              <w:rPr>
                <w:rFonts w:ascii="Calibri" w:eastAsia="Times New Roman" w:hAnsi="Calibri" w:cs="Times New Roman"/>
                <w:color w:val="000000"/>
              </w:rPr>
            </w:pPr>
            <w:r w:rsidRPr="00A979AF">
              <w:rPr>
                <w:rFonts w:ascii="Calibri" w:eastAsia="Times New Roman" w:hAnsi="Calibri" w:cs="Times New Roman"/>
                <w:color w:val="000000"/>
              </w:rPr>
              <w:t>Performance Score</w:t>
            </w:r>
          </w:p>
        </w:tc>
        <w:tc>
          <w:tcPr>
            <w:tcW w:w="1073" w:type="dxa"/>
            <w:gridSpan w:val="2"/>
            <w:noWrap/>
            <w:hideMark/>
          </w:tcPr>
          <w:p w14:paraId="385FF2B8" w14:textId="77777777" w:rsidR="004D47A4" w:rsidRPr="00A979AF" w:rsidRDefault="004D47A4" w:rsidP="004D47A4">
            <w:pPr>
              <w:ind w:hanging="1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0.94</w:t>
            </w:r>
          </w:p>
        </w:tc>
        <w:tc>
          <w:tcPr>
            <w:tcW w:w="1553" w:type="dxa"/>
            <w:gridSpan w:val="2"/>
            <w:noWrap/>
            <w:hideMark/>
          </w:tcPr>
          <w:p w14:paraId="53EF48D2" w14:textId="77777777" w:rsidR="004D47A4" w:rsidRPr="00A979AF" w:rsidRDefault="004D47A4" w:rsidP="004D47A4">
            <w:pPr>
              <w:ind w:hanging="1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(0.86 - 1.02)</w:t>
            </w:r>
          </w:p>
        </w:tc>
        <w:tc>
          <w:tcPr>
            <w:tcW w:w="884" w:type="dxa"/>
            <w:noWrap/>
            <w:hideMark/>
          </w:tcPr>
          <w:p w14:paraId="1DC9812C" w14:textId="77777777" w:rsidR="004D47A4" w:rsidRPr="00A979AF" w:rsidRDefault="004D47A4" w:rsidP="004D47A4">
            <w:pPr>
              <w:ind w:hanging="1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979AF">
              <w:rPr>
                <w:rFonts w:ascii="Calibri" w:eastAsia="Times New Roman" w:hAnsi="Calibri" w:cs="Times New Roman"/>
                <w:color w:val="000000"/>
              </w:rPr>
              <w:t>0.154</w:t>
            </w:r>
          </w:p>
        </w:tc>
      </w:tr>
    </w:tbl>
    <w:p w14:paraId="38CA60EF" w14:textId="750B2E69" w:rsidR="00336EC2" w:rsidRDefault="00336EC2" w:rsidP="00D81505">
      <w:pPr>
        <w:autoSpaceDE w:val="0"/>
        <w:autoSpaceDN w:val="0"/>
        <w:adjustRightInd w:val="0"/>
        <w:spacing w:after="120"/>
        <w:ind w:left="1080"/>
        <w:rPr>
          <w:b/>
          <w:sz w:val="24"/>
          <w:szCs w:val="24"/>
        </w:rPr>
      </w:pPr>
    </w:p>
    <w:p w14:paraId="39A9AF82" w14:textId="5DD10EE7" w:rsidR="00D81505" w:rsidRDefault="00336EC2" w:rsidP="00D81505">
      <w:pPr>
        <w:autoSpaceDE w:val="0"/>
        <w:autoSpaceDN w:val="0"/>
        <w:adjustRightInd w:val="0"/>
        <w:spacing w:after="120"/>
        <w:ind w:left="1080"/>
        <w:rPr>
          <w:b/>
          <w:sz w:val="24"/>
          <w:szCs w:val="24"/>
        </w:rPr>
      </w:pPr>
      <w:r>
        <w:rPr>
          <w:b/>
          <w:noProof/>
          <w:sz w:val="24"/>
          <w:szCs w:val="24"/>
        </w:rPr>
        <w:drawing>
          <wp:inline distT="0" distB="0" distL="0" distR="0" wp14:anchorId="38359A6C" wp14:editId="0AAE8311">
            <wp:extent cx="3480435" cy="253335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tif"/>
                    <pic:cNvPicPr/>
                  </pic:nvPicPr>
                  <pic:blipFill>
                    <a:blip r:embed="rId9">
                      <a:extLst>
                        <a:ext uri="{28A0092B-C50C-407E-A947-70E740481C1C}">
                          <a14:useLocalDpi xmlns:a14="http://schemas.microsoft.com/office/drawing/2010/main" val="0"/>
                        </a:ext>
                      </a:extLst>
                    </a:blip>
                    <a:stretch>
                      <a:fillRect/>
                    </a:stretch>
                  </pic:blipFill>
                  <pic:spPr>
                    <a:xfrm>
                      <a:off x="0" y="0"/>
                      <a:ext cx="3480863" cy="2533667"/>
                    </a:xfrm>
                    <a:prstGeom prst="rect">
                      <a:avLst/>
                    </a:prstGeom>
                  </pic:spPr>
                </pic:pic>
              </a:graphicData>
            </a:graphic>
          </wp:inline>
        </w:drawing>
      </w:r>
    </w:p>
    <w:p w14:paraId="6DECCCAB" w14:textId="37E4EBBF" w:rsidR="00426699" w:rsidRPr="00FD442D" w:rsidRDefault="000005B1" w:rsidP="00426699">
      <w:pPr>
        <w:autoSpaceDE w:val="0"/>
        <w:autoSpaceDN w:val="0"/>
        <w:adjustRightInd w:val="0"/>
        <w:spacing w:after="120"/>
        <w:ind w:left="1080"/>
        <w:rPr>
          <w:b/>
          <w:sz w:val="24"/>
          <w:szCs w:val="24"/>
        </w:rPr>
      </w:pPr>
      <w:r>
        <w:rPr>
          <w:b/>
          <w:sz w:val="24"/>
          <w:szCs w:val="24"/>
        </w:rPr>
        <w:t>We pe</w:t>
      </w:r>
      <w:r w:rsidR="001212A6">
        <w:rPr>
          <w:b/>
          <w:sz w:val="24"/>
          <w:szCs w:val="24"/>
        </w:rPr>
        <w:t>r</w:t>
      </w:r>
      <w:r>
        <w:rPr>
          <w:b/>
          <w:sz w:val="24"/>
          <w:szCs w:val="24"/>
        </w:rPr>
        <w:t>formed</w:t>
      </w:r>
      <w:r w:rsidR="00D81505">
        <w:rPr>
          <w:b/>
          <w:sz w:val="24"/>
          <w:szCs w:val="24"/>
        </w:rPr>
        <w:t xml:space="preserve"> logistic regression of nadir PSA on relapse within 24 months, </w:t>
      </w:r>
      <w:r w:rsidR="00426699">
        <w:rPr>
          <w:b/>
          <w:sz w:val="24"/>
          <w:szCs w:val="24"/>
        </w:rPr>
        <w:t xml:space="preserve">with robust standard errors, </w:t>
      </w:r>
      <w:r w:rsidR="00D81505">
        <w:rPr>
          <w:b/>
          <w:sz w:val="24"/>
          <w:szCs w:val="24"/>
        </w:rPr>
        <w:t xml:space="preserve">comparing men with the same bone scan score and performance score and a 1 </w:t>
      </w:r>
      <w:proofErr w:type="spellStart"/>
      <w:r w:rsidR="00D81505">
        <w:rPr>
          <w:b/>
          <w:sz w:val="24"/>
          <w:szCs w:val="24"/>
        </w:rPr>
        <w:t>ng</w:t>
      </w:r>
      <w:proofErr w:type="spellEnd"/>
      <w:r w:rsidR="00D81505">
        <w:rPr>
          <w:b/>
          <w:sz w:val="24"/>
          <w:szCs w:val="24"/>
        </w:rPr>
        <w:t>/ml difference in nadir PSA</w:t>
      </w:r>
      <w:r>
        <w:rPr>
          <w:b/>
          <w:sz w:val="24"/>
          <w:szCs w:val="24"/>
        </w:rPr>
        <w:t xml:space="preserve"> within 4 different groups of nadir PSA level.</w:t>
      </w:r>
      <w:r w:rsidR="00D81505">
        <w:rPr>
          <w:b/>
          <w:sz w:val="24"/>
          <w:szCs w:val="24"/>
        </w:rPr>
        <w:t xml:space="preserve"> </w:t>
      </w:r>
      <w:r w:rsidR="00426699">
        <w:rPr>
          <w:b/>
          <w:sz w:val="24"/>
          <w:szCs w:val="24"/>
        </w:rPr>
        <w:t>A global Wald test indicates that the overall effect of nadir PSA is statistically significant (p=0.0143), suggesting that we can reject the null hypothesis that after controlling for BSS and PS, the odds of relapse in 24 months does not differ by nadir PSA score.</w:t>
      </w:r>
    </w:p>
    <w:p w14:paraId="3DBED94E" w14:textId="08ABD37D" w:rsidR="00D81505" w:rsidRPr="00FD442D" w:rsidRDefault="00426699" w:rsidP="00D81505">
      <w:pPr>
        <w:autoSpaceDE w:val="0"/>
        <w:autoSpaceDN w:val="0"/>
        <w:adjustRightInd w:val="0"/>
        <w:spacing w:after="120"/>
        <w:ind w:left="1080"/>
        <w:rPr>
          <w:b/>
          <w:sz w:val="24"/>
          <w:szCs w:val="24"/>
        </w:rPr>
      </w:pPr>
      <w:r>
        <w:rPr>
          <w:b/>
          <w:sz w:val="24"/>
          <w:szCs w:val="24"/>
        </w:rPr>
        <w:t xml:space="preserve">The scatterplot above shows that the relationship between odds (or probability) of relapse in 24 months and nadir PSA is </w:t>
      </w:r>
      <w:commentRangeStart w:id="6"/>
      <w:r>
        <w:rPr>
          <w:b/>
          <w:sz w:val="24"/>
          <w:szCs w:val="24"/>
        </w:rPr>
        <w:t>non-linear</w:t>
      </w:r>
      <w:commentRangeEnd w:id="6"/>
      <w:r w:rsidR="00527DC4">
        <w:rPr>
          <w:rStyle w:val="CommentReference"/>
        </w:rPr>
        <w:commentReference w:id="6"/>
      </w:r>
      <w:r>
        <w:rPr>
          <w:b/>
          <w:sz w:val="24"/>
          <w:szCs w:val="24"/>
        </w:rPr>
        <w:t>, with the odds increasing steeply for the increase in nadir PSA between 0 and 1</w:t>
      </w:r>
      <w:r w:rsidR="00F160F0">
        <w:rPr>
          <w:b/>
          <w:sz w:val="24"/>
          <w:szCs w:val="24"/>
        </w:rPr>
        <w:t xml:space="preserve"> </w:t>
      </w:r>
      <w:proofErr w:type="spellStart"/>
      <w:r w:rsidR="00F160F0">
        <w:rPr>
          <w:b/>
          <w:sz w:val="24"/>
          <w:szCs w:val="24"/>
        </w:rPr>
        <w:t>ng</w:t>
      </w:r>
      <w:proofErr w:type="spellEnd"/>
      <w:r w:rsidR="00F160F0">
        <w:rPr>
          <w:b/>
          <w:sz w:val="24"/>
          <w:szCs w:val="24"/>
        </w:rPr>
        <w:t>/ml</w:t>
      </w:r>
      <w:r>
        <w:rPr>
          <w:b/>
          <w:sz w:val="24"/>
          <w:szCs w:val="24"/>
        </w:rPr>
        <w:t>, and between 4 and 16</w:t>
      </w:r>
      <w:r w:rsidR="00F160F0">
        <w:rPr>
          <w:b/>
          <w:sz w:val="24"/>
          <w:szCs w:val="24"/>
        </w:rPr>
        <w:t xml:space="preserve"> </w:t>
      </w:r>
      <w:proofErr w:type="spellStart"/>
      <w:r w:rsidR="00F160F0">
        <w:rPr>
          <w:b/>
          <w:sz w:val="24"/>
          <w:szCs w:val="24"/>
        </w:rPr>
        <w:t>ng</w:t>
      </w:r>
      <w:proofErr w:type="spellEnd"/>
      <w:r w:rsidR="00F160F0">
        <w:rPr>
          <w:b/>
          <w:sz w:val="24"/>
          <w:szCs w:val="24"/>
        </w:rPr>
        <w:t>/ml</w:t>
      </w:r>
      <w:r>
        <w:rPr>
          <w:b/>
          <w:sz w:val="24"/>
          <w:szCs w:val="24"/>
        </w:rPr>
        <w:t>, and the odds decreasing with an increase in nadir PSA from 1-4</w:t>
      </w:r>
      <w:r w:rsidR="00F160F0">
        <w:rPr>
          <w:b/>
          <w:sz w:val="24"/>
          <w:szCs w:val="24"/>
        </w:rPr>
        <w:t xml:space="preserve"> </w:t>
      </w:r>
      <w:proofErr w:type="spellStart"/>
      <w:r w:rsidR="00F160F0">
        <w:rPr>
          <w:b/>
          <w:sz w:val="24"/>
          <w:szCs w:val="24"/>
        </w:rPr>
        <w:t>ng</w:t>
      </w:r>
      <w:proofErr w:type="spellEnd"/>
      <w:r w:rsidR="00F160F0">
        <w:rPr>
          <w:b/>
          <w:sz w:val="24"/>
          <w:szCs w:val="24"/>
        </w:rPr>
        <w:t xml:space="preserve">/ml and above 16 </w:t>
      </w:r>
      <w:proofErr w:type="spellStart"/>
      <w:r w:rsidR="00F160F0">
        <w:rPr>
          <w:b/>
          <w:sz w:val="24"/>
          <w:szCs w:val="24"/>
        </w:rPr>
        <w:t>ng</w:t>
      </w:r>
      <w:proofErr w:type="spellEnd"/>
      <w:r w:rsidR="00F160F0">
        <w:rPr>
          <w:b/>
          <w:sz w:val="24"/>
          <w:szCs w:val="24"/>
        </w:rPr>
        <w:t xml:space="preserve">/ml. </w:t>
      </w:r>
    </w:p>
    <w:p w14:paraId="5DA35F53" w14:textId="77777777" w:rsidR="004D47A4" w:rsidRDefault="004D47A4" w:rsidP="004D47A4">
      <w:pPr>
        <w:autoSpaceDE w:val="0"/>
        <w:autoSpaceDN w:val="0"/>
        <w:adjustRightInd w:val="0"/>
        <w:spacing w:after="120"/>
        <w:rPr>
          <w:sz w:val="24"/>
          <w:szCs w:val="24"/>
        </w:rPr>
      </w:pPr>
    </w:p>
    <w:p w14:paraId="5F8CD2C2" w14:textId="77777777" w:rsidR="00261CFB" w:rsidRDefault="00261CFB" w:rsidP="00261CFB">
      <w:pPr>
        <w:numPr>
          <w:ilvl w:val="1"/>
          <w:numId w:val="19"/>
        </w:numPr>
        <w:autoSpaceDE w:val="0"/>
        <w:autoSpaceDN w:val="0"/>
        <w:adjustRightInd w:val="0"/>
        <w:spacing w:after="120"/>
        <w:rPr>
          <w:sz w:val="24"/>
          <w:szCs w:val="24"/>
        </w:rPr>
      </w:pPr>
      <w:commentRangeStart w:id="7"/>
      <w:r>
        <w:rPr>
          <w:sz w:val="24"/>
          <w:szCs w:val="24"/>
        </w:rPr>
        <w:lastRenderedPageBreak/>
        <w:t>For</w:t>
      </w:r>
      <w:commentRangeEnd w:id="7"/>
      <w:r w:rsidR="00527DC4">
        <w:rPr>
          <w:rStyle w:val="CommentReference"/>
        </w:rPr>
        <w:commentReference w:id="7"/>
      </w:r>
      <w:r>
        <w:rPr>
          <w:sz w:val="24"/>
          <w:szCs w:val="24"/>
        </w:rPr>
        <w:t xml:space="preserve"> each of the above </w:t>
      </w:r>
      <w:r w:rsidR="00DD6B80">
        <w:rPr>
          <w:sz w:val="24"/>
          <w:szCs w:val="24"/>
        </w:rPr>
        <w:t xml:space="preserve">regression </w:t>
      </w:r>
      <w:r>
        <w:rPr>
          <w:sz w:val="24"/>
          <w:szCs w:val="24"/>
        </w:rPr>
        <w:t>models, provide an interpretation of the intercept</w:t>
      </w:r>
      <w:r w:rsidR="00DD6B80">
        <w:rPr>
          <w:sz w:val="24"/>
          <w:szCs w:val="24"/>
        </w:rPr>
        <w:t>.</w:t>
      </w:r>
    </w:p>
    <w:p w14:paraId="387E53FD" w14:textId="77777777" w:rsidR="00615C60" w:rsidRPr="0054318C" w:rsidRDefault="00615C60" w:rsidP="0054318C">
      <w:pPr>
        <w:autoSpaceDE w:val="0"/>
        <w:autoSpaceDN w:val="0"/>
        <w:adjustRightInd w:val="0"/>
        <w:spacing w:after="120"/>
        <w:ind w:left="1080"/>
        <w:rPr>
          <w:b/>
          <w:sz w:val="24"/>
          <w:szCs w:val="24"/>
        </w:rPr>
      </w:pPr>
      <w:r w:rsidRPr="0054318C">
        <w:rPr>
          <w:b/>
          <w:sz w:val="24"/>
          <w:szCs w:val="24"/>
        </w:rPr>
        <w:t xml:space="preserve">In the model in part (a), the intercept indicates that the log odds of relapse in 24 months when BSS, PS, and nadir PSA are all 0 </w:t>
      </w:r>
      <w:proofErr w:type="gramStart"/>
      <w:r w:rsidRPr="0054318C">
        <w:rPr>
          <w:b/>
          <w:sz w:val="24"/>
          <w:szCs w:val="24"/>
        </w:rPr>
        <w:t>is</w:t>
      </w:r>
      <w:proofErr w:type="gramEnd"/>
      <w:r w:rsidRPr="0054318C">
        <w:rPr>
          <w:b/>
          <w:sz w:val="24"/>
          <w:szCs w:val="24"/>
        </w:rPr>
        <w:t xml:space="preserve"> 0.729.  This value is meaningless because BSS only ranges from 1-3 and cannot equal 0.  </w:t>
      </w:r>
      <w:r w:rsidR="0054318C" w:rsidRPr="0054318C">
        <w:rPr>
          <w:b/>
          <w:sz w:val="24"/>
          <w:szCs w:val="24"/>
        </w:rPr>
        <w:t>In addition, performance scores were all above 50 so this is extrapolating well outside of our data.</w:t>
      </w:r>
    </w:p>
    <w:p w14:paraId="6168DFE2" w14:textId="77777777" w:rsidR="00615C60" w:rsidRPr="0054318C" w:rsidRDefault="00615C60" w:rsidP="0054318C">
      <w:pPr>
        <w:autoSpaceDE w:val="0"/>
        <w:autoSpaceDN w:val="0"/>
        <w:adjustRightInd w:val="0"/>
        <w:spacing w:after="120"/>
        <w:ind w:left="1080"/>
        <w:rPr>
          <w:b/>
          <w:sz w:val="24"/>
          <w:szCs w:val="24"/>
        </w:rPr>
      </w:pPr>
      <w:r w:rsidRPr="0054318C">
        <w:rPr>
          <w:b/>
          <w:sz w:val="24"/>
          <w:szCs w:val="24"/>
        </w:rPr>
        <w:t xml:space="preserve">In the model </w:t>
      </w:r>
      <w:r w:rsidR="0054318C" w:rsidRPr="0054318C">
        <w:rPr>
          <w:b/>
          <w:sz w:val="24"/>
          <w:szCs w:val="24"/>
        </w:rPr>
        <w:t>in part</w:t>
      </w:r>
      <w:r w:rsidRPr="0054318C">
        <w:rPr>
          <w:b/>
          <w:sz w:val="24"/>
          <w:szCs w:val="24"/>
        </w:rPr>
        <w:t xml:space="preserve"> (b), the intercept tells us that the log odds of relapse in 24 months when BSS, PS, and log nadir PSA are all 0 </w:t>
      </w:r>
      <w:proofErr w:type="gramStart"/>
      <w:r w:rsidRPr="0054318C">
        <w:rPr>
          <w:b/>
          <w:sz w:val="24"/>
          <w:szCs w:val="24"/>
        </w:rPr>
        <w:t>is</w:t>
      </w:r>
      <w:proofErr w:type="gramEnd"/>
      <w:r w:rsidRPr="0054318C">
        <w:rPr>
          <w:b/>
          <w:sz w:val="24"/>
          <w:szCs w:val="24"/>
        </w:rPr>
        <w:t xml:space="preserve"> 1.12.  Again, this value is meaningless because BSS only ranges from 1-3 and cannot equal 0.  </w:t>
      </w:r>
      <w:r w:rsidR="0054318C" w:rsidRPr="0054318C">
        <w:rPr>
          <w:b/>
          <w:sz w:val="24"/>
          <w:szCs w:val="24"/>
        </w:rPr>
        <w:t>In addition, performance scores were all above 50 so this is extrapolating well outside of our data.</w:t>
      </w:r>
    </w:p>
    <w:p w14:paraId="0F61CC2D" w14:textId="77777777" w:rsidR="0054318C" w:rsidRPr="0054318C" w:rsidRDefault="0054318C" w:rsidP="0054318C">
      <w:pPr>
        <w:autoSpaceDE w:val="0"/>
        <w:autoSpaceDN w:val="0"/>
        <w:adjustRightInd w:val="0"/>
        <w:spacing w:after="120"/>
        <w:ind w:left="1080"/>
        <w:rPr>
          <w:b/>
          <w:sz w:val="24"/>
          <w:szCs w:val="24"/>
        </w:rPr>
      </w:pPr>
      <w:r w:rsidRPr="0054318C">
        <w:rPr>
          <w:b/>
          <w:sz w:val="24"/>
          <w:szCs w:val="24"/>
        </w:rPr>
        <w:t xml:space="preserve">In the model in part (c), the intercept tells us that the log odds of relapse in 24 months when BSS, PS, and nadir PSA are all 0 </w:t>
      </w:r>
      <w:proofErr w:type="gramStart"/>
      <w:r w:rsidRPr="0054318C">
        <w:rPr>
          <w:b/>
          <w:sz w:val="24"/>
          <w:szCs w:val="24"/>
        </w:rPr>
        <w:t>is</w:t>
      </w:r>
      <w:proofErr w:type="gramEnd"/>
      <w:r w:rsidRPr="0054318C">
        <w:rPr>
          <w:b/>
          <w:sz w:val="24"/>
          <w:szCs w:val="24"/>
        </w:rPr>
        <w:t xml:space="preserve"> -0.679.  Again, this value is meaningless because BSS only ranges from 1-3 and cannot equal 0.  In addition, performance scores were all above 50 so this is extrapolating well outside of our data.</w:t>
      </w:r>
    </w:p>
    <w:p w14:paraId="35E2A37B" w14:textId="77777777" w:rsidR="00615C60" w:rsidRDefault="00615C60" w:rsidP="00615C60">
      <w:pPr>
        <w:autoSpaceDE w:val="0"/>
        <w:autoSpaceDN w:val="0"/>
        <w:adjustRightInd w:val="0"/>
        <w:spacing w:after="120"/>
        <w:rPr>
          <w:sz w:val="24"/>
          <w:szCs w:val="24"/>
        </w:rPr>
      </w:pPr>
    </w:p>
    <w:p w14:paraId="52A663F3" w14:textId="77777777" w:rsidR="001E5158" w:rsidRDefault="001E5158" w:rsidP="001E5158">
      <w:pPr>
        <w:numPr>
          <w:ilvl w:val="0"/>
          <w:numId w:val="19"/>
        </w:numPr>
        <w:autoSpaceDE w:val="0"/>
        <w:autoSpaceDN w:val="0"/>
        <w:adjustRightInd w:val="0"/>
        <w:spacing w:after="120"/>
        <w:rPr>
          <w:sz w:val="24"/>
          <w:szCs w:val="24"/>
        </w:rPr>
      </w:pPr>
      <w:r>
        <w:rPr>
          <w:sz w:val="24"/>
          <w:szCs w:val="24"/>
        </w:rPr>
        <w:t>In this longitudinal study, we could instead have considered the “reverse” analyses in which nadir PSA is used as the response and the predictor is the indicator of relapse within 24 months.</w:t>
      </w:r>
    </w:p>
    <w:p w14:paraId="545538F1" w14:textId="77777777" w:rsidR="001E5158" w:rsidRDefault="001E5158" w:rsidP="001E5158">
      <w:pPr>
        <w:numPr>
          <w:ilvl w:val="1"/>
          <w:numId w:val="19"/>
        </w:numPr>
        <w:autoSpaceDE w:val="0"/>
        <w:autoSpaceDN w:val="0"/>
        <w:adjustRightInd w:val="0"/>
        <w:spacing w:after="120"/>
        <w:rPr>
          <w:sz w:val="24"/>
          <w:szCs w:val="24"/>
        </w:rPr>
      </w:pPr>
      <w:commentRangeStart w:id="8"/>
      <w:r w:rsidRPr="00A3120A">
        <w:rPr>
          <w:sz w:val="24"/>
          <w:szCs w:val="24"/>
        </w:rPr>
        <w:t>Perform</w:t>
      </w:r>
      <w:commentRangeEnd w:id="8"/>
      <w:r w:rsidR="00527DC4">
        <w:rPr>
          <w:rStyle w:val="CommentReference"/>
        </w:rPr>
        <w:commentReference w:id="8"/>
      </w:r>
      <w:r w:rsidRPr="00A3120A">
        <w:rPr>
          <w:sz w:val="24"/>
          <w:szCs w:val="24"/>
        </w:rPr>
        <w:t xml:space="preserve"> </w:t>
      </w:r>
      <w:r>
        <w:rPr>
          <w:sz w:val="24"/>
          <w:szCs w:val="24"/>
        </w:rPr>
        <w:t xml:space="preserve">linear regression analyses to determine whether there is an association between mean nadir PSA level and relapse within 24 months after adjustment for bone scan score and performance status. Make clear the statistical analysis you perform. Provide full statistical inference for your measure of association.  </w:t>
      </w:r>
    </w:p>
    <w:tbl>
      <w:tblPr>
        <w:tblStyle w:val="LightShading"/>
        <w:tblW w:w="6541" w:type="dxa"/>
        <w:tblInd w:w="1440" w:type="dxa"/>
        <w:tblLook w:val="04A0" w:firstRow="1" w:lastRow="0" w:firstColumn="1" w:lastColumn="0" w:noHBand="0" w:noVBand="1"/>
      </w:tblPr>
      <w:tblGrid>
        <w:gridCol w:w="2358"/>
        <w:gridCol w:w="1350"/>
        <w:gridCol w:w="1873"/>
        <w:gridCol w:w="960"/>
      </w:tblGrid>
      <w:tr w:rsidR="004D47A4" w:rsidRPr="00AD3290" w14:paraId="207C237E" w14:textId="77777777" w:rsidTr="00D2769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8" w:type="dxa"/>
            <w:noWrap/>
            <w:hideMark/>
          </w:tcPr>
          <w:p w14:paraId="64766352" w14:textId="77777777" w:rsidR="004D47A4" w:rsidRPr="00AD3290" w:rsidRDefault="004D47A4" w:rsidP="004D47A4">
            <w:pPr>
              <w:rPr>
                <w:rFonts w:ascii="Calibri" w:eastAsia="Times New Roman" w:hAnsi="Calibri" w:cs="Times New Roman"/>
                <w:color w:val="000000"/>
              </w:rPr>
            </w:pPr>
          </w:p>
        </w:tc>
        <w:tc>
          <w:tcPr>
            <w:tcW w:w="1350" w:type="dxa"/>
            <w:noWrap/>
            <w:hideMark/>
          </w:tcPr>
          <w:p w14:paraId="2CCD1E9A" w14:textId="77777777" w:rsidR="004D47A4" w:rsidRPr="00AD3290" w:rsidRDefault="004D47A4" w:rsidP="004D47A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Difference in nadir PSA</w:t>
            </w:r>
          </w:p>
        </w:tc>
        <w:tc>
          <w:tcPr>
            <w:tcW w:w="1873" w:type="dxa"/>
            <w:noWrap/>
            <w:hideMark/>
          </w:tcPr>
          <w:p w14:paraId="541BBD4E" w14:textId="77777777" w:rsidR="004D47A4" w:rsidRPr="00AD3290"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 xml:space="preserve">95% CI </w:t>
            </w:r>
          </w:p>
        </w:tc>
        <w:tc>
          <w:tcPr>
            <w:tcW w:w="960" w:type="dxa"/>
            <w:noWrap/>
            <w:hideMark/>
          </w:tcPr>
          <w:p w14:paraId="473A3E7D" w14:textId="77777777" w:rsidR="004D47A4" w:rsidRPr="00AD3290" w:rsidRDefault="004D47A4" w:rsidP="004D47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p</w:t>
            </w:r>
          </w:p>
        </w:tc>
      </w:tr>
      <w:tr w:rsidR="004D47A4" w:rsidRPr="00AD3290" w14:paraId="75BAAEB4" w14:textId="77777777" w:rsidTr="00D276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8" w:type="dxa"/>
            <w:noWrap/>
            <w:hideMark/>
          </w:tcPr>
          <w:p w14:paraId="556A69B2" w14:textId="77777777" w:rsidR="004D47A4" w:rsidRPr="00AD3290" w:rsidRDefault="004D47A4" w:rsidP="004D47A4">
            <w:pPr>
              <w:jc w:val="right"/>
              <w:rPr>
                <w:rFonts w:ascii="Calibri" w:eastAsia="Times New Roman" w:hAnsi="Calibri" w:cs="Times New Roman"/>
                <w:color w:val="000000"/>
              </w:rPr>
            </w:pPr>
            <w:r w:rsidRPr="00AD3290">
              <w:rPr>
                <w:rFonts w:ascii="Calibri" w:eastAsia="Times New Roman" w:hAnsi="Calibri" w:cs="Times New Roman"/>
                <w:color w:val="000000"/>
              </w:rPr>
              <w:t>Relapse in 24 months</w:t>
            </w:r>
          </w:p>
        </w:tc>
        <w:tc>
          <w:tcPr>
            <w:tcW w:w="1350" w:type="dxa"/>
            <w:noWrap/>
            <w:hideMark/>
          </w:tcPr>
          <w:p w14:paraId="6E65B218" w14:textId="77777777" w:rsidR="004D47A4" w:rsidRPr="00AD3290"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23.52</w:t>
            </w:r>
          </w:p>
        </w:tc>
        <w:tc>
          <w:tcPr>
            <w:tcW w:w="1873" w:type="dxa"/>
            <w:noWrap/>
            <w:hideMark/>
          </w:tcPr>
          <w:p w14:paraId="4E6E3A27" w14:textId="77777777" w:rsidR="004D47A4" w:rsidRPr="00AD3290"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(0.48 - 46.56)</w:t>
            </w:r>
          </w:p>
        </w:tc>
        <w:tc>
          <w:tcPr>
            <w:tcW w:w="960" w:type="dxa"/>
            <w:noWrap/>
            <w:hideMark/>
          </w:tcPr>
          <w:p w14:paraId="75B9D8AF" w14:textId="77777777" w:rsidR="004D47A4" w:rsidRPr="00AD3290"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0.046</w:t>
            </w:r>
          </w:p>
        </w:tc>
      </w:tr>
      <w:tr w:rsidR="004D47A4" w:rsidRPr="00AD3290" w14:paraId="4A35B5C1" w14:textId="77777777" w:rsidTr="00D27690">
        <w:trPr>
          <w:trHeight w:val="300"/>
        </w:trPr>
        <w:tc>
          <w:tcPr>
            <w:cnfStyle w:val="001000000000" w:firstRow="0" w:lastRow="0" w:firstColumn="1" w:lastColumn="0" w:oddVBand="0" w:evenVBand="0" w:oddHBand="0" w:evenHBand="0" w:firstRowFirstColumn="0" w:firstRowLastColumn="0" w:lastRowFirstColumn="0" w:lastRowLastColumn="0"/>
            <w:tcW w:w="2358" w:type="dxa"/>
            <w:noWrap/>
            <w:hideMark/>
          </w:tcPr>
          <w:p w14:paraId="15CD166C" w14:textId="77777777" w:rsidR="004D47A4" w:rsidRPr="00AD3290" w:rsidRDefault="004D47A4" w:rsidP="004D47A4">
            <w:pPr>
              <w:jc w:val="right"/>
              <w:rPr>
                <w:rFonts w:ascii="Calibri" w:eastAsia="Times New Roman" w:hAnsi="Calibri" w:cs="Times New Roman"/>
                <w:color w:val="000000"/>
              </w:rPr>
            </w:pPr>
            <w:r w:rsidRPr="00AD3290">
              <w:rPr>
                <w:rFonts w:ascii="Calibri" w:eastAsia="Times New Roman" w:hAnsi="Calibri" w:cs="Times New Roman"/>
                <w:color w:val="000000"/>
              </w:rPr>
              <w:t>Bone scan score</w:t>
            </w:r>
          </w:p>
        </w:tc>
        <w:tc>
          <w:tcPr>
            <w:tcW w:w="1350" w:type="dxa"/>
            <w:noWrap/>
            <w:hideMark/>
          </w:tcPr>
          <w:p w14:paraId="77E1D76A" w14:textId="77777777" w:rsidR="004D47A4" w:rsidRPr="00AD3290"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6.85</w:t>
            </w:r>
          </w:p>
        </w:tc>
        <w:tc>
          <w:tcPr>
            <w:tcW w:w="1873" w:type="dxa"/>
            <w:noWrap/>
            <w:hideMark/>
          </w:tcPr>
          <w:p w14:paraId="2E1207D4" w14:textId="77777777" w:rsidR="004D47A4" w:rsidRPr="00AD3290"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(-2.6 - 16.3)</w:t>
            </w:r>
          </w:p>
        </w:tc>
        <w:tc>
          <w:tcPr>
            <w:tcW w:w="960" w:type="dxa"/>
            <w:noWrap/>
            <w:hideMark/>
          </w:tcPr>
          <w:p w14:paraId="04C30F7C" w14:textId="77777777" w:rsidR="004D47A4" w:rsidRPr="00AD3290"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0.151</w:t>
            </w:r>
          </w:p>
        </w:tc>
      </w:tr>
      <w:tr w:rsidR="004D47A4" w:rsidRPr="00AD3290" w14:paraId="3B22D844" w14:textId="77777777" w:rsidTr="00D276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8" w:type="dxa"/>
            <w:noWrap/>
            <w:hideMark/>
          </w:tcPr>
          <w:p w14:paraId="098A7F50" w14:textId="77777777" w:rsidR="004D47A4" w:rsidRPr="00AD3290" w:rsidRDefault="004D47A4" w:rsidP="004D47A4">
            <w:pPr>
              <w:jc w:val="right"/>
              <w:rPr>
                <w:rFonts w:ascii="Calibri" w:eastAsia="Times New Roman" w:hAnsi="Calibri" w:cs="Times New Roman"/>
                <w:color w:val="000000"/>
              </w:rPr>
            </w:pPr>
            <w:r w:rsidRPr="00AD3290">
              <w:rPr>
                <w:rFonts w:ascii="Calibri" w:eastAsia="Times New Roman" w:hAnsi="Calibri" w:cs="Times New Roman"/>
                <w:color w:val="000000"/>
              </w:rPr>
              <w:t>Performance score</w:t>
            </w:r>
          </w:p>
        </w:tc>
        <w:tc>
          <w:tcPr>
            <w:tcW w:w="1350" w:type="dxa"/>
            <w:noWrap/>
            <w:hideMark/>
          </w:tcPr>
          <w:p w14:paraId="2142DD82" w14:textId="77777777" w:rsidR="004D47A4" w:rsidRPr="00AD3290"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-0.51</w:t>
            </w:r>
          </w:p>
        </w:tc>
        <w:tc>
          <w:tcPr>
            <w:tcW w:w="1873" w:type="dxa"/>
            <w:noWrap/>
            <w:hideMark/>
          </w:tcPr>
          <w:p w14:paraId="1D38759B" w14:textId="77777777" w:rsidR="004D47A4" w:rsidRPr="00AD3290"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(-1.76 - 0.74)</w:t>
            </w:r>
          </w:p>
        </w:tc>
        <w:tc>
          <w:tcPr>
            <w:tcW w:w="960" w:type="dxa"/>
            <w:noWrap/>
            <w:hideMark/>
          </w:tcPr>
          <w:p w14:paraId="1A0489B0" w14:textId="77777777" w:rsidR="004D47A4" w:rsidRPr="00AD3290"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0.414</w:t>
            </w:r>
          </w:p>
        </w:tc>
      </w:tr>
      <w:tr w:rsidR="004D47A4" w:rsidRPr="00AD3290" w14:paraId="24CBA154" w14:textId="77777777" w:rsidTr="00D27690">
        <w:trPr>
          <w:trHeight w:val="300"/>
        </w:trPr>
        <w:tc>
          <w:tcPr>
            <w:cnfStyle w:val="001000000000" w:firstRow="0" w:lastRow="0" w:firstColumn="1" w:lastColumn="0" w:oddVBand="0" w:evenVBand="0" w:oddHBand="0" w:evenHBand="0" w:firstRowFirstColumn="0" w:firstRowLastColumn="0" w:lastRowFirstColumn="0" w:lastRowLastColumn="0"/>
            <w:tcW w:w="2358" w:type="dxa"/>
            <w:noWrap/>
            <w:hideMark/>
          </w:tcPr>
          <w:p w14:paraId="42CF6C70" w14:textId="77777777" w:rsidR="004D47A4" w:rsidRPr="00AD3290" w:rsidRDefault="004D47A4" w:rsidP="004D47A4">
            <w:pPr>
              <w:jc w:val="right"/>
              <w:rPr>
                <w:rFonts w:ascii="Calibri" w:eastAsia="Times New Roman" w:hAnsi="Calibri" w:cs="Times New Roman"/>
                <w:color w:val="000000"/>
              </w:rPr>
            </w:pPr>
            <w:r w:rsidRPr="00AD3290">
              <w:rPr>
                <w:rFonts w:ascii="Calibri" w:eastAsia="Times New Roman" w:hAnsi="Calibri" w:cs="Times New Roman"/>
                <w:color w:val="000000"/>
              </w:rPr>
              <w:t>Constant</w:t>
            </w:r>
          </w:p>
        </w:tc>
        <w:tc>
          <w:tcPr>
            <w:tcW w:w="1350" w:type="dxa"/>
            <w:noWrap/>
            <w:hideMark/>
          </w:tcPr>
          <w:p w14:paraId="2A7FE652" w14:textId="77777777" w:rsidR="004D47A4" w:rsidRPr="00AD3290"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31.03</w:t>
            </w:r>
          </w:p>
        </w:tc>
        <w:tc>
          <w:tcPr>
            <w:tcW w:w="1873" w:type="dxa"/>
            <w:noWrap/>
            <w:hideMark/>
          </w:tcPr>
          <w:p w14:paraId="07B3A545" w14:textId="77777777" w:rsidR="004D47A4" w:rsidRPr="00AD3290"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(-76.03 - 138.09)</w:t>
            </w:r>
          </w:p>
        </w:tc>
        <w:tc>
          <w:tcPr>
            <w:tcW w:w="960" w:type="dxa"/>
            <w:noWrap/>
            <w:hideMark/>
          </w:tcPr>
          <w:p w14:paraId="11D7F481" w14:textId="77777777" w:rsidR="004D47A4" w:rsidRPr="00AD3290"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0.562</w:t>
            </w:r>
          </w:p>
        </w:tc>
      </w:tr>
    </w:tbl>
    <w:p w14:paraId="32F8CA4A" w14:textId="77777777" w:rsidR="00D27690" w:rsidRPr="00887895" w:rsidRDefault="00D27690" w:rsidP="00D27690">
      <w:pPr>
        <w:pStyle w:val="PlainText"/>
        <w:rPr>
          <w:rFonts w:ascii="Times New Roman" w:hAnsi="Times New Roman" w:cs="Times New Roman"/>
          <w:b/>
          <w:sz w:val="24"/>
          <w:szCs w:val="22"/>
        </w:rPr>
      </w:pPr>
    </w:p>
    <w:p w14:paraId="6BE10B00" w14:textId="73EDD315" w:rsidR="00F160F0" w:rsidRDefault="00F160F0" w:rsidP="00F160F0">
      <w:pPr>
        <w:autoSpaceDE w:val="0"/>
        <w:autoSpaceDN w:val="0"/>
        <w:adjustRightInd w:val="0"/>
        <w:spacing w:after="120"/>
        <w:ind w:left="1080"/>
        <w:rPr>
          <w:b/>
          <w:sz w:val="24"/>
          <w:szCs w:val="24"/>
        </w:rPr>
      </w:pPr>
      <w:r>
        <w:rPr>
          <w:b/>
          <w:sz w:val="24"/>
          <w:szCs w:val="24"/>
        </w:rPr>
        <w:t xml:space="preserve">Note: For this model and all models below, I chose to model bone scan score (BSS) and performance score (PS) as having a linear association with nadir PSA (e.g. nadir PSA increases with increasing bone scan score and decreasing performance score).  This is only an assumption but allows me to proceed without “mining” the data before my main analysis.  </w:t>
      </w:r>
    </w:p>
    <w:p w14:paraId="34924EAD" w14:textId="77777777" w:rsidR="00F160F0" w:rsidRDefault="00F160F0" w:rsidP="00887895">
      <w:pPr>
        <w:pStyle w:val="PlainText"/>
        <w:ind w:left="720"/>
        <w:rPr>
          <w:rFonts w:ascii="Times New Roman" w:hAnsi="Times New Roman" w:cs="Times New Roman"/>
          <w:b/>
          <w:sz w:val="24"/>
          <w:szCs w:val="22"/>
        </w:rPr>
      </w:pPr>
    </w:p>
    <w:p w14:paraId="0D754A42" w14:textId="77777777" w:rsidR="00D27690" w:rsidRPr="00887895" w:rsidRDefault="00D27690" w:rsidP="00887895">
      <w:pPr>
        <w:pStyle w:val="PlainText"/>
        <w:ind w:left="720"/>
        <w:rPr>
          <w:rFonts w:ascii="Times New Roman" w:hAnsi="Times New Roman" w:cs="Times New Roman"/>
          <w:b/>
          <w:sz w:val="24"/>
          <w:szCs w:val="22"/>
        </w:rPr>
      </w:pPr>
      <w:r w:rsidRPr="00887895">
        <w:rPr>
          <w:rFonts w:ascii="Times New Roman" w:hAnsi="Times New Roman" w:cs="Times New Roman"/>
          <w:b/>
          <w:sz w:val="24"/>
          <w:szCs w:val="22"/>
        </w:rPr>
        <w:t xml:space="preserve">In linear regression with robust standard errors, comparing men with the same performance scores </w:t>
      </w:r>
      <w:r w:rsidR="00887895" w:rsidRPr="00887895">
        <w:rPr>
          <w:rFonts w:ascii="Times New Roman" w:hAnsi="Times New Roman" w:cs="Times New Roman"/>
          <w:b/>
          <w:sz w:val="24"/>
          <w:szCs w:val="22"/>
        </w:rPr>
        <w:t xml:space="preserve">(PS) </w:t>
      </w:r>
      <w:r w:rsidRPr="00887895">
        <w:rPr>
          <w:rFonts w:ascii="Times New Roman" w:hAnsi="Times New Roman" w:cs="Times New Roman"/>
          <w:b/>
          <w:sz w:val="24"/>
          <w:szCs w:val="22"/>
        </w:rPr>
        <w:t>and bone scan scores</w:t>
      </w:r>
      <w:r w:rsidR="00887895" w:rsidRPr="00887895">
        <w:rPr>
          <w:rFonts w:ascii="Times New Roman" w:hAnsi="Times New Roman" w:cs="Times New Roman"/>
          <w:b/>
          <w:sz w:val="24"/>
          <w:szCs w:val="22"/>
        </w:rPr>
        <w:t xml:space="preserve"> (BSS)</w:t>
      </w:r>
      <w:r w:rsidRPr="00887895">
        <w:rPr>
          <w:rFonts w:ascii="Times New Roman" w:hAnsi="Times New Roman" w:cs="Times New Roman"/>
          <w:b/>
          <w:sz w:val="24"/>
          <w:szCs w:val="22"/>
        </w:rPr>
        <w:t xml:space="preserve">, the mean nadir PSA in </w:t>
      </w:r>
      <w:r w:rsidR="00887895" w:rsidRPr="00887895">
        <w:rPr>
          <w:rFonts w:ascii="Times New Roman" w:hAnsi="Times New Roman" w:cs="Times New Roman"/>
          <w:b/>
          <w:sz w:val="24"/>
          <w:szCs w:val="22"/>
        </w:rPr>
        <w:t xml:space="preserve">men who relapsed within 24 months is 23.52 </w:t>
      </w:r>
      <w:proofErr w:type="spellStart"/>
      <w:r w:rsidR="00887895" w:rsidRPr="00887895">
        <w:rPr>
          <w:rFonts w:ascii="Times New Roman" w:hAnsi="Times New Roman" w:cs="Times New Roman"/>
          <w:b/>
          <w:sz w:val="24"/>
          <w:szCs w:val="22"/>
        </w:rPr>
        <w:t>ng</w:t>
      </w:r>
      <w:proofErr w:type="spellEnd"/>
      <w:r w:rsidR="00887895" w:rsidRPr="00887895">
        <w:rPr>
          <w:rFonts w:ascii="Times New Roman" w:hAnsi="Times New Roman" w:cs="Times New Roman"/>
          <w:b/>
          <w:sz w:val="24"/>
          <w:szCs w:val="22"/>
        </w:rPr>
        <w:t>/ml higher (</w:t>
      </w:r>
      <w:r w:rsidRPr="00887895">
        <w:rPr>
          <w:rFonts w:ascii="Times New Roman" w:hAnsi="Times New Roman" w:cs="Times New Roman"/>
          <w:b/>
          <w:sz w:val="24"/>
          <w:szCs w:val="22"/>
        </w:rPr>
        <w:t>on average</w:t>
      </w:r>
      <w:r w:rsidR="00887895" w:rsidRPr="00887895">
        <w:rPr>
          <w:rFonts w:ascii="Times New Roman" w:hAnsi="Times New Roman" w:cs="Times New Roman"/>
          <w:b/>
          <w:sz w:val="24"/>
          <w:szCs w:val="22"/>
        </w:rPr>
        <w:t>) than the mean nadir PSA in men who did not relapse</w:t>
      </w:r>
      <w:r w:rsidRPr="00887895">
        <w:rPr>
          <w:rFonts w:ascii="Times New Roman" w:hAnsi="Times New Roman" w:cs="Times New Roman"/>
          <w:b/>
          <w:sz w:val="24"/>
          <w:szCs w:val="22"/>
        </w:rPr>
        <w:t>. This result is significantly different from 0 (P =</w:t>
      </w:r>
      <w:r w:rsidR="00887895" w:rsidRPr="00887895">
        <w:rPr>
          <w:rFonts w:ascii="Times New Roman" w:hAnsi="Times New Roman" w:cs="Times New Roman"/>
          <w:b/>
          <w:sz w:val="24"/>
          <w:szCs w:val="22"/>
        </w:rPr>
        <w:t xml:space="preserve"> 0.046</w:t>
      </w:r>
      <w:r w:rsidRPr="00887895">
        <w:rPr>
          <w:rFonts w:ascii="Times New Roman" w:hAnsi="Times New Roman" w:cs="Times New Roman"/>
          <w:b/>
          <w:sz w:val="24"/>
          <w:szCs w:val="22"/>
        </w:rPr>
        <w:t xml:space="preserve">), with a 95% CI suggesting that such observed results would not be </w:t>
      </w:r>
      <w:r w:rsidRPr="00887895">
        <w:rPr>
          <w:rFonts w:ascii="Times New Roman" w:hAnsi="Times New Roman" w:cs="Times New Roman"/>
          <w:b/>
          <w:sz w:val="24"/>
          <w:szCs w:val="22"/>
        </w:rPr>
        <w:lastRenderedPageBreak/>
        <w:t xml:space="preserve">unusual if the </w:t>
      </w:r>
      <w:r w:rsidR="00887895" w:rsidRPr="00887895">
        <w:rPr>
          <w:rFonts w:ascii="Times New Roman" w:hAnsi="Times New Roman" w:cs="Times New Roman"/>
          <w:b/>
          <w:sz w:val="24"/>
          <w:szCs w:val="22"/>
        </w:rPr>
        <w:t>true</w:t>
      </w:r>
      <w:r w:rsidRPr="00887895">
        <w:rPr>
          <w:rFonts w:ascii="Times New Roman" w:hAnsi="Times New Roman" w:cs="Times New Roman"/>
          <w:b/>
          <w:sz w:val="24"/>
          <w:szCs w:val="22"/>
        </w:rPr>
        <w:t xml:space="preserve"> </w:t>
      </w:r>
      <w:r w:rsidR="00887895" w:rsidRPr="00887895">
        <w:rPr>
          <w:rFonts w:ascii="Times New Roman" w:hAnsi="Times New Roman" w:cs="Times New Roman"/>
          <w:b/>
          <w:sz w:val="24"/>
          <w:szCs w:val="22"/>
        </w:rPr>
        <w:t>mean nadir PSA</w:t>
      </w:r>
      <w:r w:rsidRPr="00887895">
        <w:rPr>
          <w:rFonts w:ascii="Times New Roman" w:hAnsi="Times New Roman" w:cs="Times New Roman"/>
          <w:b/>
          <w:sz w:val="24"/>
          <w:szCs w:val="22"/>
        </w:rPr>
        <w:t xml:space="preserve"> w</w:t>
      </w:r>
      <w:r w:rsidR="00887895" w:rsidRPr="00887895">
        <w:rPr>
          <w:rFonts w:ascii="Times New Roman" w:hAnsi="Times New Roman" w:cs="Times New Roman"/>
          <w:b/>
          <w:sz w:val="24"/>
          <w:szCs w:val="22"/>
        </w:rPr>
        <w:t>as</w:t>
      </w:r>
      <w:r w:rsidRPr="00887895">
        <w:rPr>
          <w:rFonts w:ascii="Times New Roman" w:hAnsi="Times New Roman" w:cs="Times New Roman"/>
          <w:b/>
          <w:sz w:val="24"/>
          <w:szCs w:val="22"/>
        </w:rPr>
        <w:t xml:space="preserve"> anywhere between </w:t>
      </w:r>
      <w:r w:rsidR="00887895" w:rsidRPr="00887895">
        <w:rPr>
          <w:rFonts w:ascii="Times New Roman" w:hAnsi="Times New Roman" w:cs="Times New Roman"/>
          <w:b/>
          <w:sz w:val="24"/>
          <w:szCs w:val="22"/>
        </w:rPr>
        <w:t>0.48</w:t>
      </w:r>
      <w:r w:rsidRPr="00887895">
        <w:rPr>
          <w:rFonts w:ascii="Times New Roman" w:hAnsi="Times New Roman" w:cs="Times New Roman"/>
          <w:b/>
          <w:sz w:val="24"/>
          <w:szCs w:val="22"/>
        </w:rPr>
        <w:t xml:space="preserve"> and </w:t>
      </w:r>
      <w:r w:rsidR="00887895" w:rsidRPr="00887895">
        <w:rPr>
          <w:rFonts w:ascii="Times New Roman" w:hAnsi="Times New Roman" w:cs="Times New Roman"/>
          <w:b/>
          <w:sz w:val="24"/>
          <w:szCs w:val="22"/>
        </w:rPr>
        <w:t xml:space="preserve">46.56 </w:t>
      </w:r>
      <w:proofErr w:type="spellStart"/>
      <w:r w:rsidR="00887895" w:rsidRPr="00887895">
        <w:rPr>
          <w:rFonts w:ascii="Times New Roman" w:hAnsi="Times New Roman" w:cs="Times New Roman"/>
          <w:b/>
          <w:sz w:val="24"/>
          <w:szCs w:val="22"/>
        </w:rPr>
        <w:t>ng</w:t>
      </w:r>
      <w:proofErr w:type="spellEnd"/>
      <w:r w:rsidR="00887895" w:rsidRPr="00887895">
        <w:rPr>
          <w:rFonts w:ascii="Times New Roman" w:hAnsi="Times New Roman" w:cs="Times New Roman"/>
          <w:b/>
          <w:sz w:val="24"/>
          <w:szCs w:val="22"/>
        </w:rPr>
        <w:t>/ml</w:t>
      </w:r>
      <w:r w:rsidRPr="00887895">
        <w:rPr>
          <w:rFonts w:ascii="Times New Roman" w:hAnsi="Times New Roman" w:cs="Times New Roman"/>
          <w:b/>
          <w:sz w:val="24"/>
          <w:szCs w:val="22"/>
        </w:rPr>
        <w:t xml:space="preserve"> </w:t>
      </w:r>
      <w:r w:rsidR="00887895" w:rsidRPr="00887895">
        <w:rPr>
          <w:rFonts w:ascii="Times New Roman" w:hAnsi="Times New Roman" w:cs="Times New Roman"/>
          <w:b/>
          <w:sz w:val="24"/>
          <w:szCs w:val="22"/>
        </w:rPr>
        <w:t>higher</w:t>
      </w:r>
      <w:r w:rsidRPr="00887895">
        <w:rPr>
          <w:rFonts w:ascii="Times New Roman" w:hAnsi="Times New Roman" w:cs="Times New Roman"/>
          <w:b/>
          <w:sz w:val="24"/>
          <w:szCs w:val="22"/>
        </w:rPr>
        <w:t xml:space="preserve"> in </w:t>
      </w:r>
      <w:r w:rsidR="00887895" w:rsidRPr="00887895">
        <w:rPr>
          <w:rFonts w:ascii="Times New Roman" w:hAnsi="Times New Roman" w:cs="Times New Roman"/>
          <w:b/>
          <w:sz w:val="24"/>
          <w:szCs w:val="22"/>
        </w:rPr>
        <w:t>men who relapsed in 24 months, compared to those who did not relapse</w:t>
      </w:r>
      <w:r w:rsidRPr="00887895">
        <w:rPr>
          <w:rFonts w:ascii="Times New Roman" w:hAnsi="Times New Roman" w:cs="Times New Roman"/>
          <w:b/>
          <w:sz w:val="24"/>
          <w:szCs w:val="22"/>
        </w:rPr>
        <w:t xml:space="preserve">. We thus reject the null hypothesis that </w:t>
      </w:r>
      <w:r w:rsidR="00887895" w:rsidRPr="00887895">
        <w:rPr>
          <w:rFonts w:ascii="Times New Roman" w:hAnsi="Times New Roman" w:cs="Times New Roman"/>
          <w:b/>
          <w:sz w:val="24"/>
          <w:szCs w:val="22"/>
        </w:rPr>
        <w:t>after controlling for PS and BSS</w:t>
      </w:r>
      <w:r w:rsidRPr="00887895">
        <w:rPr>
          <w:rFonts w:ascii="Times New Roman" w:hAnsi="Times New Roman" w:cs="Times New Roman"/>
          <w:b/>
          <w:sz w:val="24"/>
          <w:szCs w:val="22"/>
        </w:rPr>
        <w:t xml:space="preserve">, the </w:t>
      </w:r>
      <w:r w:rsidR="00887895" w:rsidRPr="00887895">
        <w:rPr>
          <w:rFonts w:ascii="Times New Roman" w:hAnsi="Times New Roman" w:cs="Times New Roman"/>
          <w:b/>
          <w:sz w:val="24"/>
          <w:szCs w:val="22"/>
        </w:rPr>
        <w:t xml:space="preserve">mean nadir PSA </w:t>
      </w:r>
      <w:r w:rsidRPr="00887895">
        <w:rPr>
          <w:rFonts w:ascii="Times New Roman" w:hAnsi="Times New Roman" w:cs="Times New Roman"/>
          <w:b/>
          <w:sz w:val="24"/>
          <w:szCs w:val="22"/>
        </w:rPr>
        <w:t xml:space="preserve">does not differ in </w:t>
      </w:r>
      <w:r w:rsidR="00887895" w:rsidRPr="00887895">
        <w:rPr>
          <w:rFonts w:ascii="Times New Roman" w:hAnsi="Times New Roman" w:cs="Times New Roman"/>
          <w:b/>
          <w:sz w:val="24"/>
          <w:szCs w:val="22"/>
        </w:rPr>
        <w:t>men who relapse and men who do not relapse</w:t>
      </w:r>
      <w:r w:rsidRPr="00887895">
        <w:rPr>
          <w:rFonts w:ascii="Times New Roman" w:hAnsi="Times New Roman" w:cs="Times New Roman"/>
          <w:b/>
          <w:sz w:val="24"/>
          <w:szCs w:val="22"/>
        </w:rPr>
        <w:t>.</w:t>
      </w:r>
    </w:p>
    <w:p w14:paraId="67AE837E" w14:textId="77777777" w:rsidR="00887895" w:rsidRDefault="00887895" w:rsidP="00D27690">
      <w:pPr>
        <w:pStyle w:val="PlainText"/>
        <w:rPr>
          <w:rFonts w:ascii="Times New Roman" w:hAnsi="Times New Roman" w:cs="Times New Roman"/>
          <w:b/>
          <w:sz w:val="22"/>
          <w:szCs w:val="22"/>
        </w:rPr>
      </w:pPr>
    </w:p>
    <w:p w14:paraId="2CF7577C" w14:textId="77777777" w:rsidR="001E5158" w:rsidRDefault="001E5158" w:rsidP="001E5158">
      <w:pPr>
        <w:numPr>
          <w:ilvl w:val="1"/>
          <w:numId w:val="19"/>
        </w:numPr>
        <w:autoSpaceDE w:val="0"/>
        <w:autoSpaceDN w:val="0"/>
        <w:adjustRightInd w:val="0"/>
        <w:spacing w:after="120"/>
        <w:rPr>
          <w:sz w:val="24"/>
          <w:szCs w:val="24"/>
        </w:rPr>
      </w:pPr>
      <w:commentRangeStart w:id="9"/>
      <w:r w:rsidRPr="00A3120A">
        <w:rPr>
          <w:sz w:val="24"/>
          <w:szCs w:val="24"/>
        </w:rPr>
        <w:t>Perform</w:t>
      </w:r>
      <w:commentRangeEnd w:id="9"/>
      <w:r w:rsidR="00527DC4">
        <w:rPr>
          <w:rStyle w:val="CommentReference"/>
        </w:rPr>
        <w:commentReference w:id="9"/>
      </w:r>
      <w:r w:rsidRPr="00A3120A">
        <w:rPr>
          <w:sz w:val="24"/>
          <w:szCs w:val="24"/>
        </w:rPr>
        <w:t xml:space="preserve"> </w:t>
      </w:r>
      <w:r>
        <w:rPr>
          <w:sz w:val="24"/>
          <w:szCs w:val="24"/>
        </w:rPr>
        <w:t>linear regression analyses to determine whether there is an association between geometric mean nadir PSA level and relapse within 24 months after adjustment for bone scan score and performance status. Make clear the statistical analysis you perform. Provide full statistical inference for your measure of association. (Recall that inference on the geometric mean is obtained by performing linear regression on log transformed response variables.)</w:t>
      </w:r>
    </w:p>
    <w:tbl>
      <w:tblPr>
        <w:tblStyle w:val="LightShading"/>
        <w:tblW w:w="6239" w:type="dxa"/>
        <w:tblInd w:w="1440" w:type="dxa"/>
        <w:tblLook w:val="04A0" w:firstRow="1" w:lastRow="0" w:firstColumn="1" w:lastColumn="0" w:noHBand="0" w:noVBand="1"/>
      </w:tblPr>
      <w:tblGrid>
        <w:gridCol w:w="2178"/>
        <w:gridCol w:w="1581"/>
        <w:gridCol w:w="1520"/>
        <w:gridCol w:w="960"/>
      </w:tblGrid>
      <w:tr w:rsidR="004D47A4" w:rsidRPr="00AD3290" w14:paraId="04AE9925" w14:textId="77777777" w:rsidTr="008878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8" w:type="dxa"/>
            <w:noWrap/>
            <w:hideMark/>
          </w:tcPr>
          <w:p w14:paraId="27E3FA4D" w14:textId="77777777" w:rsidR="004D47A4" w:rsidRPr="00AD3290" w:rsidRDefault="004D47A4" w:rsidP="004D47A4">
            <w:pPr>
              <w:rPr>
                <w:rFonts w:ascii="Calibri" w:eastAsia="Times New Roman" w:hAnsi="Calibri" w:cs="Times New Roman"/>
                <w:color w:val="000000"/>
              </w:rPr>
            </w:pPr>
          </w:p>
        </w:tc>
        <w:tc>
          <w:tcPr>
            <w:tcW w:w="1581" w:type="dxa"/>
            <w:noWrap/>
            <w:hideMark/>
          </w:tcPr>
          <w:p w14:paraId="70063609" w14:textId="77777777" w:rsidR="004D47A4" w:rsidRPr="00AD3290" w:rsidRDefault="004D47A4" w:rsidP="004D47A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Difference in log nadir PSA</w:t>
            </w:r>
          </w:p>
        </w:tc>
        <w:tc>
          <w:tcPr>
            <w:tcW w:w="1520" w:type="dxa"/>
            <w:noWrap/>
            <w:hideMark/>
          </w:tcPr>
          <w:p w14:paraId="3953DDD9" w14:textId="77777777" w:rsidR="004D47A4" w:rsidRPr="00AD3290" w:rsidRDefault="004D47A4" w:rsidP="004D47A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 xml:space="preserve">95% CI </w:t>
            </w:r>
          </w:p>
        </w:tc>
        <w:tc>
          <w:tcPr>
            <w:tcW w:w="960" w:type="dxa"/>
            <w:noWrap/>
            <w:hideMark/>
          </w:tcPr>
          <w:p w14:paraId="61729AEE" w14:textId="77777777" w:rsidR="004D47A4" w:rsidRPr="00AD3290" w:rsidRDefault="004D47A4" w:rsidP="004D47A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p</w:t>
            </w:r>
          </w:p>
        </w:tc>
      </w:tr>
      <w:tr w:rsidR="004D47A4" w:rsidRPr="00AD3290" w14:paraId="48D58DC9" w14:textId="77777777" w:rsidTr="008878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8" w:type="dxa"/>
            <w:noWrap/>
            <w:hideMark/>
          </w:tcPr>
          <w:p w14:paraId="3935DD82" w14:textId="77777777" w:rsidR="004D47A4" w:rsidRPr="00AD3290" w:rsidRDefault="004D47A4" w:rsidP="004D47A4">
            <w:pPr>
              <w:jc w:val="right"/>
              <w:rPr>
                <w:rFonts w:ascii="Calibri" w:eastAsia="Times New Roman" w:hAnsi="Calibri" w:cs="Times New Roman"/>
                <w:color w:val="000000"/>
              </w:rPr>
            </w:pPr>
            <w:r w:rsidRPr="00AD3290">
              <w:rPr>
                <w:rFonts w:ascii="Calibri" w:eastAsia="Times New Roman" w:hAnsi="Calibri" w:cs="Times New Roman"/>
                <w:color w:val="000000"/>
              </w:rPr>
              <w:t>Relapse in 24 months</w:t>
            </w:r>
          </w:p>
        </w:tc>
        <w:tc>
          <w:tcPr>
            <w:tcW w:w="1581" w:type="dxa"/>
            <w:noWrap/>
            <w:hideMark/>
          </w:tcPr>
          <w:p w14:paraId="627F9F7D" w14:textId="77777777" w:rsidR="004D47A4" w:rsidRPr="00AD3290"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2.61</w:t>
            </w:r>
          </w:p>
        </w:tc>
        <w:tc>
          <w:tcPr>
            <w:tcW w:w="1520" w:type="dxa"/>
            <w:noWrap/>
            <w:hideMark/>
          </w:tcPr>
          <w:p w14:paraId="55166164" w14:textId="77777777" w:rsidR="004D47A4" w:rsidRPr="00AD3290" w:rsidRDefault="004D47A4" w:rsidP="004D47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(1.42 - 3.81)</w:t>
            </w:r>
          </w:p>
        </w:tc>
        <w:tc>
          <w:tcPr>
            <w:tcW w:w="960" w:type="dxa"/>
            <w:noWrap/>
            <w:hideMark/>
          </w:tcPr>
          <w:p w14:paraId="56A31125" w14:textId="2A1CA8CC" w:rsidR="004D47A4" w:rsidRPr="00AD3290" w:rsidRDefault="00F76493" w:rsidP="004D47A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&lt;</w:t>
            </w:r>
            <w:r w:rsidR="004D47A4">
              <w:rPr>
                <w:rFonts w:ascii="Calibri" w:eastAsia="Times New Roman" w:hAnsi="Calibri" w:cs="Times New Roman"/>
                <w:color w:val="000000"/>
              </w:rPr>
              <w:t>0.00</w:t>
            </w:r>
            <w:r>
              <w:rPr>
                <w:rFonts w:ascii="Calibri" w:eastAsia="Times New Roman" w:hAnsi="Calibri" w:cs="Times New Roman"/>
                <w:color w:val="000000"/>
              </w:rPr>
              <w:t>1</w:t>
            </w:r>
          </w:p>
        </w:tc>
      </w:tr>
      <w:tr w:rsidR="004D47A4" w:rsidRPr="00AD3290" w14:paraId="5F799346" w14:textId="77777777" w:rsidTr="00887895">
        <w:trPr>
          <w:trHeight w:val="300"/>
        </w:trPr>
        <w:tc>
          <w:tcPr>
            <w:cnfStyle w:val="001000000000" w:firstRow="0" w:lastRow="0" w:firstColumn="1" w:lastColumn="0" w:oddVBand="0" w:evenVBand="0" w:oddHBand="0" w:evenHBand="0" w:firstRowFirstColumn="0" w:firstRowLastColumn="0" w:lastRowFirstColumn="0" w:lastRowLastColumn="0"/>
            <w:tcW w:w="2178" w:type="dxa"/>
            <w:noWrap/>
            <w:hideMark/>
          </w:tcPr>
          <w:p w14:paraId="43AD2D96" w14:textId="77777777" w:rsidR="004D47A4" w:rsidRPr="00AD3290" w:rsidRDefault="004D47A4" w:rsidP="004D47A4">
            <w:pPr>
              <w:jc w:val="right"/>
              <w:rPr>
                <w:rFonts w:ascii="Calibri" w:eastAsia="Times New Roman" w:hAnsi="Calibri" w:cs="Times New Roman"/>
                <w:color w:val="000000"/>
              </w:rPr>
            </w:pPr>
            <w:r w:rsidRPr="00AD3290">
              <w:rPr>
                <w:rFonts w:ascii="Calibri" w:eastAsia="Times New Roman" w:hAnsi="Calibri" w:cs="Times New Roman"/>
                <w:color w:val="000000"/>
              </w:rPr>
              <w:t>Bone scan score</w:t>
            </w:r>
          </w:p>
        </w:tc>
        <w:tc>
          <w:tcPr>
            <w:tcW w:w="1581" w:type="dxa"/>
            <w:noWrap/>
            <w:hideMark/>
          </w:tcPr>
          <w:p w14:paraId="65BABDF7" w14:textId="77777777" w:rsidR="004D47A4" w:rsidRPr="00AD3290"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0.48</w:t>
            </w:r>
          </w:p>
        </w:tc>
        <w:tc>
          <w:tcPr>
            <w:tcW w:w="1520" w:type="dxa"/>
            <w:noWrap/>
            <w:hideMark/>
          </w:tcPr>
          <w:p w14:paraId="48168AD7" w14:textId="77777777" w:rsidR="004D47A4" w:rsidRPr="00AD3290" w:rsidRDefault="004D47A4" w:rsidP="004D47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(-0.12 - 1.08)</w:t>
            </w:r>
          </w:p>
        </w:tc>
        <w:tc>
          <w:tcPr>
            <w:tcW w:w="960" w:type="dxa"/>
            <w:noWrap/>
            <w:hideMark/>
          </w:tcPr>
          <w:p w14:paraId="23D93957" w14:textId="77777777" w:rsidR="004D47A4" w:rsidRPr="00AD3290" w:rsidRDefault="004D47A4" w:rsidP="004D47A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0.113</w:t>
            </w:r>
          </w:p>
        </w:tc>
      </w:tr>
      <w:tr w:rsidR="004D47A4" w:rsidRPr="00AD3290" w14:paraId="18CDC601" w14:textId="77777777" w:rsidTr="008878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8" w:type="dxa"/>
            <w:noWrap/>
            <w:hideMark/>
          </w:tcPr>
          <w:p w14:paraId="5613C802" w14:textId="77777777" w:rsidR="004D47A4" w:rsidRPr="00AD3290" w:rsidRDefault="004D47A4" w:rsidP="004D47A4">
            <w:pPr>
              <w:jc w:val="right"/>
              <w:rPr>
                <w:rFonts w:ascii="Calibri" w:eastAsia="Times New Roman" w:hAnsi="Calibri" w:cs="Times New Roman"/>
                <w:color w:val="000000"/>
              </w:rPr>
            </w:pPr>
            <w:r w:rsidRPr="00AD3290">
              <w:rPr>
                <w:rFonts w:ascii="Calibri" w:eastAsia="Times New Roman" w:hAnsi="Calibri" w:cs="Times New Roman"/>
                <w:color w:val="000000"/>
              </w:rPr>
              <w:t>Performance score</w:t>
            </w:r>
          </w:p>
        </w:tc>
        <w:tc>
          <w:tcPr>
            <w:tcW w:w="1581" w:type="dxa"/>
            <w:noWrap/>
            <w:hideMark/>
          </w:tcPr>
          <w:p w14:paraId="4FECDDED" w14:textId="77777777" w:rsidR="004D47A4" w:rsidRPr="00AD3290" w:rsidRDefault="004D47A4" w:rsidP="004D47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-0.01</w:t>
            </w:r>
          </w:p>
        </w:tc>
        <w:tc>
          <w:tcPr>
            <w:tcW w:w="1520" w:type="dxa"/>
            <w:noWrap/>
            <w:hideMark/>
          </w:tcPr>
          <w:p w14:paraId="4D0AA7D6" w14:textId="77777777" w:rsidR="004D47A4" w:rsidRPr="00AD3290" w:rsidRDefault="004D47A4" w:rsidP="004D47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(-0.06 - 0.05)</w:t>
            </w:r>
          </w:p>
        </w:tc>
        <w:tc>
          <w:tcPr>
            <w:tcW w:w="960" w:type="dxa"/>
            <w:noWrap/>
            <w:hideMark/>
          </w:tcPr>
          <w:p w14:paraId="2CD5954F" w14:textId="77777777" w:rsidR="004D47A4" w:rsidRPr="00AD3290" w:rsidRDefault="004D47A4" w:rsidP="004D47A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0.795</w:t>
            </w:r>
          </w:p>
        </w:tc>
      </w:tr>
      <w:tr w:rsidR="004D47A4" w:rsidRPr="00AD3290" w14:paraId="6215C9E9" w14:textId="77777777" w:rsidTr="00887895">
        <w:trPr>
          <w:trHeight w:val="300"/>
        </w:trPr>
        <w:tc>
          <w:tcPr>
            <w:cnfStyle w:val="001000000000" w:firstRow="0" w:lastRow="0" w:firstColumn="1" w:lastColumn="0" w:oddVBand="0" w:evenVBand="0" w:oddHBand="0" w:evenHBand="0" w:firstRowFirstColumn="0" w:firstRowLastColumn="0" w:lastRowFirstColumn="0" w:lastRowLastColumn="0"/>
            <w:tcW w:w="2178" w:type="dxa"/>
            <w:noWrap/>
            <w:hideMark/>
          </w:tcPr>
          <w:p w14:paraId="2931C0B9" w14:textId="77777777" w:rsidR="004D47A4" w:rsidRPr="00AD3290" w:rsidRDefault="004D47A4" w:rsidP="004D47A4">
            <w:pPr>
              <w:jc w:val="right"/>
              <w:rPr>
                <w:rFonts w:ascii="Calibri" w:eastAsia="Times New Roman" w:hAnsi="Calibri" w:cs="Times New Roman"/>
                <w:color w:val="000000"/>
              </w:rPr>
            </w:pPr>
            <w:r w:rsidRPr="00AD3290">
              <w:rPr>
                <w:rFonts w:ascii="Calibri" w:eastAsia="Times New Roman" w:hAnsi="Calibri" w:cs="Times New Roman"/>
                <w:color w:val="000000"/>
              </w:rPr>
              <w:t>Constant</w:t>
            </w:r>
          </w:p>
        </w:tc>
        <w:tc>
          <w:tcPr>
            <w:tcW w:w="1581" w:type="dxa"/>
            <w:noWrap/>
            <w:hideMark/>
          </w:tcPr>
          <w:p w14:paraId="74BB410F" w14:textId="77777777" w:rsidR="004D47A4" w:rsidRPr="00AD3290" w:rsidRDefault="004D47A4" w:rsidP="004D47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-1.17</w:t>
            </w:r>
          </w:p>
        </w:tc>
        <w:tc>
          <w:tcPr>
            <w:tcW w:w="1520" w:type="dxa"/>
            <w:noWrap/>
            <w:hideMark/>
          </w:tcPr>
          <w:p w14:paraId="4EBBE412" w14:textId="77777777" w:rsidR="004D47A4" w:rsidRPr="00AD3290" w:rsidRDefault="004D47A4" w:rsidP="004D47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(-6.2 - 3.87)</w:t>
            </w:r>
          </w:p>
        </w:tc>
        <w:tc>
          <w:tcPr>
            <w:tcW w:w="960" w:type="dxa"/>
            <w:noWrap/>
            <w:hideMark/>
          </w:tcPr>
          <w:p w14:paraId="192957B0" w14:textId="77777777" w:rsidR="004D47A4" w:rsidRPr="00AD3290" w:rsidRDefault="004D47A4" w:rsidP="004D47A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D3290">
              <w:rPr>
                <w:rFonts w:ascii="Calibri" w:eastAsia="Times New Roman" w:hAnsi="Calibri" w:cs="Times New Roman"/>
                <w:color w:val="000000"/>
              </w:rPr>
              <w:t>0.643</w:t>
            </w:r>
          </w:p>
        </w:tc>
      </w:tr>
    </w:tbl>
    <w:p w14:paraId="78EFDAB7" w14:textId="77777777" w:rsidR="004D47A4" w:rsidRDefault="004D47A4" w:rsidP="004D47A4">
      <w:pPr>
        <w:autoSpaceDE w:val="0"/>
        <w:autoSpaceDN w:val="0"/>
        <w:adjustRightInd w:val="0"/>
        <w:spacing w:after="120"/>
        <w:rPr>
          <w:sz w:val="24"/>
          <w:szCs w:val="24"/>
        </w:rPr>
      </w:pPr>
    </w:p>
    <w:p w14:paraId="24A68DFA" w14:textId="77777777" w:rsidR="00887895" w:rsidRPr="00887895" w:rsidRDefault="00887895" w:rsidP="00887895">
      <w:pPr>
        <w:pStyle w:val="PlainText"/>
        <w:ind w:left="720"/>
        <w:rPr>
          <w:rFonts w:ascii="Times New Roman" w:hAnsi="Times New Roman" w:cs="Times New Roman"/>
          <w:b/>
          <w:sz w:val="24"/>
          <w:szCs w:val="22"/>
        </w:rPr>
      </w:pPr>
      <w:r w:rsidRPr="00887895">
        <w:rPr>
          <w:rFonts w:ascii="Times New Roman" w:hAnsi="Times New Roman" w:cs="Times New Roman"/>
          <w:b/>
          <w:sz w:val="24"/>
          <w:szCs w:val="22"/>
        </w:rPr>
        <w:t xml:space="preserve">In linear regression with robust standard errors, comparing men with the same performance scores (PS) and bone scan scores (BSS), the </w:t>
      </w:r>
      <w:r w:rsidR="00FA7CAB">
        <w:rPr>
          <w:rFonts w:ascii="Times New Roman" w:hAnsi="Times New Roman" w:cs="Times New Roman"/>
          <w:b/>
          <w:sz w:val="24"/>
          <w:szCs w:val="22"/>
        </w:rPr>
        <w:t xml:space="preserve">geometric </w:t>
      </w:r>
      <w:r w:rsidRPr="00887895">
        <w:rPr>
          <w:rFonts w:ascii="Times New Roman" w:hAnsi="Times New Roman" w:cs="Times New Roman"/>
          <w:b/>
          <w:sz w:val="24"/>
          <w:szCs w:val="22"/>
        </w:rPr>
        <w:t xml:space="preserve">mean </w:t>
      </w:r>
      <w:r w:rsidR="00FA7CAB">
        <w:rPr>
          <w:rFonts w:ascii="Times New Roman" w:hAnsi="Times New Roman" w:cs="Times New Roman"/>
          <w:b/>
          <w:sz w:val="24"/>
          <w:szCs w:val="22"/>
        </w:rPr>
        <w:t>of</w:t>
      </w:r>
      <w:r>
        <w:rPr>
          <w:rFonts w:ascii="Times New Roman" w:hAnsi="Times New Roman" w:cs="Times New Roman"/>
          <w:b/>
          <w:sz w:val="24"/>
          <w:szCs w:val="22"/>
        </w:rPr>
        <w:t xml:space="preserve"> </w:t>
      </w:r>
      <w:r w:rsidRPr="00887895">
        <w:rPr>
          <w:rFonts w:ascii="Times New Roman" w:hAnsi="Times New Roman" w:cs="Times New Roman"/>
          <w:b/>
          <w:sz w:val="24"/>
          <w:szCs w:val="22"/>
        </w:rPr>
        <w:t xml:space="preserve">nadir PSA in men who relapsed within 24 months is </w:t>
      </w:r>
      <w:r w:rsidR="00FA7CAB">
        <w:rPr>
          <w:rFonts w:ascii="Times New Roman" w:hAnsi="Times New Roman" w:cs="Times New Roman"/>
          <w:b/>
          <w:sz w:val="24"/>
          <w:szCs w:val="22"/>
        </w:rPr>
        <w:t>e</w:t>
      </w:r>
      <w:r w:rsidR="00261AA2" w:rsidRPr="00FA7CAB">
        <w:rPr>
          <w:rFonts w:ascii="Times New Roman" w:hAnsi="Times New Roman" w:cs="Times New Roman"/>
          <w:b/>
          <w:sz w:val="24"/>
          <w:szCs w:val="22"/>
          <w:vertAlign w:val="superscript"/>
        </w:rPr>
        <w:t>2.61</w:t>
      </w:r>
      <w:r w:rsidRPr="00887895">
        <w:rPr>
          <w:rFonts w:ascii="Times New Roman" w:hAnsi="Times New Roman" w:cs="Times New Roman"/>
          <w:b/>
          <w:sz w:val="24"/>
          <w:szCs w:val="22"/>
        </w:rPr>
        <w:t xml:space="preserve"> </w:t>
      </w:r>
      <w:r w:rsidR="00FA7CAB">
        <w:rPr>
          <w:rFonts w:ascii="Times New Roman" w:hAnsi="Times New Roman" w:cs="Times New Roman"/>
          <w:b/>
          <w:sz w:val="24"/>
          <w:szCs w:val="22"/>
        </w:rPr>
        <w:t xml:space="preserve">= 13.66 </w:t>
      </w:r>
      <w:commentRangeStart w:id="10"/>
      <w:proofErr w:type="spellStart"/>
      <w:r w:rsidR="00FA7CAB">
        <w:rPr>
          <w:rFonts w:ascii="Times New Roman" w:hAnsi="Times New Roman" w:cs="Times New Roman"/>
          <w:b/>
          <w:sz w:val="24"/>
          <w:szCs w:val="22"/>
        </w:rPr>
        <w:t>ng</w:t>
      </w:r>
      <w:proofErr w:type="spellEnd"/>
      <w:r w:rsidR="00FA7CAB">
        <w:rPr>
          <w:rFonts w:ascii="Times New Roman" w:hAnsi="Times New Roman" w:cs="Times New Roman"/>
          <w:b/>
          <w:sz w:val="24"/>
          <w:szCs w:val="22"/>
        </w:rPr>
        <w:t>/ml</w:t>
      </w:r>
      <w:r w:rsidR="00261AA2">
        <w:rPr>
          <w:rFonts w:ascii="Times New Roman" w:hAnsi="Times New Roman" w:cs="Times New Roman"/>
          <w:b/>
          <w:sz w:val="24"/>
          <w:szCs w:val="22"/>
        </w:rPr>
        <w:t xml:space="preserve"> </w:t>
      </w:r>
      <w:commentRangeEnd w:id="10"/>
      <w:r w:rsidR="00527DC4">
        <w:rPr>
          <w:rStyle w:val="CommentReference"/>
          <w:rFonts w:ascii="Times New Roman" w:hAnsi="Times New Roman" w:cs="Times New Roman"/>
        </w:rPr>
        <w:commentReference w:id="10"/>
      </w:r>
      <w:r w:rsidRPr="00887895">
        <w:rPr>
          <w:rFonts w:ascii="Times New Roman" w:hAnsi="Times New Roman" w:cs="Times New Roman"/>
          <w:b/>
          <w:sz w:val="24"/>
          <w:szCs w:val="22"/>
        </w:rPr>
        <w:t>higher (on average) than th</w:t>
      </w:r>
      <w:r w:rsidR="00FA7CAB">
        <w:rPr>
          <w:rFonts w:ascii="Times New Roman" w:hAnsi="Times New Roman" w:cs="Times New Roman"/>
          <w:b/>
          <w:sz w:val="24"/>
          <w:szCs w:val="22"/>
        </w:rPr>
        <w:t>e geometric mean</w:t>
      </w:r>
      <w:r>
        <w:rPr>
          <w:rFonts w:ascii="Times New Roman" w:hAnsi="Times New Roman" w:cs="Times New Roman"/>
          <w:b/>
          <w:sz w:val="24"/>
          <w:szCs w:val="22"/>
        </w:rPr>
        <w:t xml:space="preserve"> </w:t>
      </w:r>
      <w:r w:rsidR="00FA7CAB">
        <w:rPr>
          <w:rFonts w:ascii="Times New Roman" w:hAnsi="Times New Roman" w:cs="Times New Roman"/>
          <w:b/>
          <w:sz w:val="24"/>
          <w:szCs w:val="22"/>
        </w:rPr>
        <w:t xml:space="preserve">of </w:t>
      </w:r>
      <w:r w:rsidRPr="00887895">
        <w:rPr>
          <w:rFonts w:ascii="Times New Roman" w:hAnsi="Times New Roman" w:cs="Times New Roman"/>
          <w:b/>
          <w:sz w:val="24"/>
          <w:szCs w:val="22"/>
        </w:rPr>
        <w:t xml:space="preserve">nadir PSA in men who did not relapse. This result is significantly different from 0 (P </w:t>
      </w:r>
      <w:r w:rsidR="00261AA2">
        <w:rPr>
          <w:rFonts w:ascii="Times New Roman" w:hAnsi="Times New Roman" w:cs="Times New Roman"/>
          <w:b/>
          <w:sz w:val="24"/>
          <w:szCs w:val="22"/>
        </w:rPr>
        <w:t>&lt;0.001</w:t>
      </w:r>
      <w:r w:rsidRPr="00887895">
        <w:rPr>
          <w:rFonts w:ascii="Times New Roman" w:hAnsi="Times New Roman" w:cs="Times New Roman"/>
          <w:b/>
          <w:sz w:val="24"/>
          <w:szCs w:val="22"/>
        </w:rPr>
        <w:t>), with a 95% CI suggesting that such observed results would not be unusual if the true</w:t>
      </w:r>
      <w:r w:rsidR="00FA7CAB">
        <w:rPr>
          <w:rFonts w:ascii="Times New Roman" w:hAnsi="Times New Roman" w:cs="Times New Roman"/>
          <w:b/>
          <w:sz w:val="24"/>
          <w:szCs w:val="22"/>
        </w:rPr>
        <w:t xml:space="preserve"> geometric</w:t>
      </w:r>
      <w:r w:rsidRPr="00887895">
        <w:rPr>
          <w:rFonts w:ascii="Times New Roman" w:hAnsi="Times New Roman" w:cs="Times New Roman"/>
          <w:b/>
          <w:sz w:val="24"/>
          <w:szCs w:val="22"/>
        </w:rPr>
        <w:t xml:space="preserve"> mean</w:t>
      </w:r>
      <w:r>
        <w:rPr>
          <w:rFonts w:ascii="Times New Roman" w:hAnsi="Times New Roman" w:cs="Times New Roman"/>
          <w:b/>
          <w:sz w:val="24"/>
          <w:szCs w:val="22"/>
        </w:rPr>
        <w:t xml:space="preserve"> </w:t>
      </w:r>
      <w:r w:rsidR="0010305D">
        <w:rPr>
          <w:rFonts w:ascii="Times New Roman" w:hAnsi="Times New Roman" w:cs="Times New Roman"/>
          <w:b/>
          <w:sz w:val="24"/>
          <w:szCs w:val="22"/>
        </w:rPr>
        <w:t xml:space="preserve">of </w:t>
      </w:r>
      <w:r w:rsidRPr="00887895">
        <w:rPr>
          <w:rFonts w:ascii="Times New Roman" w:hAnsi="Times New Roman" w:cs="Times New Roman"/>
          <w:b/>
          <w:sz w:val="24"/>
          <w:szCs w:val="22"/>
        </w:rPr>
        <w:t xml:space="preserve">nadir PSA was anywhere between </w:t>
      </w:r>
      <w:r w:rsidR="00FA7CAB">
        <w:rPr>
          <w:rFonts w:ascii="Times New Roman" w:hAnsi="Times New Roman" w:cs="Times New Roman"/>
          <w:b/>
          <w:sz w:val="24"/>
          <w:szCs w:val="22"/>
        </w:rPr>
        <w:t>e</w:t>
      </w:r>
      <w:r w:rsidR="00261AA2" w:rsidRPr="00FA7CAB">
        <w:rPr>
          <w:rFonts w:ascii="Times New Roman" w:hAnsi="Times New Roman" w:cs="Times New Roman"/>
          <w:b/>
          <w:sz w:val="24"/>
          <w:szCs w:val="22"/>
          <w:vertAlign w:val="superscript"/>
        </w:rPr>
        <w:t>1.42</w:t>
      </w:r>
      <w:r w:rsidR="00261AA2">
        <w:rPr>
          <w:rFonts w:ascii="Times New Roman" w:hAnsi="Times New Roman" w:cs="Times New Roman"/>
          <w:b/>
          <w:sz w:val="24"/>
          <w:szCs w:val="22"/>
        </w:rPr>
        <w:t xml:space="preserve"> </w:t>
      </w:r>
      <w:r w:rsidR="00FA7CAB">
        <w:rPr>
          <w:rFonts w:ascii="Times New Roman" w:hAnsi="Times New Roman" w:cs="Times New Roman"/>
          <w:b/>
          <w:sz w:val="24"/>
          <w:szCs w:val="22"/>
        </w:rPr>
        <w:t xml:space="preserve">= 4.13 </w:t>
      </w:r>
      <w:r w:rsidR="00261AA2">
        <w:rPr>
          <w:rFonts w:ascii="Times New Roman" w:hAnsi="Times New Roman" w:cs="Times New Roman"/>
          <w:b/>
          <w:sz w:val="24"/>
          <w:szCs w:val="22"/>
        </w:rPr>
        <w:t xml:space="preserve">and </w:t>
      </w:r>
      <w:r w:rsidR="00FA7CAB">
        <w:rPr>
          <w:rFonts w:ascii="Times New Roman" w:hAnsi="Times New Roman" w:cs="Times New Roman"/>
          <w:b/>
          <w:sz w:val="24"/>
          <w:szCs w:val="22"/>
        </w:rPr>
        <w:t>e</w:t>
      </w:r>
      <w:r w:rsidR="00261AA2" w:rsidRPr="00FA7CAB">
        <w:rPr>
          <w:rFonts w:ascii="Times New Roman" w:hAnsi="Times New Roman" w:cs="Times New Roman"/>
          <w:b/>
          <w:sz w:val="24"/>
          <w:szCs w:val="22"/>
          <w:vertAlign w:val="superscript"/>
        </w:rPr>
        <w:t>3.81</w:t>
      </w:r>
      <w:r w:rsidR="00261AA2">
        <w:rPr>
          <w:rFonts w:ascii="Times New Roman" w:hAnsi="Times New Roman" w:cs="Times New Roman"/>
          <w:b/>
          <w:sz w:val="24"/>
          <w:szCs w:val="22"/>
        </w:rPr>
        <w:t xml:space="preserve"> </w:t>
      </w:r>
      <w:r w:rsidR="00FA7CAB">
        <w:rPr>
          <w:rFonts w:ascii="Times New Roman" w:hAnsi="Times New Roman" w:cs="Times New Roman"/>
          <w:b/>
          <w:sz w:val="24"/>
          <w:szCs w:val="22"/>
        </w:rPr>
        <w:t xml:space="preserve">=45.16 </w:t>
      </w:r>
      <w:proofErr w:type="spellStart"/>
      <w:r w:rsidR="00FA7CAB">
        <w:rPr>
          <w:rFonts w:ascii="Times New Roman" w:hAnsi="Times New Roman" w:cs="Times New Roman"/>
          <w:b/>
          <w:sz w:val="24"/>
          <w:szCs w:val="22"/>
        </w:rPr>
        <w:t>ng</w:t>
      </w:r>
      <w:proofErr w:type="spellEnd"/>
      <w:r w:rsidR="00FA7CAB">
        <w:rPr>
          <w:rFonts w:ascii="Times New Roman" w:hAnsi="Times New Roman" w:cs="Times New Roman"/>
          <w:b/>
          <w:sz w:val="24"/>
          <w:szCs w:val="22"/>
        </w:rPr>
        <w:t>/ml</w:t>
      </w:r>
      <w:r w:rsidRPr="00887895">
        <w:rPr>
          <w:rFonts w:ascii="Times New Roman" w:hAnsi="Times New Roman" w:cs="Times New Roman"/>
          <w:b/>
          <w:sz w:val="24"/>
          <w:szCs w:val="22"/>
        </w:rPr>
        <w:t xml:space="preserve"> higher in men who relapsed in 24 months, compared to those who did not relapse. We thus reject the null hypothesis that after controlling for PS and BSS, the </w:t>
      </w:r>
      <w:r w:rsidR="00FA7CAB">
        <w:rPr>
          <w:rFonts w:ascii="Times New Roman" w:hAnsi="Times New Roman" w:cs="Times New Roman"/>
          <w:b/>
          <w:sz w:val="24"/>
          <w:szCs w:val="22"/>
        </w:rPr>
        <w:t>geometric mean</w:t>
      </w:r>
      <w:r w:rsidR="00261AA2">
        <w:rPr>
          <w:rFonts w:ascii="Times New Roman" w:hAnsi="Times New Roman" w:cs="Times New Roman"/>
          <w:b/>
          <w:sz w:val="24"/>
          <w:szCs w:val="22"/>
        </w:rPr>
        <w:t xml:space="preserve"> </w:t>
      </w:r>
      <w:r w:rsidR="0010305D">
        <w:rPr>
          <w:rFonts w:ascii="Times New Roman" w:hAnsi="Times New Roman" w:cs="Times New Roman"/>
          <w:b/>
          <w:sz w:val="24"/>
          <w:szCs w:val="22"/>
        </w:rPr>
        <w:t xml:space="preserve">of </w:t>
      </w:r>
      <w:r w:rsidRPr="00887895">
        <w:rPr>
          <w:rFonts w:ascii="Times New Roman" w:hAnsi="Times New Roman" w:cs="Times New Roman"/>
          <w:b/>
          <w:sz w:val="24"/>
          <w:szCs w:val="22"/>
        </w:rPr>
        <w:t>nadir PSA does not differ in men who relapse and men who do not relapse.</w:t>
      </w:r>
    </w:p>
    <w:p w14:paraId="24A16E16" w14:textId="77777777" w:rsidR="00887895" w:rsidRPr="00A3120A" w:rsidRDefault="00887895" w:rsidP="004D47A4">
      <w:pPr>
        <w:autoSpaceDE w:val="0"/>
        <w:autoSpaceDN w:val="0"/>
        <w:adjustRightInd w:val="0"/>
        <w:spacing w:after="120"/>
        <w:rPr>
          <w:sz w:val="24"/>
          <w:szCs w:val="24"/>
        </w:rPr>
      </w:pPr>
    </w:p>
    <w:p w14:paraId="600919A8" w14:textId="77777777" w:rsidR="00261CFB" w:rsidRDefault="00261CFB" w:rsidP="001E5158">
      <w:pPr>
        <w:numPr>
          <w:ilvl w:val="0"/>
          <w:numId w:val="19"/>
        </w:numPr>
        <w:autoSpaceDE w:val="0"/>
        <w:autoSpaceDN w:val="0"/>
        <w:adjustRightInd w:val="0"/>
        <w:spacing w:after="120"/>
        <w:rPr>
          <w:sz w:val="24"/>
          <w:szCs w:val="24"/>
        </w:rPr>
      </w:pPr>
      <w:r>
        <w:rPr>
          <w:sz w:val="24"/>
          <w:szCs w:val="24"/>
        </w:rPr>
        <w:t xml:space="preserve">Consider the </w:t>
      </w:r>
      <w:r w:rsidR="00DD6B80">
        <w:rPr>
          <w:sz w:val="24"/>
          <w:szCs w:val="24"/>
        </w:rPr>
        <w:t xml:space="preserve">analyses performed in problems 2 </w:t>
      </w:r>
      <w:r w:rsidR="001E5158">
        <w:rPr>
          <w:sz w:val="24"/>
          <w:szCs w:val="24"/>
        </w:rPr>
        <w:t>and 3</w:t>
      </w:r>
      <w:r>
        <w:rPr>
          <w:sz w:val="24"/>
          <w:szCs w:val="24"/>
        </w:rPr>
        <w:t xml:space="preserve"> above.</w:t>
      </w:r>
    </w:p>
    <w:p w14:paraId="582A2FCD" w14:textId="77777777" w:rsidR="00261CFB" w:rsidRDefault="00261CFB" w:rsidP="00DD6B80">
      <w:pPr>
        <w:numPr>
          <w:ilvl w:val="1"/>
          <w:numId w:val="19"/>
        </w:numPr>
        <w:autoSpaceDE w:val="0"/>
        <w:autoSpaceDN w:val="0"/>
        <w:adjustRightInd w:val="0"/>
        <w:spacing w:after="120"/>
        <w:rPr>
          <w:sz w:val="24"/>
          <w:szCs w:val="24"/>
        </w:rPr>
      </w:pPr>
      <w:commentRangeStart w:id="11"/>
      <w:r>
        <w:rPr>
          <w:sz w:val="24"/>
          <w:szCs w:val="24"/>
        </w:rPr>
        <w:t>What</w:t>
      </w:r>
      <w:commentRangeEnd w:id="11"/>
      <w:r w:rsidR="00527DC4">
        <w:rPr>
          <w:rStyle w:val="CommentReference"/>
        </w:rPr>
        <w:commentReference w:id="11"/>
      </w:r>
      <w:r>
        <w:rPr>
          <w:sz w:val="24"/>
          <w:szCs w:val="24"/>
        </w:rPr>
        <w:t xml:space="preserve"> are the relative merits of the </w:t>
      </w:r>
      <w:r w:rsidR="00DD6B80">
        <w:rPr>
          <w:sz w:val="24"/>
          <w:szCs w:val="24"/>
        </w:rPr>
        <w:t>five</w:t>
      </w:r>
      <w:r>
        <w:rPr>
          <w:sz w:val="24"/>
          <w:szCs w:val="24"/>
        </w:rPr>
        <w:t xml:space="preserve"> </w:t>
      </w:r>
      <w:proofErr w:type="gramStart"/>
      <w:r>
        <w:rPr>
          <w:sz w:val="24"/>
          <w:szCs w:val="24"/>
        </w:rPr>
        <w:t>analyses.</w:t>
      </w:r>
      <w:proofErr w:type="gramEnd"/>
      <w:r>
        <w:rPr>
          <w:sz w:val="24"/>
          <w:szCs w:val="24"/>
        </w:rPr>
        <w:t xml:space="preserve"> Which might you prefer </w:t>
      </w:r>
      <w:r>
        <w:rPr>
          <w:i/>
          <w:sz w:val="24"/>
          <w:szCs w:val="24"/>
        </w:rPr>
        <w:t>a priori</w:t>
      </w:r>
      <w:r>
        <w:rPr>
          <w:sz w:val="24"/>
          <w:szCs w:val="24"/>
        </w:rPr>
        <w:t>? Why?</w:t>
      </w:r>
    </w:p>
    <w:p w14:paraId="4C744C6B" w14:textId="58809C8D" w:rsidR="00435A9D" w:rsidRDefault="00435A9D" w:rsidP="0010305D">
      <w:pPr>
        <w:autoSpaceDE w:val="0"/>
        <w:autoSpaceDN w:val="0"/>
        <w:adjustRightInd w:val="0"/>
        <w:spacing w:after="120"/>
        <w:ind w:left="1080"/>
        <w:rPr>
          <w:b/>
          <w:sz w:val="24"/>
          <w:szCs w:val="24"/>
        </w:rPr>
      </w:pPr>
      <w:r w:rsidRPr="00CD731A">
        <w:rPr>
          <w:b/>
          <w:sz w:val="24"/>
          <w:szCs w:val="24"/>
        </w:rPr>
        <w:t>The outcome of relapse within 24 months seems more relevant</w:t>
      </w:r>
      <w:r>
        <w:rPr>
          <w:b/>
          <w:sz w:val="24"/>
          <w:szCs w:val="24"/>
        </w:rPr>
        <w:t xml:space="preserve"> or clinically meaningful</w:t>
      </w:r>
      <w:r w:rsidRPr="00CD731A">
        <w:rPr>
          <w:b/>
          <w:sz w:val="24"/>
          <w:szCs w:val="24"/>
        </w:rPr>
        <w:t xml:space="preserve"> than the outcome of nadir PSA level, making the analyses in problem 2 preferable to those in problem 3.   </w:t>
      </w:r>
    </w:p>
    <w:p w14:paraId="6578A948" w14:textId="67C8A4E8" w:rsidR="00CD731A" w:rsidRPr="00CD731A" w:rsidRDefault="0010305D" w:rsidP="0010305D">
      <w:pPr>
        <w:autoSpaceDE w:val="0"/>
        <w:autoSpaceDN w:val="0"/>
        <w:adjustRightInd w:val="0"/>
        <w:spacing w:after="120"/>
        <w:ind w:left="1080"/>
        <w:rPr>
          <w:b/>
          <w:sz w:val="24"/>
          <w:szCs w:val="24"/>
        </w:rPr>
      </w:pPr>
      <w:r w:rsidRPr="00CD731A">
        <w:rPr>
          <w:b/>
          <w:sz w:val="24"/>
          <w:szCs w:val="24"/>
        </w:rPr>
        <w:t xml:space="preserve">In problem 2, using (untransformed) nadir PSA makes the results easier to interpret but does not capture the true association with the odds of relapse since </w:t>
      </w:r>
      <w:r w:rsidR="00F160F0">
        <w:rPr>
          <w:b/>
          <w:sz w:val="24"/>
          <w:szCs w:val="24"/>
        </w:rPr>
        <w:t xml:space="preserve">a 1 unit change in </w:t>
      </w:r>
      <w:r w:rsidRPr="00CD731A">
        <w:rPr>
          <w:b/>
          <w:sz w:val="24"/>
          <w:szCs w:val="24"/>
        </w:rPr>
        <w:t xml:space="preserve">PSA does not </w:t>
      </w:r>
      <w:r w:rsidR="00F160F0">
        <w:rPr>
          <w:b/>
          <w:sz w:val="24"/>
          <w:szCs w:val="24"/>
        </w:rPr>
        <w:t xml:space="preserve">have a big effect but a </w:t>
      </w:r>
      <w:r w:rsidR="00435A9D">
        <w:rPr>
          <w:b/>
          <w:sz w:val="24"/>
          <w:szCs w:val="24"/>
        </w:rPr>
        <w:t>1 log change does – PSA increases multiplicatively rather than linearly</w:t>
      </w:r>
      <w:r w:rsidRPr="00CD731A">
        <w:rPr>
          <w:b/>
          <w:sz w:val="24"/>
          <w:szCs w:val="24"/>
        </w:rPr>
        <w:t xml:space="preserve">.  The log transformed PSA is harder to interpret but better captures the association of nadir PSA and relapse.  </w:t>
      </w:r>
      <w:r w:rsidR="00CD731A" w:rsidRPr="00CD731A">
        <w:rPr>
          <w:b/>
          <w:sz w:val="24"/>
          <w:szCs w:val="24"/>
        </w:rPr>
        <w:t xml:space="preserve">The splines allow us to capture flexibility in PSA without assuming that we know the shape of the </w:t>
      </w:r>
      <w:commentRangeStart w:id="12"/>
      <w:r w:rsidR="00CD731A" w:rsidRPr="00CD731A">
        <w:rPr>
          <w:b/>
          <w:sz w:val="24"/>
          <w:szCs w:val="24"/>
        </w:rPr>
        <w:t>distribution</w:t>
      </w:r>
      <w:commentRangeEnd w:id="12"/>
      <w:r w:rsidR="00527DC4">
        <w:rPr>
          <w:rStyle w:val="CommentReference"/>
        </w:rPr>
        <w:commentReference w:id="12"/>
      </w:r>
      <w:r w:rsidR="00CD731A" w:rsidRPr="00CD731A">
        <w:rPr>
          <w:b/>
          <w:sz w:val="24"/>
          <w:szCs w:val="24"/>
        </w:rPr>
        <w:t xml:space="preserve">, but we have to know clinically meaningful cutoff points to choose the knots, and the results are very hard to interpret because the </w:t>
      </w:r>
      <w:r w:rsidR="00CD731A" w:rsidRPr="00CD731A">
        <w:rPr>
          <w:b/>
          <w:sz w:val="24"/>
          <w:szCs w:val="24"/>
        </w:rPr>
        <w:lastRenderedPageBreak/>
        <w:t>slope of the line is different for each category of PSA.</w:t>
      </w:r>
      <w:r w:rsidR="00435A9D">
        <w:rPr>
          <w:b/>
          <w:sz w:val="24"/>
          <w:szCs w:val="24"/>
        </w:rPr>
        <w:t xml:space="preserve">  Furthermore, here it appears the splines over-fit our data, with alternating positive and negative associations with relapse in 24 months.</w:t>
      </w:r>
    </w:p>
    <w:p w14:paraId="610318E1" w14:textId="5902B5AC" w:rsidR="0010305D" w:rsidRPr="00CD731A" w:rsidRDefault="00CD731A" w:rsidP="0010305D">
      <w:pPr>
        <w:autoSpaceDE w:val="0"/>
        <w:autoSpaceDN w:val="0"/>
        <w:adjustRightInd w:val="0"/>
        <w:spacing w:after="120"/>
        <w:ind w:left="1080"/>
        <w:rPr>
          <w:b/>
          <w:sz w:val="24"/>
          <w:szCs w:val="24"/>
        </w:rPr>
      </w:pPr>
      <w:r w:rsidRPr="00CD731A">
        <w:rPr>
          <w:b/>
          <w:sz w:val="24"/>
          <w:szCs w:val="24"/>
        </w:rPr>
        <w:t xml:space="preserve">As in problem 2, the use of log-transformed PSA </w:t>
      </w:r>
      <w:r w:rsidR="00435A9D">
        <w:rPr>
          <w:b/>
          <w:sz w:val="24"/>
          <w:szCs w:val="24"/>
        </w:rPr>
        <w:t xml:space="preserve">in problem 3 </w:t>
      </w:r>
      <w:r w:rsidRPr="00CD731A">
        <w:rPr>
          <w:b/>
          <w:sz w:val="24"/>
          <w:szCs w:val="24"/>
        </w:rPr>
        <w:t>makes more sense than the untransformed PSA, due to the non-linear distribution of nadir PSA among men in the study, but the results (geometric mean) are harder to interpret than the results of the untransformed analysis (traditional mean).</w:t>
      </w:r>
    </w:p>
    <w:p w14:paraId="4EDE54E4" w14:textId="77777777" w:rsidR="00CD731A" w:rsidRPr="00CD731A" w:rsidRDefault="00CD731A" w:rsidP="0010305D">
      <w:pPr>
        <w:autoSpaceDE w:val="0"/>
        <w:autoSpaceDN w:val="0"/>
        <w:adjustRightInd w:val="0"/>
        <w:spacing w:after="120"/>
        <w:ind w:left="1080"/>
        <w:rPr>
          <w:b/>
          <w:sz w:val="24"/>
          <w:szCs w:val="24"/>
        </w:rPr>
      </w:pPr>
      <w:r w:rsidRPr="00CD731A">
        <w:rPr>
          <w:b/>
          <w:sz w:val="24"/>
          <w:szCs w:val="24"/>
        </w:rPr>
        <w:t>A priori I would prefer the logistic regression of relapse in 24 months on log-transformed PSA since I consider relapse in 24 months the more important outcome and log-transformed PSA a more appropriate predictor than untransformed PSA.</w:t>
      </w:r>
    </w:p>
    <w:p w14:paraId="426B90E9" w14:textId="77777777" w:rsidR="000817A7" w:rsidRDefault="00261CFB" w:rsidP="00CD731A">
      <w:pPr>
        <w:numPr>
          <w:ilvl w:val="1"/>
          <w:numId w:val="19"/>
        </w:numPr>
        <w:autoSpaceDE w:val="0"/>
        <w:autoSpaceDN w:val="0"/>
        <w:adjustRightInd w:val="0"/>
        <w:spacing w:after="120"/>
        <w:rPr>
          <w:sz w:val="24"/>
          <w:szCs w:val="24"/>
        </w:rPr>
      </w:pPr>
      <w:commentRangeStart w:id="13"/>
      <w:r>
        <w:rPr>
          <w:sz w:val="24"/>
          <w:szCs w:val="24"/>
        </w:rPr>
        <w:t>All</w:t>
      </w:r>
      <w:commentRangeEnd w:id="13"/>
      <w:r w:rsidR="00527DC4">
        <w:rPr>
          <w:rStyle w:val="CommentReference"/>
        </w:rPr>
        <w:commentReference w:id="13"/>
      </w:r>
      <w:r>
        <w:rPr>
          <w:sz w:val="24"/>
          <w:szCs w:val="24"/>
        </w:rPr>
        <w:t xml:space="preserve"> of these analyses suffer from a serious definitional problem inherent in this study. Can you deduce this problem? (Hint: There is no analysis that you can do to address this problem. It is a problem with the study design.)</w:t>
      </w:r>
    </w:p>
    <w:p w14:paraId="33A30B91" w14:textId="77777777" w:rsidR="00CC1FA0" w:rsidRPr="00CC1FA0" w:rsidRDefault="00CC1FA0" w:rsidP="00CC1FA0">
      <w:pPr>
        <w:autoSpaceDE w:val="0"/>
        <w:autoSpaceDN w:val="0"/>
        <w:adjustRightInd w:val="0"/>
        <w:spacing w:after="120"/>
        <w:ind w:left="1080"/>
        <w:rPr>
          <w:b/>
          <w:sz w:val="24"/>
          <w:szCs w:val="24"/>
        </w:rPr>
      </w:pPr>
      <w:r>
        <w:rPr>
          <w:b/>
          <w:sz w:val="24"/>
          <w:szCs w:val="24"/>
        </w:rPr>
        <w:t>In those who relapsed within the 24 months, we don’t know whether nadir PSA levels occurred before or after the relapse, so we cannot determine whether high nadir PSA would be a cause/predictor, or consequence of the relapse.</w:t>
      </w:r>
    </w:p>
    <w:sectPr w:rsidR="00CC1FA0" w:rsidRPr="00CC1FA0" w:rsidSect="001E5158">
      <w:headerReference w:type="default" r:id="rId10"/>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33718727" w14:textId="2276E567" w:rsidR="00527DC4" w:rsidRDefault="00527DC4">
      <w:pPr>
        <w:pStyle w:val="CommentText"/>
      </w:pPr>
      <w:r>
        <w:rPr>
          <w:rStyle w:val="CommentReference"/>
        </w:rPr>
        <w:annotationRef/>
      </w:r>
      <w:r>
        <w:t>Total Grade: 46/50</w:t>
      </w:r>
      <w:bookmarkStart w:id="1" w:name="_GoBack"/>
      <w:bookmarkEnd w:id="1"/>
    </w:p>
  </w:comment>
  <w:comment w:id="2" w:author="Author" w:initials="A">
    <w:p w14:paraId="5FCB301F" w14:textId="13835B82" w:rsidR="00527DC4" w:rsidRDefault="00527DC4">
      <w:pPr>
        <w:pStyle w:val="CommentText"/>
      </w:pPr>
      <w:r>
        <w:rPr>
          <w:rStyle w:val="CommentReference"/>
        </w:rPr>
        <w:annotationRef/>
      </w:r>
      <w:r>
        <w:t>5/5</w:t>
      </w:r>
    </w:p>
  </w:comment>
  <w:comment w:id="3" w:author="Author" w:initials="A">
    <w:p w14:paraId="315A37EF" w14:textId="175B09A0" w:rsidR="00527DC4" w:rsidRDefault="00527DC4">
      <w:pPr>
        <w:pStyle w:val="CommentText"/>
      </w:pPr>
      <w:r>
        <w:rPr>
          <w:rStyle w:val="CommentReference"/>
        </w:rPr>
        <w:annotationRef/>
      </w:r>
      <w:r>
        <w:t>5/5</w:t>
      </w:r>
    </w:p>
  </w:comment>
  <w:comment w:id="4" w:author="Author" w:initials="A">
    <w:p w14:paraId="1A8CF081" w14:textId="30CD24DA" w:rsidR="00527DC4" w:rsidRDefault="00527DC4">
      <w:pPr>
        <w:pStyle w:val="CommentText"/>
      </w:pPr>
      <w:r>
        <w:rPr>
          <w:rStyle w:val="CommentReference"/>
        </w:rPr>
        <w:annotationRef/>
      </w:r>
      <w:r>
        <w:t>5/5</w:t>
      </w:r>
    </w:p>
  </w:comment>
  <w:comment w:id="5" w:author="Author" w:initials="A">
    <w:p w14:paraId="130FDC90" w14:textId="5F89CCB9" w:rsidR="00527DC4" w:rsidRDefault="00527DC4">
      <w:pPr>
        <w:pStyle w:val="CommentText"/>
      </w:pPr>
      <w:r>
        <w:rPr>
          <w:rStyle w:val="CommentReference"/>
        </w:rPr>
        <w:annotationRef/>
      </w:r>
      <w:r>
        <w:t>4/5</w:t>
      </w:r>
    </w:p>
  </w:comment>
  <w:comment w:id="6" w:author="Author" w:initials="A">
    <w:p w14:paraId="490B82EE" w14:textId="60C224EF" w:rsidR="00527DC4" w:rsidRDefault="00527DC4">
      <w:pPr>
        <w:pStyle w:val="CommentText"/>
      </w:pPr>
      <w:r>
        <w:rPr>
          <w:rStyle w:val="CommentReference"/>
        </w:rPr>
        <w:annotationRef/>
      </w:r>
      <w:r>
        <w:t>Did you test this?</w:t>
      </w:r>
    </w:p>
  </w:comment>
  <w:comment w:id="7" w:author="Author" w:initials="A">
    <w:p w14:paraId="447FC5D3" w14:textId="2BE2980F" w:rsidR="00527DC4" w:rsidRDefault="00527DC4">
      <w:pPr>
        <w:pStyle w:val="CommentText"/>
      </w:pPr>
      <w:r>
        <w:rPr>
          <w:rStyle w:val="CommentReference"/>
        </w:rPr>
        <w:annotationRef/>
      </w:r>
      <w:r>
        <w:t>5/5</w:t>
      </w:r>
    </w:p>
  </w:comment>
  <w:comment w:id="8" w:author="Author" w:initials="A">
    <w:p w14:paraId="2EF0448D" w14:textId="79FBB08F" w:rsidR="00527DC4" w:rsidRDefault="00527DC4">
      <w:pPr>
        <w:pStyle w:val="CommentText"/>
      </w:pPr>
      <w:r>
        <w:rPr>
          <w:rStyle w:val="CommentReference"/>
        </w:rPr>
        <w:annotationRef/>
      </w:r>
      <w:r>
        <w:t>5/5</w:t>
      </w:r>
    </w:p>
  </w:comment>
  <w:comment w:id="9" w:author="Author" w:initials="A">
    <w:p w14:paraId="5F9FF430" w14:textId="27C0FA1F" w:rsidR="00527DC4" w:rsidRDefault="00527DC4">
      <w:pPr>
        <w:pStyle w:val="CommentText"/>
      </w:pPr>
      <w:r>
        <w:rPr>
          <w:rStyle w:val="CommentReference"/>
        </w:rPr>
        <w:annotationRef/>
      </w:r>
      <w:r>
        <w:t>3/5</w:t>
      </w:r>
    </w:p>
  </w:comment>
  <w:comment w:id="10" w:author="Author" w:initials="A">
    <w:p w14:paraId="47B15F93" w14:textId="00D75336" w:rsidR="00527DC4" w:rsidRDefault="00527DC4">
      <w:pPr>
        <w:pStyle w:val="CommentText"/>
      </w:pPr>
      <w:r>
        <w:rPr>
          <w:rStyle w:val="CommentReference"/>
        </w:rPr>
        <w:annotationRef/>
      </w:r>
      <w:r>
        <w:t>Times higher; this is a ratio of geometric means</w:t>
      </w:r>
    </w:p>
  </w:comment>
  <w:comment w:id="11" w:author="Author" w:initials="A">
    <w:p w14:paraId="706680F0" w14:textId="2CB83298" w:rsidR="00527DC4" w:rsidRDefault="00527DC4">
      <w:pPr>
        <w:pStyle w:val="CommentText"/>
      </w:pPr>
      <w:r>
        <w:rPr>
          <w:rStyle w:val="CommentReference"/>
        </w:rPr>
        <w:annotationRef/>
      </w:r>
      <w:r>
        <w:t xml:space="preserve">9/10 </w:t>
      </w:r>
    </w:p>
  </w:comment>
  <w:comment w:id="12" w:author="Author" w:initials="A">
    <w:p w14:paraId="314847F6" w14:textId="51CE3F7D" w:rsidR="00527DC4" w:rsidRDefault="00527DC4">
      <w:pPr>
        <w:pStyle w:val="CommentText"/>
      </w:pPr>
      <w:r>
        <w:rPr>
          <w:rStyle w:val="CommentReference"/>
        </w:rPr>
        <w:annotationRef/>
      </w:r>
      <w:r>
        <w:t xml:space="preserve">Not shape of the distribution; shape of the association between </w:t>
      </w:r>
      <w:proofErr w:type="spellStart"/>
      <w:r>
        <w:t>psa</w:t>
      </w:r>
      <w:proofErr w:type="spellEnd"/>
      <w:r>
        <w:t xml:space="preserve"> and relapse</w:t>
      </w:r>
    </w:p>
  </w:comment>
  <w:comment w:id="13" w:author="Author" w:initials="A">
    <w:p w14:paraId="3179AC1D" w14:textId="7CF739CE" w:rsidR="00527DC4" w:rsidRDefault="00527DC4">
      <w:pPr>
        <w:pStyle w:val="CommentText"/>
      </w:pPr>
      <w:r>
        <w:rPr>
          <w:rStyle w:val="CommentReference"/>
        </w:rPr>
        <w:annotationRef/>
      </w:r>
      <w:r>
        <w:t>5/5</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ADAD7" w14:textId="77777777" w:rsidR="007C3785" w:rsidRDefault="007C3785">
      <w:r>
        <w:separator/>
      </w:r>
    </w:p>
  </w:endnote>
  <w:endnote w:type="continuationSeparator" w:id="0">
    <w:p w14:paraId="1E276B9F" w14:textId="77777777" w:rsidR="007C3785" w:rsidRDefault="007C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6C53D" w14:textId="77777777" w:rsidR="007C3785" w:rsidRDefault="007C3785">
      <w:r>
        <w:separator/>
      </w:r>
    </w:p>
  </w:footnote>
  <w:footnote w:type="continuationSeparator" w:id="0">
    <w:p w14:paraId="01790C2D" w14:textId="77777777" w:rsidR="007C3785" w:rsidRDefault="007C3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3C884" w14:textId="77777777" w:rsidR="00F160F0" w:rsidRDefault="00F160F0" w:rsidP="00F15D49">
    <w:pPr>
      <w:pStyle w:val="Header"/>
    </w:pPr>
    <w:proofErr w:type="spellStart"/>
    <w:r>
      <w:t>Biost</w:t>
    </w:r>
    <w:proofErr w:type="spellEnd"/>
    <w:r>
      <w:t xml:space="preserve"> 536, Fall 2013</w:t>
    </w:r>
    <w:r>
      <w:tab/>
      <w:t>Homework #3</w:t>
    </w:r>
    <w:r>
      <w:tab/>
      <w:t xml:space="preserve">November 21,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527DC4">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27DC4">
      <w:rPr>
        <w:noProof/>
        <w:snapToGrid w:val="0"/>
      </w:rPr>
      <w:t>6</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3154B13"/>
    <w:multiLevelType w:val="hybridMultilevel"/>
    <w:tmpl w:val="BAD62A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360"/>
        </w:tabs>
        <w:ind w:left="360" w:hanging="360"/>
      </w:pPr>
    </w:lvl>
    <w:lvl w:ilvl="1" w:tplc="91D64176">
      <w:start w:val="1"/>
      <w:numFmt w:val="lowerLetter"/>
      <w:lvlText w:val="%2."/>
      <w:lvlJc w:val="left"/>
      <w:pPr>
        <w:tabs>
          <w:tab w:val="num" w:pos="1080"/>
        </w:tabs>
        <w:ind w:left="1080" w:hanging="360"/>
      </w:pPr>
      <w:rPr>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11"/>
  </w:num>
  <w:num w:numId="4">
    <w:abstractNumId w:val="2"/>
  </w:num>
  <w:num w:numId="5">
    <w:abstractNumId w:val="17"/>
  </w:num>
  <w:num w:numId="6">
    <w:abstractNumId w:val="19"/>
  </w:num>
  <w:num w:numId="7">
    <w:abstractNumId w:val="10"/>
  </w:num>
  <w:num w:numId="8">
    <w:abstractNumId w:val="12"/>
  </w:num>
  <w:num w:numId="9">
    <w:abstractNumId w:val="8"/>
  </w:num>
  <w:num w:numId="10">
    <w:abstractNumId w:val="1"/>
  </w:num>
  <w:num w:numId="11">
    <w:abstractNumId w:val="14"/>
  </w:num>
  <w:num w:numId="12">
    <w:abstractNumId w:val="7"/>
  </w:num>
  <w:num w:numId="13">
    <w:abstractNumId w:val="13"/>
  </w:num>
  <w:num w:numId="14">
    <w:abstractNumId w:val="16"/>
  </w:num>
  <w:num w:numId="15">
    <w:abstractNumId w:val="0"/>
  </w:num>
  <w:num w:numId="16">
    <w:abstractNumId w:val="6"/>
  </w:num>
  <w:num w:numId="17">
    <w:abstractNumId w:val="3"/>
  </w:num>
  <w:num w:numId="18">
    <w:abstractNumId w:val="15"/>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05B1"/>
    <w:rsid w:val="00004547"/>
    <w:rsid w:val="000263C2"/>
    <w:rsid w:val="00054A42"/>
    <w:rsid w:val="00060C13"/>
    <w:rsid w:val="000817A7"/>
    <w:rsid w:val="000A3E09"/>
    <w:rsid w:val="000F52B6"/>
    <w:rsid w:val="000F5339"/>
    <w:rsid w:val="0010305D"/>
    <w:rsid w:val="0010428A"/>
    <w:rsid w:val="001212A6"/>
    <w:rsid w:val="00132AEC"/>
    <w:rsid w:val="00137504"/>
    <w:rsid w:val="00140EC9"/>
    <w:rsid w:val="00160820"/>
    <w:rsid w:val="00195B2D"/>
    <w:rsid w:val="001D2DC2"/>
    <w:rsid w:val="001E36FF"/>
    <w:rsid w:val="001E5158"/>
    <w:rsid w:val="00202909"/>
    <w:rsid w:val="0021517E"/>
    <w:rsid w:val="002213A5"/>
    <w:rsid w:val="0024368C"/>
    <w:rsid w:val="0025171F"/>
    <w:rsid w:val="00261AA2"/>
    <w:rsid w:val="00261CFB"/>
    <w:rsid w:val="002D5B86"/>
    <w:rsid w:val="00336EC2"/>
    <w:rsid w:val="003471E3"/>
    <w:rsid w:val="00353B06"/>
    <w:rsid w:val="0036127B"/>
    <w:rsid w:val="00385CD1"/>
    <w:rsid w:val="003A6D85"/>
    <w:rsid w:val="003E08DC"/>
    <w:rsid w:val="003E1F69"/>
    <w:rsid w:val="00410B89"/>
    <w:rsid w:val="00415759"/>
    <w:rsid w:val="0042294F"/>
    <w:rsid w:val="00422D91"/>
    <w:rsid w:val="00426699"/>
    <w:rsid w:val="00435A9D"/>
    <w:rsid w:val="00443606"/>
    <w:rsid w:val="004514C0"/>
    <w:rsid w:val="00452963"/>
    <w:rsid w:val="004664FD"/>
    <w:rsid w:val="004D1289"/>
    <w:rsid w:val="004D1292"/>
    <w:rsid w:val="004D47A4"/>
    <w:rsid w:val="00501EC4"/>
    <w:rsid w:val="00510B41"/>
    <w:rsid w:val="00511C56"/>
    <w:rsid w:val="00523AA4"/>
    <w:rsid w:val="00527DC4"/>
    <w:rsid w:val="0054318C"/>
    <w:rsid w:val="00567523"/>
    <w:rsid w:val="00586C10"/>
    <w:rsid w:val="005B14E3"/>
    <w:rsid w:val="005C35DF"/>
    <w:rsid w:val="005C5726"/>
    <w:rsid w:val="005D7E06"/>
    <w:rsid w:val="005E10EC"/>
    <w:rsid w:val="005E415C"/>
    <w:rsid w:val="005F7625"/>
    <w:rsid w:val="006138F9"/>
    <w:rsid w:val="006152BE"/>
    <w:rsid w:val="00615C60"/>
    <w:rsid w:val="0062265F"/>
    <w:rsid w:val="006268D1"/>
    <w:rsid w:val="006336A9"/>
    <w:rsid w:val="0063762C"/>
    <w:rsid w:val="006508C5"/>
    <w:rsid w:val="00654208"/>
    <w:rsid w:val="00673A26"/>
    <w:rsid w:val="00676B73"/>
    <w:rsid w:val="00682EFC"/>
    <w:rsid w:val="006B1E11"/>
    <w:rsid w:val="006C49EE"/>
    <w:rsid w:val="006E16C5"/>
    <w:rsid w:val="006E5205"/>
    <w:rsid w:val="006E753A"/>
    <w:rsid w:val="007356DE"/>
    <w:rsid w:val="007366CC"/>
    <w:rsid w:val="00741AE1"/>
    <w:rsid w:val="00751474"/>
    <w:rsid w:val="00767D4A"/>
    <w:rsid w:val="00785A87"/>
    <w:rsid w:val="007B4E60"/>
    <w:rsid w:val="007C3785"/>
    <w:rsid w:val="007E33ED"/>
    <w:rsid w:val="00836540"/>
    <w:rsid w:val="0087636D"/>
    <w:rsid w:val="00887895"/>
    <w:rsid w:val="008A45D9"/>
    <w:rsid w:val="008F73A3"/>
    <w:rsid w:val="00905BC9"/>
    <w:rsid w:val="00905E82"/>
    <w:rsid w:val="00906E3D"/>
    <w:rsid w:val="0094708F"/>
    <w:rsid w:val="00980C73"/>
    <w:rsid w:val="009B2370"/>
    <w:rsid w:val="009C542B"/>
    <w:rsid w:val="009F413F"/>
    <w:rsid w:val="00A0233D"/>
    <w:rsid w:val="00A05CD5"/>
    <w:rsid w:val="00A31D8C"/>
    <w:rsid w:val="00A4205F"/>
    <w:rsid w:val="00AD29C0"/>
    <w:rsid w:val="00B04F23"/>
    <w:rsid w:val="00B12B84"/>
    <w:rsid w:val="00B15F79"/>
    <w:rsid w:val="00B17CB5"/>
    <w:rsid w:val="00B212A5"/>
    <w:rsid w:val="00B43F52"/>
    <w:rsid w:val="00B4705C"/>
    <w:rsid w:val="00B70375"/>
    <w:rsid w:val="00B814FA"/>
    <w:rsid w:val="00C15CDE"/>
    <w:rsid w:val="00C34EBC"/>
    <w:rsid w:val="00C642DD"/>
    <w:rsid w:val="00C74FEC"/>
    <w:rsid w:val="00C93A29"/>
    <w:rsid w:val="00CC1FA0"/>
    <w:rsid w:val="00CD731A"/>
    <w:rsid w:val="00D16C04"/>
    <w:rsid w:val="00D27690"/>
    <w:rsid w:val="00D72BD7"/>
    <w:rsid w:val="00D81505"/>
    <w:rsid w:val="00DC01FF"/>
    <w:rsid w:val="00DD6B80"/>
    <w:rsid w:val="00DE3817"/>
    <w:rsid w:val="00E642DA"/>
    <w:rsid w:val="00E741C7"/>
    <w:rsid w:val="00E81610"/>
    <w:rsid w:val="00E91856"/>
    <w:rsid w:val="00ED47B6"/>
    <w:rsid w:val="00F15D49"/>
    <w:rsid w:val="00F160F0"/>
    <w:rsid w:val="00F27973"/>
    <w:rsid w:val="00F450E0"/>
    <w:rsid w:val="00F507B9"/>
    <w:rsid w:val="00F76493"/>
    <w:rsid w:val="00FA2C0B"/>
    <w:rsid w:val="00FA7CAB"/>
    <w:rsid w:val="00FD442D"/>
    <w:rsid w:val="00FE67F0"/>
    <w:rsid w:val="00FF2FE4"/>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956B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paragraph" w:styleId="Caption">
    <w:name w:val="caption"/>
    <w:basedOn w:val="Normal"/>
    <w:next w:val="Normal"/>
    <w:uiPriority w:val="35"/>
    <w:unhideWhenUsed/>
    <w:qFormat/>
    <w:rsid w:val="00137504"/>
    <w:pPr>
      <w:spacing w:after="200"/>
    </w:pPr>
    <w:rPr>
      <w:rFonts w:asciiTheme="minorHAnsi" w:eastAsiaTheme="minorHAnsi" w:hAnsiTheme="minorHAnsi" w:cstheme="minorBidi"/>
      <w:b/>
      <w:bCs/>
      <w:color w:val="4F81BD" w:themeColor="accent1"/>
      <w:sz w:val="18"/>
      <w:szCs w:val="18"/>
    </w:rPr>
  </w:style>
  <w:style w:type="table" w:styleId="LightShading">
    <w:name w:val="Light Shading"/>
    <w:basedOn w:val="TableNormal"/>
    <w:uiPriority w:val="60"/>
    <w:rsid w:val="004D47A4"/>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D47A4"/>
    <w:pPr>
      <w:ind w:left="720"/>
      <w:contextualSpacing/>
    </w:pPr>
  </w:style>
  <w:style w:type="character" w:styleId="CommentReference">
    <w:name w:val="annotation reference"/>
    <w:basedOn w:val="DefaultParagraphFont"/>
    <w:rsid w:val="003E08DC"/>
    <w:rPr>
      <w:sz w:val="18"/>
      <w:szCs w:val="18"/>
    </w:rPr>
  </w:style>
  <w:style w:type="paragraph" w:styleId="CommentText">
    <w:name w:val="annotation text"/>
    <w:basedOn w:val="Normal"/>
    <w:link w:val="CommentTextChar"/>
    <w:rsid w:val="003E08DC"/>
    <w:rPr>
      <w:sz w:val="24"/>
      <w:szCs w:val="24"/>
    </w:rPr>
  </w:style>
  <w:style w:type="character" w:customStyle="1" w:styleId="CommentTextChar">
    <w:name w:val="Comment Text Char"/>
    <w:basedOn w:val="DefaultParagraphFont"/>
    <w:link w:val="CommentText"/>
    <w:rsid w:val="003E08DC"/>
    <w:rPr>
      <w:sz w:val="24"/>
      <w:szCs w:val="24"/>
    </w:rPr>
  </w:style>
  <w:style w:type="paragraph" w:styleId="CommentSubject">
    <w:name w:val="annotation subject"/>
    <w:basedOn w:val="CommentText"/>
    <w:next w:val="CommentText"/>
    <w:link w:val="CommentSubjectChar"/>
    <w:rsid w:val="003E08DC"/>
    <w:rPr>
      <w:b/>
      <w:bCs/>
      <w:sz w:val="20"/>
      <w:szCs w:val="20"/>
    </w:rPr>
  </w:style>
  <w:style w:type="character" w:customStyle="1" w:styleId="CommentSubjectChar">
    <w:name w:val="Comment Subject Char"/>
    <w:basedOn w:val="CommentTextChar"/>
    <w:link w:val="CommentSubject"/>
    <w:rsid w:val="003E08DC"/>
    <w:rPr>
      <w:b/>
      <w:bCs/>
      <w:sz w:val="24"/>
      <w:szCs w:val="24"/>
    </w:rPr>
  </w:style>
  <w:style w:type="paragraph" w:styleId="BalloonText">
    <w:name w:val="Balloon Text"/>
    <w:basedOn w:val="Normal"/>
    <w:link w:val="BalloonTextChar"/>
    <w:rsid w:val="003E08DC"/>
    <w:rPr>
      <w:rFonts w:ascii="Lucida Grande" w:hAnsi="Lucida Grande"/>
      <w:sz w:val="18"/>
      <w:szCs w:val="18"/>
    </w:rPr>
  </w:style>
  <w:style w:type="character" w:customStyle="1" w:styleId="BalloonTextChar">
    <w:name w:val="Balloon Text Char"/>
    <w:basedOn w:val="DefaultParagraphFont"/>
    <w:link w:val="BalloonText"/>
    <w:rsid w:val="003E08DC"/>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paragraph" w:styleId="Caption">
    <w:name w:val="caption"/>
    <w:basedOn w:val="Normal"/>
    <w:next w:val="Normal"/>
    <w:uiPriority w:val="35"/>
    <w:unhideWhenUsed/>
    <w:qFormat/>
    <w:rsid w:val="00137504"/>
    <w:pPr>
      <w:spacing w:after="200"/>
    </w:pPr>
    <w:rPr>
      <w:rFonts w:asciiTheme="minorHAnsi" w:eastAsiaTheme="minorHAnsi" w:hAnsiTheme="minorHAnsi" w:cstheme="minorBidi"/>
      <w:b/>
      <w:bCs/>
      <w:color w:val="4F81BD" w:themeColor="accent1"/>
      <w:sz w:val="18"/>
      <w:szCs w:val="18"/>
    </w:rPr>
  </w:style>
  <w:style w:type="table" w:styleId="LightShading">
    <w:name w:val="Light Shading"/>
    <w:basedOn w:val="TableNormal"/>
    <w:uiPriority w:val="60"/>
    <w:rsid w:val="004D47A4"/>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D47A4"/>
    <w:pPr>
      <w:ind w:left="720"/>
      <w:contextualSpacing/>
    </w:pPr>
  </w:style>
  <w:style w:type="character" w:styleId="CommentReference">
    <w:name w:val="annotation reference"/>
    <w:basedOn w:val="DefaultParagraphFont"/>
    <w:rsid w:val="003E08DC"/>
    <w:rPr>
      <w:sz w:val="18"/>
      <w:szCs w:val="18"/>
    </w:rPr>
  </w:style>
  <w:style w:type="paragraph" w:styleId="CommentText">
    <w:name w:val="annotation text"/>
    <w:basedOn w:val="Normal"/>
    <w:link w:val="CommentTextChar"/>
    <w:rsid w:val="003E08DC"/>
    <w:rPr>
      <w:sz w:val="24"/>
      <w:szCs w:val="24"/>
    </w:rPr>
  </w:style>
  <w:style w:type="character" w:customStyle="1" w:styleId="CommentTextChar">
    <w:name w:val="Comment Text Char"/>
    <w:basedOn w:val="DefaultParagraphFont"/>
    <w:link w:val="CommentText"/>
    <w:rsid w:val="003E08DC"/>
    <w:rPr>
      <w:sz w:val="24"/>
      <w:szCs w:val="24"/>
    </w:rPr>
  </w:style>
  <w:style w:type="paragraph" w:styleId="CommentSubject">
    <w:name w:val="annotation subject"/>
    <w:basedOn w:val="CommentText"/>
    <w:next w:val="CommentText"/>
    <w:link w:val="CommentSubjectChar"/>
    <w:rsid w:val="003E08DC"/>
    <w:rPr>
      <w:b/>
      <w:bCs/>
      <w:sz w:val="20"/>
      <w:szCs w:val="20"/>
    </w:rPr>
  </w:style>
  <w:style w:type="character" w:customStyle="1" w:styleId="CommentSubjectChar">
    <w:name w:val="Comment Subject Char"/>
    <w:basedOn w:val="CommentTextChar"/>
    <w:link w:val="CommentSubject"/>
    <w:rsid w:val="003E08DC"/>
    <w:rPr>
      <w:b/>
      <w:bCs/>
      <w:sz w:val="24"/>
      <w:szCs w:val="24"/>
    </w:rPr>
  </w:style>
  <w:style w:type="paragraph" w:styleId="BalloonText">
    <w:name w:val="Balloon Text"/>
    <w:basedOn w:val="Normal"/>
    <w:link w:val="BalloonTextChar"/>
    <w:rsid w:val="003E08DC"/>
    <w:rPr>
      <w:rFonts w:ascii="Lucida Grande" w:hAnsi="Lucida Grande"/>
      <w:sz w:val="18"/>
      <w:szCs w:val="18"/>
    </w:rPr>
  </w:style>
  <w:style w:type="character" w:customStyle="1" w:styleId="BalloonTextChar">
    <w:name w:val="Balloon Text Char"/>
    <w:basedOn w:val="DefaultParagraphFont"/>
    <w:link w:val="BalloonText"/>
    <w:rsid w:val="003E08D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Homework #2</vt:lpstr>
    </vt:vector>
  </TitlesOfParts>
  <LinksUpToDate>false</LinksUpToDate>
  <CharactersWithSpaces>12901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
  <cp:lastModifiedBy/>
  <cp:revision>1</cp:revision>
  <dcterms:created xsi:type="dcterms:W3CDTF">2013-12-16T19:15:00Z</dcterms:created>
  <dcterms:modified xsi:type="dcterms:W3CDTF">2013-12-16T19:15:00Z</dcterms:modified>
</cp:coreProperties>
</file>