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F22DA" w14:textId="77777777" w:rsidR="00D2694B" w:rsidRPr="00E83724" w:rsidRDefault="00E83724">
      <w:pPr>
        <w:rPr>
          <w:b/>
        </w:rPr>
      </w:pPr>
      <w:r w:rsidRPr="00E83724">
        <w:rPr>
          <w:b/>
        </w:rPr>
        <w:t>Carlos J Gallego</w:t>
      </w:r>
    </w:p>
    <w:p w14:paraId="42D90579" w14:textId="77777777" w:rsidR="00E83724" w:rsidRPr="00E83724" w:rsidRDefault="00E83724">
      <w:pPr>
        <w:rPr>
          <w:b/>
        </w:rPr>
      </w:pPr>
      <w:commentRangeStart w:id="0"/>
      <w:r w:rsidRPr="00E83724">
        <w:rPr>
          <w:b/>
        </w:rPr>
        <w:t xml:space="preserve">BIOST </w:t>
      </w:r>
      <w:commentRangeEnd w:id="0"/>
      <w:r w:rsidR="001131A3">
        <w:rPr>
          <w:rStyle w:val="CommentReference"/>
        </w:rPr>
        <w:commentReference w:id="0"/>
      </w:r>
      <w:r w:rsidRPr="00E83724">
        <w:rPr>
          <w:b/>
        </w:rPr>
        <w:t>536 HW#3</w:t>
      </w:r>
    </w:p>
    <w:p w14:paraId="1AB3CB9A" w14:textId="77777777" w:rsidR="00E83724" w:rsidRDefault="00E83724"/>
    <w:p w14:paraId="7E9681D9" w14:textId="77777777" w:rsidR="007E40B6" w:rsidRPr="007E40B6" w:rsidRDefault="007E40B6" w:rsidP="007E40B6"/>
    <w:p w14:paraId="6F0056CB" w14:textId="77777777" w:rsidR="007E40B6" w:rsidRDefault="007E40B6" w:rsidP="007E40B6">
      <w:pPr>
        <w:numPr>
          <w:ilvl w:val="0"/>
          <w:numId w:val="1"/>
        </w:numPr>
      </w:pPr>
      <w:commentRangeStart w:id="2"/>
      <w:r w:rsidRPr="007E40B6">
        <w:t>Provide</w:t>
      </w:r>
      <w:commentRangeEnd w:id="2"/>
      <w:r w:rsidR="001131A3">
        <w:rPr>
          <w:rStyle w:val="CommentReference"/>
        </w:rPr>
        <w:commentReference w:id="2"/>
      </w:r>
      <w:r w:rsidRPr="007E40B6">
        <w:t xml:space="preserve"> suitable descriptive statistics for this dataset as might be presented in Table 1 of a manuscript appearing in the medical literature. (Because the primary question is comparing 24 month relapse free survival across groups defined by nadir PSA, you might consider presenting descriptive statistics in groups according to some dichotomization of nadir PSA levels. Alternatively, you could provide descriptive statistics within groups defined by whether the subjects relapse within 24 months or not.)</w:t>
      </w:r>
    </w:p>
    <w:p w14:paraId="7B0E9869" w14:textId="77777777" w:rsidR="004A7B80" w:rsidRDefault="004A7B80" w:rsidP="004A7B80"/>
    <w:tbl>
      <w:tblPr>
        <w:tblW w:w="7800" w:type="dxa"/>
        <w:tblInd w:w="93" w:type="dxa"/>
        <w:tblLook w:val="04A0" w:firstRow="1" w:lastRow="0" w:firstColumn="1" w:lastColumn="0" w:noHBand="0" w:noVBand="1"/>
      </w:tblPr>
      <w:tblGrid>
        <w:gridCol w:w="2600"/>
        <w:gridCol w:w="836"/>
        <w:gridCol w:w="1764"/>
        <w:gridCol w:w="836"/>
        <w:gridCol w:w="1764"/>
      </w:tblGrid>
      <w:tr w:rsidR="00DB72F7" w:rsidRPr="00DB72F7" w14:paraId="601E90B4" w14:textId="77777777" w:rsidTr="00DB72F7">
        <w:trPr>
          <w:trHeight w:val="320"/>
        </w:trPr>
        <w:tc>
          <w:tcPr>
            <w:tcW w:w="2600" w:type="dxa"/>
            <w:tcBorders>
              <w:top w:val="single" w:sz="8" w:space="0" w:color="auto"/>
              <w:left w:val="single" w:sz="8" w:space="0" w:color="auto"/>
              <w:bottom w:val="nil"/>
              <w:right w:val="nil"/>
            </w:tcBorders>
            <w:shd w:val="clear" w:color="auto" w:fill="auto"/>
            <w:noWrap/>
            <w:vAlign w:val="bottom"/>
            <w:hideMark/>
          </w:tcPr>
          <w:p w14:paraId="79F9FF48"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2600" w:type="dxa"/>
            <w:gridSpan w:val="2"/>
            <w:tcBorders>
              <w:top w:val="single" w:sz="8" w:space="0" w:color="auto"/>
              <w:left w:val="nil"/>
              <w:bottom w:val="nil"/>
              <w:right w:val="nil"/>
            </w:tcBorders>
            <w:shd w:val="clear" w:color="auto" w:fill="auto"/>
            <w:noWrap/>
            <w:vAlign w:val="bottom"/>
            <w:hideMark/>
          </w:tcPr>
          <w:p w14:paraId="06C37933" w14:textId="77777777" w:rsidR="00DB72F7" w:rsidRPr="00DB72F7" w:rsidRDefault="00DB72F7" w:rsidP="00DB72F7">
            <w:pPr>
              <w:jc w:val="center"/>
              <w:rPr>
                <w:rFonts w:ascii="Calibri" w:eastAsia="Times New Roman" w:hAnsi="Calibri" w:cs="Times New Roman"/>
                <w:b/>
                <w:bCs/>
                <w:color w:val="000000"/>
              </w:rPr>
            </w:pPr>
            <w:r w:rsidRPr="00DB72F7">
              <w:rPr>
                <w:rFonts w:ascii="Calibri" w:eastAsia="Times New Roman" w:hAnsi="Calibri" w:cs="Times New Roman"/>
                <w:b/>
                <w:bCs/>
                <w:color w:val="000000"/>
              </w:rPr>
              <w:t>PSA &lt;=0.95</w:t>
            </w:r>
          </w:p>
        </w:tc>
        <w:tc>
          <w:tcPr>
            <w:tcW w:w="2600" w:type="dxa"/>
            <w:gridSpan w:val="2"/>
            <w:tcBorders>
              <w:top w:val="single" w:sz="8" w:space="0" w:color="auto"/>
              <w:left w:val="nil"/>
              <w:bottom w:val="nil"/>
              <w:right w:val="single" w:sz="8" w:space="0" w:color="000000"/>
            </w:tcBorders>
            <w:shd w:val="clear" w:color="auto" w:fill="auto"/>
            <w:noWrap/>
            <w:vAlign w:val="bottom"/>
            <w:hideMark/>
          </w:tcPr>
          <w:p w14:paraId="140D5FBD" w14:textId="77777777" w:rsidR="00DB72F7" w:rsidRPr="00DB72F7" w:rsidRDefault="00DB72F7" w:rsidP="00DB72F7">
            <w:pPr>
              <w:jc w:val="center"/>
              <w:rPr>
                <w:rFonts w:ascii="Calibri" w:eastAsia="Times New Roman" w:hAnsi="Calibri" w:cs="Times New Roman"/>
                <w:b/>
                <w:bCs/>
                <w:color w:val="000000"/>
              </w:rPr>
            </w:pPr>
            <w:r w:rsidRPr="00DB72F7">
              <w:rPr>
                <w:rFonts w:ascii="Calibri" w:eastAsia="Times New Roman" w:hAnsi="Calibri" w:cs="Times New Roman"/>
                <w:b/>
                <w:bCs/>
                <w:color w:val="000000"/>
              </w:rPr>
              <w:t>PSA &gt; 0.95</w:t>
            </w:r>
          </w:p>
        </w:tc>
      </w:tr>
      <w:tr w:rsidR="00DB72F7" w:rsidRPr="00DB72F7" w14:paraId="1099AC58" w14:textId="77777777" w:rsidTr="00DB72F7">
        <w:trPr>
          <w:trHeight w:val="320"/>
        </w:trPr>
        <w:tc>
          <w:tcPr>
            <w:tcW w:w="2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A22854"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single" w:sz="8" w:space="0" w:color="auto"/>
              <w:left w:val="nil"/>
              <w:bottom w:val="single" w:sz="8" w:space="0" w:color="auto"/>
              <w:right w:val="single" w:sz="4" w:space="0" w:color="auto"/>
            </w:tcBorders>
            <w:shd w:val="clear" w:color="auto" w:fill="auto"/>
            <w:noWrap/>
            <w:vAlign w:val="bottom"/>
            <w:hideMark/>
          </w:tcPr>
          <w:p w14:paraId="5AF1D74F" w14:textId="77777777" w:rsidR="00DB72F7" w:rsidRPr="00DB72F7" w:rsidRDefault="00DB72F7" w:rsidP="00DB72F7">
            <w:pPr>
              <w:jc w:val="right"/>
              <w:rPr>
                <w:rFonts w:ascii="Calibri" w:eastAsia="Times New Roman" w:hAnsi="Calibri" w:cs="Times New Roman"/>
                <w:b/>
                <w:bCs/>
                <w:color w:val="000000"/>
              </w:rPr>
            </w:pPr>
            <w:r w:rsidRPr="00DB72F7">
              <w:rPr>
                <w:rFonts w:ascii="Calibri" w:eastAsia="Times New Roman" w:hAnsi="Calibri" w:cs="Times New Roman"/>
                <w:b/>
                <w:bCs/>
                <w:color w:val="000000"/>
              </w:rPr>
              <w:t>n</w:t>
            </w:r>
          </w:p>
        </w:tc>
        <w:tc>
          <w:tcPr>
            <w:tcW w:w="1764" w:type="dxa"/>
            <w:tcBorders>
              <w:top w:val="single" w:sz="8" w:space="0" w:color="auto"/>
              <w:left w:val="nil"/>
              <w:bottom w:val="single" w:sz="8" w:space="0" w:color="auto"/>
              <w:right w:val="single" w:sz="4" w:space="0" w:color="auto"/>
            </w:tcBorders>
            <w:shd w:val="clear" w:color="auto" w:fill="auto"/>
            <w:noWrap/>
            <w:vAlign w:val="bottom"/>
            <w:hideMark/>
          </w:tcPr>
          <w:p w14:paraId="0ADDE5C4" w14:textId="77777777" w:rsidR="00DB72F7" w:rsidRPr="00DB72F7" w:rsidRDefault="00DB72F7" w:rsidP="00DB72F7">
            <w:pPr>
              <w:jc w:val="right"/>
              <w:rPr>
                <w:rFonts w:ascii="Calibri" w:eastAsia="Times New Roman" w:hAnsi="Calibri" w:cs="Times New Roman"/>
                <w:b/>
                <w:bCs/>
                <w:color w:val="000000"/>
              </w:rPr>
            </w:pPr>
            <w:r w:rsidRPr="00DB72F7">
              <w:rPr>
                <w:rFonts w:ascii="Calibri" w:eastAsia="Times New Roman" w:hAnsi="Calibri" w:cs="Times New Roman"/>
                <w:b/>
                <w:bCs/>
                <w:color w:val="000000"/>
              </w:rPr>
              <w:t>%</w:t>
            </w:r>
          </w:p>
        </w:tc>
        <w:tc>
          <w:tcPr>
            <w:tcW w:w="836" w:type="dxa"/>
            <w:tcBorders>
              <w:top w:val="single" w:sz="8" w:space="0" w:color="auto"/>
              <w:left w:val="nil"/>
              <w:bottom w:val="single" w:sz="8" w:space="0" w:color="auto"/>
              <w:right w:val="single" w:sz="4" w:space="0" w:color="auto"/>
            </w:tcBorders>
            <w:shd w:val="clear" w:color="auto" w:fill="auto"/>
            <w:noWrap/>
            <w:vAlign w:val="bottom"/>
            <w:hideMark/>
          </w:tcPr>
          <w:p w14:paraId="7DC4518A" w14:textId="77777777" w:rsidR="00DB72F7" w:rsidRPr="00DB72F7" w:rsidRDefault="00DB72F7" w:rsidP="00DB72F7">
            <w:pPr>
              <w:jc w:val="right"/>
              <w:rPr>
                <w:rFonts w:ascii="Calibri" w:eastAsia="Times New Roman" w:hAnsi="Calibri" w:cs="Times New Roman"/>
                <w:b/>
                <w:bCs/>
                <w:color w:val="000000"/>
              </w:rPr>
            </w:pPr>
            <w:r w:rsidRPr="00DB72F7">
              <w:rPr>
                <w:rFonts w:ascii="Calibri" w:eastAsia="Times New Roman" w:hAnsi="Calibri" w:cs="Times New Roman"/>
                <w:b/>
                <w:bCs/>
                <w:color w:val="000000"/>
              </w:rPr>
              <w:t>n</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6F7903F4" w14:textId="77777777" w:rsidR="00DB72F7" w:rsidRPr="00DB72F7" w:rsidRDefault="00DB72F7" w:rsidP="00DB72F7">
            <w:pPr>
              <w:jc w:val="right"/>
              <w:rPr>
                <w:rFonts w:ascii="Calibri" w:eastAsia="Times New Roman" w:hAnsi="Calibri" w:cs="Times New Roman"/>
                <w:b/>
                <w:bCs/>
                <w:color w:val="000000"/>
              </w:rPr>
            </w:pPr>
            <w:r w:rsidRPr="00DB72F7">
              <w:rPr>
                <w:rFonts w:ascii="Calibri" w:eastAsia="Times New Roman" w:hAnsi="Calibri" w:cs="Times New Roman"/>
                <w:b/>
                <w:bCs/>
                <w:color w:val="000000"/>
              </w:rPr>
              <w:t>%</w:t>
            </w:r>
          </w:p>
        </w:tc>
      </w:tr>
      <w:tr w:rsidR="00DB72F7" w:rsidRPr="00DB72F7" w14:paraId="1E47D8EC" w14:textId="77777777" w:rsidTr="00DB72F7">
        <w:trPr>
          <w:trHeight w:val="320"/>
        </w:trPr>
        <w:tc>
          <w:tcPr>
            <w:tcW w:w="2600" w:type="dxa"/>
            <w:tcBorders>
              <w:top w:val="nil"/>
              <w:left w:val="single" w:sz="8" w:space="0" w:color="auto"/>
              <w:bottom w:val="single" w:sz="8" w:space="0" w:color="auto"/>
              <w:right w:val="nil"/>
            </w:tcBorders>
            <w:shd w:val="clear" w:color="auto" w:fill="auto"/>
            <w:noWrap/>
            <w:vAlign w:val="bottom"/>
            <w:hideMark/>
          </w:tcPr>
          <w:p w14:paraId="72755374" w14:textId="77777777" w:rsidR="00DB72F7" w:rsidRPr="00DB72F7" w:rsidRDefault="00DB72F7" w:rsidP="00DB72F7">
            <w:pPr>
              <w:rPr>
                <w:rFonts w:ascii="Calibri" w:eastAsia="Times New Roman" w:hAnsi="Calibri" w:cs="Times New Roman"/>
                <w:b/>
                <w:bCs/>
                <w:color w:val="000000"/>
              </w:rPr>
            </w:pPr>
            <w:commentRangeStart w:id="3"/>
            <w:r w:rsidRPr="00DB72F7">
              <w:rPr>
                <w:rFonts w:ascii="Calibri" w:eastAsia="Times New Roman" w:hAnsi="Calibri" w:cs="Times New Roman"/>
                <w:b/>
                <w:bCs/>
                <w:color w:val="000000"/>
              </w:rPr>
              <w:t xml:space="preserve">Age </w:t>
            </w:r>
            <w:commentRangeEnd w:id="3"/>
            <w:r w:rsidR="001131A3">
              <w:rPr>
                <w:rStyle w:val="CommentReference"/>
              </w:rPr>
              <w:commentReference w:id="3"/>
            </w:r>
          </w:p>
        </w:tc>
        <w:tc>
          <w:tcPr>
            <w:tcW w:w="836" w:type="dxa"/>
            <w:tcBorders>
              <w:top w:val="nil"/>
              <w:left w:val="nil"/>
              <w:bottom w:val="single" w:sz="8" w:space="0" w:color="auto"/>
              <w:right w:val="nil"/>
            </w:tcBorders>
            <w:shd w:val="clear" w:color="auto" w:fill="auto"/>
            <w:noWrap/>
            <w:vAlign w:val="bottom"/>
            <w:hideMark/>
          </w:tcPr>
          <w:p w14:paraId="1A0F7EC8"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nil"/>
              <w:left w:val="nil"/>
              <w:bottom w:val="single" w:sz="8" w:space="0" w:color="auto"/>
              <w:right w:val="nil"/>
            </w:tcBorders>
            <w:shd w:val="clear" w:color="auto" w:fill="auto"/>
            <w:noWrap/>
            <w:vAlign w:val="bottom"/>
            <w:hideMark/>
          </w:tcPr>
          <w:p w14:paraId="5F7F7906"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nil"/>
              <w:left w:val="nil"/>
              <w:bottom w:val="single" w:sz="8" w:space="0" w:color="auto"/>
              <w:right w:val="nil"/>
            </w:tcBorders>
            <w:shd w:val="clear" w:color="auto" w:fill="auto"/>
            <w:noWrap/>
            <w:vAlign w:val="bottom"/>
            <w:hideMark/>
          </w:tcPr>
          <w:p w14:paraId="3852C820"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nil"/>
              <w:left w:val="nil"/>
              <w:bottom w:val="single" w:sz="8" w:space="0" w:color="auto"/>
              <w:right w:val="single" w:sz="8" w:space="0" w:color="auto"/>
            </w:tcBorders>
            <w:shd w:val="clear" w:color="auto" w:fill="auto"/>
            <w:noWrap/>
            <w:vAlign w:val="bottom"/>
            <w:hideMark/>
          </w:tcPr>
          <w:p w14:paraId="5AD45182"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r>
      <w:tr w:rsidR="00DB72F7" w:rsidRPr="00DB72F7" w14:paraId="7110BB04"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45599067"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&lt;60</w:t>
            </w:r>
          </w:p>
        </w:tc>
        <w:tc>
          <w:tcPr>
            <w:tcW w:w="836" w:type="dxa"/>
            <w:tcBorders>
              <w:top w:val="nil"/>
              <w:left w:val="nil"/>
              <w:bottom w:val="nil"/>
              <w:right w:val="nil"/>
            </w:tcBorders>
            <w:shd w:val="clear" w:color="auto" w:fill="auto"/>
            <w:noWrap/>
            <w:vAlign w:val="bottom"/>
            <w:hideMark/>
          </w:tcPr>
          <w:p w14:paraId="1805A1E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w:t>
            </w:r>
          </w:p>
        </w:tc>
        <w:tc>
          <w:tcPr>
            <w:tcW w:w="1764" w:type="dxa"/>
            <w:tcBorders>
              <w:top w:val="nil"/>
              <w:left w:val="single" w:sz="4" w:space="0" w:color="auto"/>
              <w:bottom w:val="nil"/>
              <w:right w:val="single" w:sz="4" w:space="0" w:color="auto"/>
            </w:tcBorders>
            <w:shd w:val="clear" w:color="auto" w:fill="auto"/>
            <w:noWrap/>
            <w:vAlign w:val="bottom"/>
            <w:hideMark/>
          </w:tcPr>
          <w:p w14:paraId="2B1FDBC7"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w:t>
            </w:r>
          </w:p>
        </w:tc>
        <w:tc>
          <w:tcPr>
            <w:tcW w:w="836" w:type="dxa"/>
            <w:tcBorders>
              <w:top w:val="nil"/>
              <w:left w:val="nil"/>
              <w:bottom w:val="nil"/>
              <w:right w:val="single" w:sz="4" w:space="0" w:color="auto"/>
            </w:tcBorders>
            <w:shd w:val="clear" w:color="auto" w:fill="auto"/>
            <w:noWrap/>
            <w:vAlign w:val="bottom"/>
            <w:hideMark/>
          </w:tcPr>
          <w:p w14:paraId="003F2D2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w:t>
            </w:r>
          </w:p>
        </w:tc>
        <w:tc>
          <w:tcPr>
            <w:tcW w:w="1764" w:type="dxa"/>
            <w:tcBorders>
              <w:top w:val="nil"/>
              <w:left w:val="nil"/>
              <w:bottom w:val="nil"/>
              <w:right w:val="single" w:sz="8" w:space="0" w:color="auto"/>
            </w:tcBorders>
            <w:shd w:val="clear" w:color="auto" w:fill="auto"/>
            <w:noWrap/>
            <w:vAlign w:val="bottom"/>
            <w:hideMark/>
          </w:tcPr>
          <w:p w14:paraId="12B2D136"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w:t>
            </w:r>
          </w:p>
        </w:tc>
      </w:tr>
      <w:tr w:rsidR="00DB72F7" w:rsidRPr="00DB72F7" w14:paraId="0CEA9BEB"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29E36BB7"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60-69</w:t>
            </w:r>
          </w:p>
        </w:tc>
        <w:tc>
          <w:tcPr>
            <w:tcW w:w="836" w:type="dxa"/>
            <w:tcBorders>
              <w:top w:val="nil"/>
              <w:left w:val="nil"/>
              <w:bottom w:val="nil"/>
              <w:right w:val="nil"/>
            </w:tcBorders>
            <w:shd w:val="clear" w:color="auto" w:fill="auto"/>
            <w:noWrap/>
            <w:vAlign w:val="bottom"/>
            <w:hideMark/>
          </w:tcPr>
          <w:p w14:paraId="14A820A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20</w:t>
            </w:r>
          </w:p>
        </w:tc>
        <w:tc>
          <w:tcPr>
            <w:tcW w:w="1764" w:type="dxa"/>
            <w:tcBorders>
              <w:top w:val="nil"/>
              <w:left w:val="single" w:sz="4" w:space="0" w:color="auto"/>
              <w:bottom w:val="nil"/>
              <w:right w:val="single" w:sz="4" w:space="0" w:color="auto"/>
            </w:tcBorders>
            <w:shd w:val="clear" w:color="auto" w:fill="auto"/>
            <w:noWrap/>
            <w:vAlign w:val="bottom"/>
            <w:hideMark/>
          </w:tcPr>
          <w:p w14:paraId="10FA547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80</w:t>
            </w:r>
          </w:p>
        </w:tc>
        <w:tc>
          <w:tcPr>
            <w:tcW w:w="836" w:type="dxa"/>
            <w:tcBorders>
              <w:top w:val="nil"/>
              <w:left w:val="nil"/>
              <w:bottom w:val="nil"/>
              <w:right w:val="single" w:sz="4" w:space="0" w:color="auto"/>
            </w:tcBorders>
            <w:shd w:val="clear" w:color="auto" w:fill="auto"/>
            <w:noWrap/>
            <w:vAlign w:val="bottom"/>
            <w:hideMark/>
          </w:tcPr>
          <w:p w14:paraId="6E87BF08"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14</w:t>
            </w:r>
          </w:p>
        </w:tc>
        <w:tc>
          <w:tcPr>
            <w:tcW w:w="1764" w:type="dxa"/>
            <w:tcBorders>
              <w:top w:val="nil"/>
              <w:left w:val="nil"/>
              <w:bottom w:val="nil"/>
              <w:right w:val="single" w:sz="8" w:space="0" w:color="auto"/>
            </w:tcBorders>
            <w:shd w:val="clear" w:color="auto" w:fill="auto"/>
            <w:noWrap/>
            <w:vAlign w:val="bottom"/>
            <w:hideMark/>
          </w:tcPr>
          <w:p w14:paraId="68B899A1"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56</w:t>
            </w:r>
          </w:p>
        </w:tc>
      </w:tr>
      <w:tr w:rsidR="00DB72F7" w:rsidRPr="00DB72F7" w14:paraId="2F716166"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1F6C4577"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70-79</w:t>
            </w:r>
          </w:p>
        </w:tc>
        <w:tc>
          <w:tcPr>
            <w:tcW w:w="836" w:type="dxa"/>
            <w:tcBorders>
              <w:top w:val="nil"/>
              <w:left w:val="nil"/>
              <w:bottom w:val="nil"/>
              <w:right w:val="nil"/>
            </w:tcBorders>
            <w:shd w:val="clear" w:color="auto" w:fill="auto"/>
            <w:noWrap/>
            <w:vAlign w:val="bottom"/>
            <w:hideMark/>
          </w:tcPr>
          <w:p w14:paraId="17B19776"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w:t>
            </w:r>
          </w:p>
        </w:tc>
        <w:tc>
          <w:tcPr>
            <w:tcW w:w="1764" w:type="dxa"/>
            <w:tcBorders>
              <w:top w:val="nil"/>
              <w:left w:val="single" w:sz="4" w:space="0" w:color="auto"/>
              <w:bottom w:val="nil"/>
              <w:right w:val="single" w:sz="4" w:space="0" w:color="auto"/>
            </w:tcBorders>
            <w:shd w:val="clear" w:color="auto" w:fill="auto"/>
            <w:noWrap/>
            <w:vAlign w:val="bottom"/>
            <w:hideMark/>
          </w:tcPr>
          <w:p w14:paraId="130C4A4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16</w:t>
            </w:r>
          </w:p>
        </w:tc>
        <w:tc>
          <w:tcPr>
            <w:tcW w:w="836" w:type="dxa"/>
            <w:tcBorders>
              <w:top w:val="nil"/>
              <w:left w:val="nil"/>
              <w:bottom w:val="nil"/>
              <w:right w:val="single" w:sz="4" w:space="0" w:color="auto"/>
            </w:tcBorders>
            <w:shd w:val="clear" w:color="auto" w:fill="auto"/>
            <w:noWrap/>
            <w:vAlign w:val="bottom"/>
            <w:hideMark/>
          </w:tcPr>
          <w:p w14:paraId="598B7444"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8</w:t>
            </w:r>
          </w:p>
        </w:tc>
        <w:tc>
          <w:tcPr>
            <w:tcW w:w="1764" w:type="dxa"/>
            <w:tcBorders>
              <w:top w:val="nil"/>
              <w:left w:val="nil"/>
              <w:bottom w:val="nil"/>
              <w:right w:val="single" w:sz="8" w:space="0" w:color="auto"/>
            </w:tcBorders>
            <w:shd w:val="clear" w:color="auto" w:fill="auto"/>
            <w:noWrap/>
            <w:vAlign w:val="bottom"/>
            <w:hideMark/>
          </w:tcPr>
          <w:p w14:paraId="55F83E0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32</w:t>
            </w:r>
          </w:p>
        </w:tc>
      </w:tr>
      <w:tr w:rsidR="00DB72F7" w:rsidRPr="00DB72F7" w14:paraId="14628AAD" w14:textId="77777777" w:rsidTr="00DB72F7">
        <w:trPr>
          <w:trHeight w:val="32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2BB25661"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80-89</w:t>
            </w:r>
          </w:p>
        </w:tc>
        <w:tc>
          <w:tcPr>
            <w:tcW w:w="836" w:type="dxa"/>
            <w:tcBorders>
              <w:top w:val="nil"/>
              <w:left w:val="nil"/>
              <w:bottom w:val="single" w:sz="8" w:space="0" w:color="auto"/>
              <w:right w:val="nil"/>
            </w:tcBorders>
            <w:shd w:val="clear" w:color="auto" w:fill="auto"/>
            <w:noWrap/>
            <w:vAlign w:val="bottom"/>
            <w:hideMark/>
          </w:tcPr>
          <w:p w14:paraId="73A89649"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0</w:t>
            </w:r>
          </w:p>
        </w:tc>
        <w:tc>
          <w:tcPr>
            <w:tcW w:w="1764" w:type="dxa"/>
            <w:tcBorders>
              <w:top w:val="nil"/>
              <w:left w:val="single" w:sz="4" w:space="0" w:color="auto"/>
              <w:bottom w:val="single" w:sz="8" w:space="0" w:color="auto"/>
              <w:right w:val="single" w:sz="4" w:space="0" w:color="auto"/>
            </w:tcBorders>
            <w:shd w:val="clear" w:color="auto" w:fill="auto"/>
            <w:noWrap/>
            <w:vAlign w:val="bottom"/>
            <w:hideMark/>
          </w:tcPr>
          <w:p w14:paraId="259A609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0</w:t>
            </w:r>
          </w:p>
        </w:tc>
        <w:tc>
          <w:tcPr>
            <w:tcW w:w="836" w:type="dxa"/>
            <w:tcBorders>
              <w:top w:val="nil"/>
              <w:left w:val="nil"/>
              <w:bottom w:val="single" w:sz="8" w:space="0" w:color="auto"/>
              <w:right w:val="single" w:sz="4" w:space="0" w:color="auto"/>
            </w:tcBorders>
            <w:shd w:val="clear" w:color="auto" w:fill="auto"/>
            <w:noWrap/>
            <w:vAlign w:val="bottom"/>
            <w:hideMark/>
          </w:tcPr>
          <w:p w14:paraId="2E773979"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w:t>
            </w:r>
          </w:p>
        </w:tc>
        <w:tc>
          <w:tcPr>
            <w:tcW w:w="1764" w:type="dxa"/>
            <w:tcBorders>
              <w:top w:val="nil"/>
              <w:left w:val="nil"/>
              <w:bottom w:val="nil"/>
              <w:right w:val="single" w:sz="8" w:space="0" w:color="auto"/>
            </w:tcBorders>
            <w:shd w:val="clear" w:color="auto" w:fill="auto"/>
            <w:noWrap/>
            <w:vAlign w:val="bottom"/>
            <w:hideMark/>
          </w:tcPr>
          <w:p w14:paraId="2EE4A389"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8</w:t>
            </w:r>
          </w:p>
        </w:tc>
      </w:tr>
      <w:tr w:rsidR="00DB72F7" w:rsidRPr="00DB72F7" w14:paraId="4DFAC667" w14:textId="77777777" w:rsidTr="00DB72F7">
        <w:trPr>
          <w:trHeight w:val="320"/>
        </w:trPr>
        <w:tc>
          <w:tcPr>
            <w:tcW w:w="2600" w:type="dxa"/>
            <w:tcBorders>
              <w:top w:val="nil"/>
              <w:left w:val="single" w:sz="8" w:space="0" w:color="auto"/>
              <w:bottom w:val="single" w:sz="8" w:space="0" w:color="auto"/>
              <w:right w:val="nil"/>
            </w:tcBorders>
            <w:shd w:val="clear" w:color="auto" w:fill="auto"/>
            <w:noWrap/>
            <w:vAlign w:val="bottom"/>
            <w:hideMark/>
          </w:tcPr>
          <w:p w14:paraId="236EC267"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Grade </w:t>
            </w:r>
          </w:p>
        </w:tc>
        <w:tc>
          <w:tcPr>
            <w:tcW w:w="836" w:type="dxa"/>
            <w:tcBorders>
              <w:top w:val="nil"/>
              <w:left w:val="nil"/>
              <w:bottom w:val="single" w:sz="8" w:space="0" w:color="auto"/>
              <w:right w:val="nil"/>
            </w:tcBorders>
            <w:shd w:val="clear" w:color="auto" w:fill="auto"/>
            <w:noWrap/>
            <w:vAlign w:val="bottom"/>
            <w:hideMark/>
          </w:tcPr>
          <w:p w14:paraId="6B249BB1"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nil"/>
              <w:left w:val="nil"/>
              <w:bottom w:val="single" w:sz="8" w:space="0" w:color="auto"/>
              <w:right w:val="nil"/>
            </w:tcBorders>
            <w:shd w:val="clear" w:color="auto" w:fill="auto"/>
            <w:noWrap/>
            <w:vAlign w:val="bottom"/>
            <w:hideMark/>
          </w:tcPr>
          <w:p w14:paraId="7675D0EE"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nil"/>
              <w:left w:val="nil"/>
              <w:bottom w:val="single" w:sz="8" w:space="0" w:color="auto"/>
              <w:right w:val="nil"/>
            </w:tcBorders>
            <w:shd w:val="clear" w:color="auto" w:fill="auto"/>
            <w:noWrap/>
            <w:vAlign w:val="bottom"/>
            <w:hideMark/>
          </w:tcPr>
          <w:p w14:paraId="20DD2F93"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6076F0A5"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r>
      <w:tr w:rsidR="00DB72F7" w:rsidRPr="00DB72F7" w14:paraId="7326ABEC"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289A3CCE"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1</w:t>
            </w:r>
          </w:p>
        </w:tc>
        <w:tc>
          <w:tcPr>
            <w:tcW w:w="836" w:type="dxa"/>
            <w:tcBorders>
              <w:top w:val="nil"/>
              <w:left w:val="nil"/>
              <w:bottom w:val="nil"/>
              <w:right w:val="single" w:sz="4" w:space="0" w:color="auto"/>
            </w:tcBorders>
            <w:shd w:val="clear" w:color="auto" w:fill="auto"/>
            <w:noWrap/>
            <w:vAlign w:val="bottom"/>
            <w:hideMark/>
          </w:tcPr>
          <w:p w14:paraId="401B6714"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w:t>
            </w:r>
          </w:p>
        </w:tc>
        <w:tc>
          <w:tcPr>
            <w:tcW w:w="1764" w:type="dxa"/>
            <w:tcBorders>
              <w:top w:val="nil"/>
              <w:left w:val="nil"/>
              <w:bottom w:val="nil"/>
              <w:right w:val="nil"/>
            </w:tcBorders>
            <w:shd w:val="clear" w:color="auto" w:fill="auto"/>
            <w:noWrap/>
            <w:vAlign w:val="bottom"/>
            <w:hideMark/>
          </w:tcPr>
          <w:p w14:paraId="764E459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22.73</w:t>
            </w:r>
          </w:p>
        </w:tc>
        <w:tc>
          <w:tcPr>
            <w:tcW w:w="836" w:type="dxa"/>
            <w:tcBorders>
              <w:top w:val="nil"/>
              <w:left w:val="single" w:sz="4" w:space="0" w:color="auto"/>
              <w:bottom w:val="nil"/>
              <w:right w:val="single" w:sz="4" w:space="0" w:color="auto"/>
            </w:tcBorders>
            <w:shd w:val="clear" w:color="auto" w:fill="auto"/>
            <w:noWrap/>
            <w:vAlign w:val="bottom"/>
            <w:hideMark/>
          </w:tcPr>
          <w:p w14:paraId="33D10EE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w:t>
            </w:r>
          </w:p>
        </w:tc>
        <w:tc>
          <w:tcPr>
            <w:tcW w:w="1764" w:type="dxa"/>
            <w:tcBorders>
              <w:top w:val="nil"/>
              <w:left w:val="nil"/>
              <w:bottom w:val="nil"/>
              <w:right w:val="single" w:sz="8" w:space="0" w:color="auto"/>
            </w:tcBorders>
            <w:shd w:val="clear" w:color="auto" w:fill="auto"/>
            <w:noWrap/>
            <w:vAlign w:val="bottom"/>
            <w:hideMark/>
          </w:tcPr>
          <w:p w14:paraId="76353B08"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26.32</w:t>
            </w:r>
          </w:p>
        </w:tc>
      </w:tr>
      <w:tr w:rsidR="00DB72F7" w:rsidRPr="00DB72F7" w14:paraId="69E74E65"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2D9E6D0E"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2</w:t>
            </w:r>
          </w:p>
        </w:tc>
        <w:tc>
          <w:tcPr>
            <w:tcW w:w="836" w:type="dxa"/>
            <w:tcBorders>
              <w:top w:val="nil"/>
              <w:left w:val="nil"/>
              <w:bottom w:val="nil"/>
              <w:right w:val="single" w:sz="4" w:space="0" w:color="auto"/>
            </w:tcBorders>
            <w:shd w:val="clear" w:color="auto" w:fill="auto"/>
            <w:noWrap/>
            <w:vAlign w:val="bottom"/>
            <w:hideMark/>
          </w:tcPr>
          <w:p w14:paraId="31CA705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8</w:t>
            </w:r>
          </w:p>
        </w:tc>
        <w:tc>
          <w:tcPr>
            <w:tcW w:w="1764" w:type="dxa"/>
            <w:tcBorders>
              <w:top w:val="nil"/>
              <w:left w:val="nil"/>
              <w:bottom w:val="nil"/>
              <w:right w:val="nil"/>
            </w:tcBorders>
            <w:shd w:val="clear" w:color="auto" w:fill="auto"/>
            <w:noWrap/>
            <w:vAlign w:val="bottom"/>
            <w:hideMark/>
          </w:tcPr>
          <w:p w14:paraId="3E45045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36.36</w:t>
            </w:r>
          </w:p>
        </w:tc>
        <w:tc>
          <w:tcPr>
            <w:tcW w:w="836" w:type="dxa"/>
            <w:tcBorders>
              <w:top w:val="nil"/>
              <w:left w:val="single" w:sz="4" w:space="0" w:color="auto"/>
              <w:bottom w:val="nil"/>
              <w:right w:val="single" w:sz="4" w:space="0" w:color="auto"/>
            </w:tcBorders>
            <w:shd w:val="clear" w:color="auto" w:fill="auto"/>
            <w:noWrap/>
            <w:vAlign w:val="bottom"/>
            <w:hideMark/>
          </w:tcPr>
          <w:p w14:paraId="78C52B3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7</w:t>
            </w:r>
          </w:p>
        </w:tc>
        <w:tc>
          <w:tcPr>
            <w:tcW w:w="1764" w:type="dxa"/>
            <w:tcBorders>
              <w:top w:val="nil"/>
              <w:left w:val="nil"/>
              <w:bottom w:val="nil"/>
              <w:right w:val="single" w:sz="8" w:space="0" w:color="auto"/>
            </w:tcBorders>
            <w:shd w:val="clear" w:color="auto" w:fill="auto"/>
            <w:noWrap/>
            <w:vAlign w:val="bottom"/>
            <w:hideMark/>
          </w:tcPr>
          <w:p w14:paraId="3F16D49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36.84</w:t>
            </w:r>
          </w:p>
        </w:tc>
      </w:tr>
      <w:tr w:rsidR="00DB72F7" w:rsidRPr="00DB72F7" w14:paraId="317393BB" w14:textId="77777777" w:rsidTr="00DB72F7">
        <w:trPr>
          <w:trHeight w:val="32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69B75DD8"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3</w:t>
            </w:r>
          </w:p>
        </w:tc>
        <w:tc>
          <w:tcPr>
            <w:tcW w:w="836" w:type="dxa"/>
            <w:tcBorders>
              <w:top w:val="nil"/>
              <w:left w:val="nil"/>
              <w:bottom w:val="single" w:sz="8" w:space="0" w:color="auto"/>
              <w:right w:val="single" w:sz="4" w:space="0" w:color="auto"/>
            </w:tcBorders>
            <w:shd w:val="clear" w:color="auto" w:fill="auto"/>
            <w:noWrap/>
            <w:vAlign w:val="bottom"/>
            <w:hideMark/>
          </w:tcPr>
          <w:p w14:paraId="3A98098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9</w:t>
            </w:r>
          </w:p>
        </w:tc>
        <w:tc>
          <w:tcPr>
            <w:tcW w:w="1764" w:type="dxa"/>
            <w:tcBorders>
              <w:top w:val="nil"/>
              <w:left w:val="nil"/>
              <w:bottom w:val="nil"/>
              <w:right w:val="nil"/>
            </w:tcBorders>
            <w:shd w:val="clear" w:color="auto" w:fill="auto"/>
            <w:noWrap/>
            <w:vAlign w:val="bottom"/>
            <w:hideMark/>
          </w:tcPr>
          <w:p w14:paraId="75B33724"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40.91</w:t>
            </w:r>
          </w:p>
        </w:tc>
        <w:tc>
          <w:tcPr>
            <w:tcW w:w="836" w:type="dxa"/>
            <w:tcBorders>
              <w:top w:val="nil"/>
              <w:left w:val="single" w:sz="4" w:space="0" w:color="auto"/>
              <w:bottom w:val="single" w:sz="8" w:space="0" w:color="auto"/>
              <w:right w:val="single" w:sz="4" w:space="0" w:color="auto"/>
            </w:tcBorders>
            <w:shd w:val="clear" w:color="auto" w:fill="auto"/>
            <w:noWrap/>
            <w:vAlign w:val="bottom"/>
            <w:hideMark/>
          </w:tcPr>
          <w:p w14:paraId="775766D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7</w:t>
            </w:r>
          </w:p>
        </w:tc>
        <w:tc>
          <w:tcPr>
            <w:tcW w:w="1764" w:type="dxa"/>
            <w:tcBorders>
              <w:top w:val="nil"/>
              <w:left w:val="nil"/>
              <w:bottom w:val="nil"/>
              <w:right w:val="single" w:sz="8" w:space="0" w:color="auto"/>
            </w:tcBorders>
            <w:shd w:val="clear" w:color="auto" w:fill="auto"/>
            <w:noWrap/>
            <w:vAlign w:val="bottom"/>
            <w:hideMark/>
          </w:tcPr>
          <w:p w14:paraId="6F12708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36.84</w:t>
            </w:r>
          </w:p>
        </w:tc>
      </w:tr>
      <w:tr w:rsidR="00DB72F7" w:rsidRPr="00DB72F7" w14:paraId="54BCBFE6" w14:textId="77777777" w:rsidTr="00DB72F7">
        <w:trPr>
          <w:trHeight w:val="320"/>
        </w:trPr>
        <w:tc>
          <w:tcPr>
            <w:tcW w:w="2600" w:type="dxa"/>
            <w:tcBorders>
              <w:top w:val="nil"/>
              <w:left w:val="single" w:sz="8" w:space="0" w:color="auto"/>
              <w:bottom w:val="single" w:sz="8" w:space="0" w:color="auto"/>
              <w:right w:val="nil"/>
            </w:tcBorders>
            <w:shd w:val="clear" w:color="auto" w:fill="auto"/>
            <w:noWrap/>
            <w:vAlign w:val="bottom"/>
            <w:hideMark/>
          </w:tcPr>
          <w:p w14:paraId="39F738B0"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Performance status </w:t>
            </w:r>
          </w:p>
        </w:tc>
        <w:tc>
          <w:tcPr>
            <w:tcW w:w="836" w:type="dxa"/>
            <w:tcBorders>
              <w:top w:val="nil"/>
              <w:left w:val="nil"/>
              <w:bottom w:val="single" w:sz="8" w:space="0" w:color="auto"/>
              <w:right w:val="nil"/>
            </w:tcBorders>
            <w:shd w:val="clear" w:color="auto" w:fill="auto"/>
            <w:noWrap/>
            <w:vAlign w:val="bottom"/>
            <w:hideMark/>
          </w:tcPr>
          <w:p w14:paraId="5C4683EA"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nil"/>
            </w:tcBorders>
            <w:shd w:val="clear" w:color="auto" w:fill="auto"/>
            <w:noWrap/>
            <w:vAlign w:val="bottom"/>
            <w:hideMark/>
          </w:tcPr>
          <w:p w14:paraId="183F88E5"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nil"/>
              <w:left w:val="nil"/>
              <w:bottom w:val="single" w:sz="8" w:space="0" w:color="auto"/>
              <w:right w:val="nil"/>
            </w:tcBorders>
            <w:shd w:val="clear" w:color="auto" w:fill="auto"/>
            <w:noWrap/>
            <w:vAlign w:val="bottom"/>
            <w:hideMark/>
          </w:tcPr>
          <w:p w14:paraId="58736759"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5E5096F9"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r>
      <w:tr w:rsidR="00DB72F7" w:rsidRPr="00DB72F7" w14:paraId="2D01A853"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681AB48B"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&lt;=70</w:t>
            </w:r>
          </w:p>
        </w:tc>
        <w:tc>
          <w:tcPr>
            <w:tcW w:w="836" w:type="dxa"/>
            <w:tcBorders>
              <w:top w:val="nil"/>
              <w:left w:val="nil"/>
              <w:bottom w:val="nil"/>
              <w:right w:val="single" w:sz="4" w:space="0" w:color="auto"/>
            </w:tcBorders>
            <w:shd w:val="clear" w:color="auto" w:fill="auto"/>
            <w:noWrap/>
            <w:vAlign w:val="bottom"/>
            <w:hideMark/>
          </w:tcPr>
          <w:p w14:paraId="638D181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3</w:t>
            </w:r>
          </w:p>
        </w:tc>
        <w:tc>
          <w:tcPr>
            <w:tcW w:w="1764" w:type="dxa"/>
            <w:tcBorders>
              <w:top w:val="nil"/>
              <w:left w:val="nil"/>
              <w:bottom w:val="nil"/>
              <w:right w:val="nil"/>
            </w:tcBorders>
            <w:shd w:val="clear" w:color="auto" w:fill="auto"/>
            <w:noWrap/>
            <w:vAlign w:val="bottom"/>
            <w:hideMark/>
          </w:tcPr>
          <w:p w14:paraId="36E294F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12.5</w:t>
            </w:r>
          </w:p>
        </w:tc>
        <w:tc>
          <w:tcPr>
            <w:tcW w:w="836" w:type="dxa"/>
            <w:tcBorders>
              <w:top w:val="nil"/>
              <w:left w:val="single" w:sz="4" w:space="0" w:color="auto"/>
              <w:bottom w:val="nil"/>
              <w:right w:val="single" w:sz="4" w:space="0" w:color="auto"/>
            </w:tcBorders>
            <w:shd w:val="clear" w:color="auto" w:fill="auto"/>
            <w:noWrap/>
            <w:vAlign w:val="bottom"/>
            <w:hideMark/>
          </w:tcPr>
          <w:p w14:paraId="2D7949F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7</w:t>
            </w:r>
          </w:p>
        </w:tc>
        <w:tc>
          <w:tcPr>
            <w:tcW w:w="1764" w:type="dxa"/>
            <w:tcBorders>
              <w:top w:val="nil"/>
              <w:left w:val="nil"/>
              <w:bottom w:val="nil"/>
              <w:right w:val="single" w:sz="8" w:space="0" w:color="auto"/>
            </w:tcBorders>
            <w:shd w:val="clear" w:color="auto" w:fill="auto"/>
            <w:noWrap/>
            <w:vAlign w:val="bottom"/>
            <w:hideMark/>
          </w:tcPr>
          <w:p w14:paraId="2117E6E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29.17</w:t>
            </w:r>
          </w:p>
        </w:tc>
      </w:tr>
      <w:tr w:rsidR="00DB72F7" w:rsidRPr="00DB72F7" w14:paraId="41693795"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33A3366B"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80</w:t>
            </w:r>
          </w:p>
        </w:tc>
        <w:tc>
          <w:tcPr>
            <w:tcW w:w="836" w:type="dxa"/>
            <w:tcBorders>
              <w:top w:val="nil"/>
              <w:left w:val="nil"/>
              <w:bottom w:val="nil"/>
              <w:right w:val="single" w:sz="4" w:space="0" w:color="auto"/>
            </w:tcBorders>
            <w:shd w:val="clear" w:color="auto" w:fill="auto"/>
            <w:noWrap/>
            <w:vAlign w:val="bottom"/>
            <w:hideMark/>
          </w:tcPr>
          <w:p w14:paraId="176B7E8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10</w:t>
            </w:r>
          </w:p>
        </w:tc>
        <w:tc>
          <w:tcPr>
            <w:tcW w:w="1764" w:type="dxa"/>
            <w:tcBorders>
              <w:top w:val="nil"/>
              <w:left w:val="nil"/>
              <w:bottom w:val="nil"/>
              <w:right w:val="nil"/>
            </w:tcBorders>
            <w:shd w:val="clear" w:color="auto" w:fill="auto"/>
            <w:noWrap/>
            <w:vAlign w:val="bottom"/>
            <w:hideMark/>
          </w:tcPr>
          <w:p w14:paraId="11E23B8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41.67</w:t>
            </w:r>
          </w:p>
        </w:tc>
        <w:tc>
          <w:tcPr>
            <w:tcW w:w="836" w:type="dxa"/>
            <w:tcBorders>
              <w:top w:val="nil"/>
              <w:left w:val="single" w:sz="4" w:space="0" w:color="auto"/>
              <w:bottom w:val="nil"/>
              <w:right w:val="single" w:sz="4" w:space="0" w:color="auto"/>
            </w:tcBorders>
            <w:shd w:val="clear" w:color="auto" w:fill="auto"/>
            <w:noWrap/>
            <w:vAlign w:val="bottom"/>
            <w:hideMark/>
          </w:tcPr>
          <w:p w14:paraId="2F12FAF2"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11</w:t>
            </w:r>
          </w:p>
        </w:tc>
        <w:tc>
          <w:tcPr>
            <w:tcW w:w="1764" w:type="dxa"/>
            <w:tcBorders>
              <w:top w:val="nil"/>
              <w:left w:val="nil"/>
              <w:bottom w:val="nil"/>
              <w:right w:val="single" w:sz="8" w:space="0" w:color="auto"/>
            </w:tcBorders>
            <w:shd w:val="clear" w:color="auto" w:fill="auto"/>
            <w:noWrap/>
            <w:vAlign w:val="bottom"/>
            <w:hideMark/>
          </w:tcPr>
          <w:p w14:paraId="0631D947"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45.83</w:t>
            </w:r>
          </w:p>
        </w:tc>
      </w:tr>
      <w:tr w:rsidR="00DB72F7" w:rsidRPr="00DB72F7" w14:paraId="182C820D" w14:textId="77777777" w:rsidTr="00DB72F7">
        <w:trPr>
          <w:trHeight w:val="32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7C863135"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&gt;=90</w:t>
            </w:r>
          </w:p>
        </w:tc>
        <w:tc>
          <w:tcPr>
            <w:tcW w:w="836" w:type="dxa"/>
            <w:tcBorders>
              <w:top w:val="nil"/>
              <w:left w:val="nil"/>
              <w:bottom w:val="single" w:sz="8" w:space="0" w:color="auto"/>
              <w:right w:val="single" w:sz="4" w:space="0" w:color="auto"/>
            </w:tcBorders>
            <w:shd w:val="clear" w:color="auto" w:fill="auto"/>
            <w:noWrap/>
            <w:vAlign w:val="bottom"/>
            <w:hideMark/>
          </w:tcPr>
          <w:p w14:paraId="431AB58A"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11</w:t>
            </w:r>
          </w:p>
        </w:tc>
        <w:tc>
          <w:tcPr>
            <w:tcW w:w="1764" w:type="dxa"/>
            <w:tcBorders>
              <w:top w:val="nil"/>
              <w:left w:val="nil"/>
              <w:bottom w:val="nil"/>
              <w:right w:val="nil"/>
            </w:tcBorders>
            <w:shd w:val="clear" w:color="auto" w:fill="auto"/>
            <w:noWrap/>
            <w:vAlign w:val="bottom"/>
            <w:hideMark/>
          </w:tcPr>
          <w:p w14:paraId="72B34F90"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45.83</w:t>
            </w:r>
          </w:p>
        </w:tc>
        <w:tc>
          <w:tcPr>
            <w:tcW w:w="836" w:type="dxa"/>
            <w:tcBorders>
              <w:top w:val="nil"/>
              <w:left w:val="single" w:sz="4" w:space="0" w:color="auto"/>
              <w:bottom w:val="single" w:sz="8" w:space="0" w:color="auto"/>
              <w:right w:val="single" w:sz="4" w:space="0" w:color="auto"/>
            </w:tcBorders>
            <w:shd w:val="clear" w:color="auto" w:fill="auto"/>
            <w:noWrap/>
            <w:vAlign w:val="bottom"/>
            <w:hideMark/>
          </w:tcPr>
          <w:p w14:paraId="64003EB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6</w:t>
            </w:r>
          </w:p>
        </w:tc>
        <w:tc>
          <w:tcPr>
            <w:tcW w:w="1764" w:type="dxa"/>
            <w:tcBorders>
              <w:top w:val="nil"/>
              <w:left w:val="nil"/>
              <w:bottom w:val="nil"/>
              <w:right w:val="single" w:sz="8" w:space="0" w:color="auto"/>
            </w:tcBorders>
            <w:shd w:val="clear" w:color="auto" w:fill="auto"/>
            <w:noWrap/>
            <w:vAlign w:val="bottom"/>
            <w:hideMark/>
          </w:tcPr>
          <w:p w14:paraId="787413E7"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25</w:t>
            </w:r>
          </w:p>
        </w:tc>
      </w:tr>
      <w:tr w:rsidR="00DB72F7" w:rsidRPr="00DB72F7" w14:paraId="60C9020C" w14:textId="77777777" w:rsidTr="00DB72F7">
        <w:trPr>
          <w:trHeight w:val="320"/>
        </w:trPr>
        <w:tc>
          <w:tcPr>
            <w:tcW w:w="2600" w:type="dxa"/>
            <w:tcBorders>
              <w:top w:val="nil"/>
              <w:left w:val="single" w:sz="8" w:space="0" w:color="auto"/>
              <w:bottom w:val="single" w:sz="8" w:space="0" w:color="auto"/>
              <w:right w:val="nil"/>
            </w:tcBorders>
            <w:shd w:val="clear" w:color="auto" w:fill="auto"/>
            <w:noWrap/>
            <w:vAlign w:val="bottom"/>
            <w:hideMark/>
          </w:tcPr>
          <w:p w14:paraId="7E85ED62"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BSS</w:t>
            </w:r>
          </w:p>
        </w:tc>
        <w:tc>
          <w:tcPr>
            <w:tcW w:w="836" w:type="dxa"/>
            <w:tcBorders>
              <w:top w:val="nil"/>
              <w:left w:val="nil"/>
              <w:bottom w:val="single" w:sz="8" w:space="0" w:color="auto"/>
              <w:right w:val="nil"/>
            </w:tcBorders>
            <w:shd w:val="clear" w:color="auto" w:fill="auto"/>
            <w:noWrap/>
            <w:vAlign w:val="bottom"/>
            <w:hideMark/>
          </w:tcPr>
          <w:p w14:paraId="72F0BF6F"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nil"/>
            </w:tcBorders>
            <w:shd w:val="clear" w:color="auto" w:fill="auto"/>
            <w:noWrap/>
            <w:vAlign w:val="bottom"/>
            <w:hideMark/>
          </w:tcPr>
          <w:p w14:paraId="18ED08D3"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836" w:type="dxa"/>
            <w:tcBorders>
              <w:top w:val="nil"/>
              <w:left w:val="nil"/>
              <w:bottom w:val="single" w:sz="8" w:space="0" w:color="auto"/>
              <w:right w:val="nil"/>
            </w:tcBorders>
            <w:shd w:val="clear" w:color="auto" w:fill="auto"/>
            <w:noWrap/>
            <w:vAlign w:val="bottom"/>
            <w:hideMark/>
          </w:tcPr>
          <w:p w14:paraId="58785819"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1BD8A1EF" w14:textId="77777777" w:rsidR="00DB72F7" w:rsidRPr="00DB72F7" w:rsidRDefault="00DB72F7" w:rsidP="00DB72F7">
            <w:pPr>
              <w:rPr>
                <w:rFonts w:ascii="Calibri" w:eastAsia="Times New Roman" w:hAnsi="Calibri" w:cs="Times New Roman"/>
                <w:color w:val="000000"/>
              </w:rPr>
            </w:pPr>
            <w:r w:rsidRPr="00DB72F7">
              <w:rPr>
                <w:rFonts w:ascii="Calibri" w:eastAsia="Times New Roman" w:hAnsi="Calibri" w:cs="Times New Roman"/>
                <w:color w:val="000000"/>
              </w:rPr>
              <w:t> </w:t>
            </w:r>
          </w:p>
        </w:tc>
      </w:tr>
      <w:tr w:rsidR="00DB72F7" w:rsidRPr="00DB72F7" w14:paraId="4BC5B29B"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1A60775B"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1</w:t>
            </w:r>
          </w:p>
        </w:tc>
        <w:tc>
          <w:tcPr>
            <w:tcW w:w="836" w:type="dxa"/>
            <w:tcBorders>
              <w:top w:val="nil"/>
              <w:left w:val="nil"/>
              <w:bottom w:val="nil"/>
              <w:right w:val="single" w:sz="4" w:space="0" w:color="auto"/>
            </w:tcBorders>
            <w:shd w:val="clear" w:color="auto" w:fill="auto"/>
            <w:noWrap/>
            <w:vAlign w:val="bottom"/>
            <w:hideMark/>
          </w:tcPr>
          <w:p w14:paraId="01CF8E3E"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w:t>
            </w:r>
          </w:p>
        </w:tc>
        <w:tc>
          <w:tcPr>
            <w:tcW w:w="1764" w:type="dxa"/>
            <w:tcBorders>
              <w:top w:val="nil"/>
              <w:left w:val="nil"/>
              <w:bottom w:val="nil"/>
              <w:right w:val="single" w:sz="4" w:space="0" w:color="auto"/>
            </w:tcBorders>
            <w:shd w:val="clear" w:color="auto" w:fill="auto"/>
            <w:noWrap/>
            <w:vAlign w:val="bottom"/>
            <w:hideMark/>
          </w:tcPr>
          <w:p w14:paraId="12908C23"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20.83</w:t>
            </w:r>
          </w:p>
        </w:tc>
        <w:tc>
          <w:tcPr>
            <w:tcW w:w="836" w:type="dxa"/>
            <w:tcBorders>
              <w:top w:val="nil"/>
              <w:left w:val="nil"/>
              <w:bottom w:val="nil"/>
              <w:right w:val="single" w:sz="4" w:space="0" w:color="auto"/>
            </w:tcBorders>
            <w:shd w:val="clear" w:color="auto" w:fill="auto"/>
            <w:noWrap/>
            <w:vAlign w:val="bottom"/>
            <w:hideMark/>
          </w:tcPr>
          <w:p w14:paraId="4E5CC341"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0</w:t>
            </w:r>
          </w:p>
        </w:tc>
        <w:tc>
          <w:tcPr>
            <w:tcW w:w="1764" w:type="dxa"/>
            <w:tcBorders>
              <w:top w:val="nil"/>
              <w:left w:val="nil"/>
              <w:bottom w:val="nil"/>
              <w:right w:val="single" w:sz="8" w:space="0" w:color="auto"/>
            </w:tcBorders>
            <w:shd w:val="clear" w:color="auto" w:fill="auto"/>
            <w:noWrap/>
            <w:vAlign w:val="bottom"/>
            <w:hideMark/>
          </w:tcPr>
          <w:p w14:paraId="57BB695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0</w:t>
            </w:r>
          </w:p>
        </w:tc>
      </w:tr>
      <w:tr w:rsidR="00DB72F7" w:rsidRPr="00DB72F7" w14:paraId="413C1A27" w14:textId="77777777" w:rsidTr="00DB72F7">
        <w:trPr>
          <w:trHeight w:val="300"/>
        </w:trPr>
        <w:tc>
          <w:tcPr>
            <w:tcW w:w="2600" w:type="dxa"/>
            <w:tcBorders>
              <w:top w:val="nil"/>
              <w:left w:val="single" w:sz="8" w:space="0" w:color="auto"/>
              <w:bottom w:val="nil"/>
              <w:right w:val="single" w:sz="8" w:space="0" w:color="auto"/>
            </w:tcBorders>
            <w:shd w:val="clear" w:color="auto" w:fill="auto"/>
            <w:noWrap/>
            <w:vAlign w:val="bottom"/>
            <w:hideMark/>
          </w:tcPr>
          <w:p w14:paraId="7A61C962"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2</w:t>
            </w:r>
          </w:p>
        </w:tc>
        <w:tc>
          <w:tcPr>
            <w:tcW w:w="836" w:type="dxa"/>
            <w:tcBorders>
              <w:top w:val="nil"/>
              <w:left w:val="nil"/>
              <w:bottom w:val="nil"/>
              <w:right w:val="single" w:sz="4" w:space="0" w:color="auto"/>
            </w:tcBorders>
            <w:shd w:val="clear" w:color="auto" w:fill="auto"/>
            <w:noWrap/>
            <w:vAlign w:val="bottom"/>
            <w:hideMark/>
          </w:tcPr>
          <w:p w14:paraId="1477B615"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6</w:t>
            </w:r>
          </w:p>
        </w:tc>
        <w:tc>
          <w:tcPr>
            <w:tcW w:w="1764" w:type="dxa"/>
            <w:tcBorders>
              <w:top w:val="nil"/>
              <w:left w:val="nil"/>
              <w:bottom w:val="nil"/>
              <w:right w:val="single" w:sz="4" w:space="0" w:color="auto"/>
            </w:tcBorders>
            <w:shd w:val="clear" w:color="auto" w:fill="auto"/>
            <w:noWrap/>
            <w:vAlign w:val="bottom"/>
            <w:hideMark/>
          </w:tcPr>
          <w:p w14:paraId="4F90F24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25</w:t>
            </w:r>
          </w:p>
        </w:tc>
        <w:tc>
          <w:tcPr>
            <w:tcW w:w="836" w:type="dxa"/>
            <w:tcBorders>
              <w:top w:val="nil"/>
              <w:left w:val="nil"/>
              <w:bottom w:val="nil"/>
              <w:right w:val="single" w:sz="4" w:space="0" w:color="auto"/>
            </w:tcBorders>
            <w:shd w:val="clear" w:color="auto" w:fill="auto"/>
            <w:noWrap/>
            <w:vAlign w:val="bottom"/>
            <w:hideMark/>
          </w:tcPr>
          <w:p w14:paraId="06ACA0C3"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7</w:t>
            </w:r>
          </w:p>
        </w:tc>
        <w:tc>
          <w:tcPr>
            <w:tcW w:w="1764" w:type="dxa"/>
            <w:tcBorders>
              <w:top w:val="nil"/>
              <w:left w:val="nil"/>
              <w:bottom w:val="nil"/>
              <w:right w:val="single" w:sz="8" w:space="0" w:color="auto"/>
            </w:tcBorders>
            <w:shd w:val="clear" w:color="auto" w:fill="auto"/>
            <w:noWrap/>
            <w:vAlign w:val="bottom"/>
            <w:hideMark/>
          </w:tcPr>
          <w:p w14:paraId="27A00713"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29.17</w:t>
            </w:r>
          </w:p>
        </w:tc>
      </w:tr>
      <w:tr w:rsidR="00DB72F7" w:rsidRPr="00DB72F7" w14:paraId="1914E670" w14:textId="77777777" w:rsidTr="00DB72F7">
        <w:trPr>
          <w:trHeight w:val="32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39C41120" w14:textId="77777777" w:rsidR="00DB72F7" w:rsidRPr="00DB72F7" w:rsidRDefault="00DB72F7" w:rsidP="00DB72F7">
            <w:pPr>
              <w:rPr>
                <w:rFonts w:ascii="Calibri" w:eastAsia="Times New Roman" w:hAnsi="Calibri" w:cs="Times New Roman"/>
                <w:b/>
                <w:bCs/>
                <w:color w:val="000000"/>
              </w:rPr>
            </w:pPr>
            <w:r w:rsidRPr="00DB72F7">
              <w:rPr>
                <w:rFonts w:ascii="Calibri" w:eastAsia="Times New Roman" w:hAnsi="Calibri" w:cs="Times New Roman"/>
                <w:b/>
                <w:bCs/>
                <w:color w:val="000000"/>
              </w:rPr>
              <w:t xml:space="preserve">   3</w:t>
            </w:r>
          </w:p>
        </w:tc>
        <w:tc>
          <w:tcPr>
            <w:tcW w:w="836" w:type="dxa"/>
            <w:tcBorders>
              <w:top w:val="nil"/>
              <w:left w:val="nil"/>
              <w:bottom w:val="single" w:sz="8" w:space="0" w:color="auto"/>
              <w:right w:val="single" w:sz="4" w:space="0" w:color="auto"/>
            </w:tcBorders>
            <w:shd w:val="clear" w:color="auto" w:fill="auto"/>
            <w:noWrap/>
            <w:vAlign w:val="bottom"/>
            <w:hideMark/>
          </w:tcPr>
          <w:p w14:paraId="31D1D2FD"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13</w:t>
            </w:r>
          </w:p>
        </w:tc>
        <w:tc>
          <w:tcPr>
            <w:tcW w:w="1764" w:type="dxa"/>
            <w:tcBorders>
              <w:top w:val="nil"/>
              <w:left w:val="nil"/>
              <w:bottom w:val="single" w:sz="8" w:space="0" w:color="auto"/>
              <w:right w:val="single" w:sz="4" w:space="0" w:color="auto"/>
            </w:tcBorders>
            <w:shd w:val="clear" w:color="auto" w:fill="auto"/>
            <w:noWrap/>
            <w:vAlign w:val="bottom"/>
            <w:hideMark/>
          </w:tcPr>
          <w:p w14:paraId="59980FFF"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54.17</w:t>
            </w:r>
          </w:p>
        </w:tc>
        <w:tc>
          <w:tcPr>
            <w:tcW w:w="836" w:type="dxa"/>
            <w:tcBorders>
              <w:top w:val="nil"/>
              <w:left w:val="nil"/>
              <w:bottom w:val="single" w:sz="8" w:space="0" w:color="auto"/>
              <w:right w:val="single" w:sz="4" w:space="0" w:color="auto"/>
            </w:tcBorders>
            <w:shd w:val="clear" w:color="auto" w:fill="auto"/>
            <w:noWrap/>
            <w:vAlign w:val="bottom"/>
            <w:hideMark/>
          </w:tcPr>
          <w:p w14:paraId="39AA8C8B"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17</w:t>
            </w:r>
          </w:p>
        </w:tc>
        <w:tc>
          <w:tcPr>
            <w:tcW w:w="1764" w:type="dxa"/>
            <w:tcBorders>
              <w:top w:val="nil"/>
              <w:left w:val="nil"/>
              <w:bottom w:val="single" w:sz="8" w:space="0" w:color="auto"/>
              <w:right w:val="single" w:sz="8" w:space="0" w:color="auto"/>
            </w:tcBorders>
            <w:shd w:val="clear" w:color="auto" w:fill="auto"/>
            <w:noWrap/>
            <w:vAlign w:val="bottom"/>
            <w:hideMark/>
          </w:tcPr>
          <w:p w14:paraId="5EDE8158" w14:textId="77777777" w:rsidR="00DB72F7" w:rsidRPr="00DB72F7" w:rsidRDefault="00DB72F7" w:rsidP="00DB72F7">
            <w:pPr>
              <w:jc w:val="right"/>
              <w:rPr>
                <w:rFonts w:ascii="Calibri" w:eastAsia="Times New Roman" w:hAnsi="Calibri" w:cs="Times New Roman"/>
                <w:color w:val="000000"/>
              </w:rPr>
            </w:pPr>
            <w:r w:rsidRPr="00DB72F7">
              <w:rPr>
                <w:rFonts w:ascii="Calibri" w:eastAsia="Times New Roman" w:hAnsi="Calibri" w:cs="Times New Roman"/>
                <w:color w:val="000000"/>
              </w:rPr>
              <w:t>62.5</w:t>
            </w:r>
          </w:p>
        </w:tc>
      </w:tr>
    </w:tbl>
    <w:p w14:paraId="51D90584" w14:textId="77777777" w:rsidR="004A7B80" w:rsidRDefault="004A7B80" w:rsidP="004A7B80"/>
    <w:p w14:paraId="0DB586F4" w14:textId="77777777" w:rsidR="007E40B6" w:rsidRPr="007E40B6" w:rsidRDefault="007E40B6" w:rsidP="007E40B6">
      <w:pPr>
        <w:ind w:left="720"/>
      </w:pPr>
    </w:p>
    <w:p w14:paraId="0806E4A2" w14:textId="77777777" w:rsidR="004D6235" w:rsidRDefault="007E40B6" w:rsidP="004D6235">
      <w:pPr>
        <w:numPr>
          <w:ilvl w:val="0"/>
          <w:numId w:val="1"/>
        </w:numPr>
      </w:pPr>
      <w:r w:rsidRPr="007E40B6">
        <w:t>Perform 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14:paraId="0B7DD1DA" w14:textId="77777777" w:rsidR="004D6235" w:rsidRPr="007E40B6" w:rsidRDefault="004D6235" w:rsidP="004D6235">
      <w:pPr>
        <w:ind w:left="720"/>
      </w:pPr>
    </w:p>
    <w:p w14:paraId="74E8581B" w14:textId="77777777" w:rsidR="007E40B6" w:rsidRDefault="007E40B6" w:rsidP="007E40B6">
      <w:pPr>
        <w:numPr>
          <w:ilvl w:val="1"/>
          <w:numId w:val="1"/>
        </w:numPr>
      </w:pPr>
      <w:commentRangeStart w:id="4"/>
      <w:r w:rsidRPr="007E40B6">
        <w:t>Perform</w:t>
      </w:r>
      <w:commentRangeEnd w:id="4"/>
      <w:r w:rsidR="001131A3">
        <w:rPr>
          <w:rStyle w:val="CommentReference"/>
        </w:rPr>
        <w:commentReference w:id="4"/>
      </w:r>
      <w:r w:rsidRPr="007E40B6">
        <w:t xml:space="preserve"> an adjusted logistic regression comparing the odds of relapse within 24 months across groups defined by the nadir PSA level when modeled as a continuous, untransformed variable. </w:t>
      </w:r>
    </w:p>
    <w:p w14:paraId="108901B1" w14:textId="77777777" w:rsidR="00E24645" w:rsidRDefault="00E24645" w:rsidP="00E24645"/>
    <w:p w14:paraId="73129CC5" w14:textId="77777777" w:rsidR="00E24645" w:rsidRDefault="00E24645" w:rsidP="00E24645">
      <w:pPr>
        <w:jc w:val="both"/>
      </w:pPr>
      <w:r>
        <w:lastRenderedPageBreak/>
        <w:t xml:space="preserve">After adjusting for performance status and bone scan score, for every one </w:t>
      </w:r>
      <w:proofErr w:type="spellStart"/>
      <w:r>
        <w:t>ng</w:t>
      </w:r>
      <w:proofErr w:type="spellEnd"/>
      <w:r>
        <w:t xml:space="preserve">/ml increase in nadir PSA, the odds ratio of relapse within 24 months was 1.034 (0.943-1.133), but this odds ratio was non-significant (p=0.476). </w:t>
      </w:r>
    </w:p>
    <w:p w14:paraId="2C15179F" w14:textId="77777777" w:rsidR="00E24645" w:rsidRDefault="00E24645" w:rsidP="00E24645"/>
    <w:p w14:paraId="4037F186" w14:textId="77777777" w:rsidR="004966E1" w:rsidRPr="007E40B6" w:rsidRDefault="004966E1" w:rsidP="004D6235">
      <w:pPr>
        <w:ind w:left="1440"/>
      </w:pPr>
    </w:p>
    <w:p w14:paraId="3D397573" w14:textId="77777777" w:rsidR="007E40B6" w:rsidRDefault="007E40B6" w:rsidP="007E40B6">
      <w:pPr>
        <w:numPr>
          <w:ilvl w:val="1"/>
          <w:numId w:val="1"/>
        </w:numPr>
      </w:pPr>
      <w:commentRangeStart w:id="5"/>
      <w:r w:rsidRPr="007E40B6">
        <w:t>Perform</w:t>
      </w:r>
      <w:commentRangeEnd w:id="5"/>
      <w:r w:rsidR="001131A3">
        <w:rPr>
          <w:rStyle w:val="CommentReference"/>
        </w:rPr>
        <w:commentReference w:id="5"/>
      </w:r>
      <w:r w:rsidRPr="007E40B6">
        <w:t xml:space="preserve"> an adjusted logistic regression comparing the odds of relapse within 24 months across groups defined by the nadir PSA level when modeled as a continuous, log transformed variable. </w:t>
      </w:r>
    </w:p>
    <w:p w14:paraId="605B9976" w14:textId="77777777" w:rsidR="00E24645" w:rsidRDefault="00E24645" w:rsidP="00E24645"/>
    <w:p w14:paraId="351B3828" w14:textId="77777777" w:rsidR="00E24645" w:rsidRDefault="00E24645" w:rsidP="00E24645">
      <w:pPr>
        <w:jc w:val="both"/>
      </w:pPr>
      <w:r>
        <w:t xml:space="preserve">After adjusting for performance status and bone scan score, for every 2.72-fold (e) increase in nadir PSA, the odds ratio of relapse within 24 months was 2.36 (1.268-4.402), and this odds ratio was significant (p=0.007). </w:t>
      </w:r>
    </w:p>
    <w:p w14:paraId="70462CC5" w14:textId="77777777" w:rsidR="00E24645" w:rsidRPr="007E40B6" w:rsidRDefault="00E24645" w:rsidP="00E24645"/>
    <w:p w14:paraId="4F308464" w14:textId="77777777" w:rsidR="007E40B6" w:rsidRDefault="007E40B6" w:rsidP="007E40B6">
      <w:pPr>
        <w:numPr>
          <w:ilvl w:val="1"/>
          <w:numId w:val="1"/>
        </w:numPr>
      </w:pPr>
      <w:commentRangeStart w:id="6"/>
      <w:r w:rsidRPr="007E40B6">
        <w:t>Perform</w:t>
      </w:r>
      <w:commentRangeEnd w:id="6"/>
      <w:r w:rsidR="001131A3">
        <w:rPr>
          <w:rStyle w:val="CommentReference"/>
        </w:rPr>
        <w:commentReference w:id="6"/>
      </w:r>
      <w:r w:rsidRPr="007E40B6">
        <w:t xml:space="preserve"> an adjusted logistic regression comparing the odds of relapse within 24 months across groups defined by the nadir PSA level when modeled as linear splines with knots at 1, 4, and </w:t>
      </w:r>
      <w:proofErr w:type="gramStart"/>
      <w:r w:rsidRPr="007E40B6">
        <w:t xml:space="preserve">16 </w:t>
      </w:r>
      <w:proofErr w:type="spellStart"/>
      <w:r w:rsidRPr="007E40B6">
        <w:t>ng</w:t>
      </w:r>
      <w:proofErr w:type="spellEnd"/>
      <w:r w:rsidRPr="007E40B6">
        <w:t>/ml</w:t>
      </w:r>
      <w:proofErr w:type="gramEnd"/>
      <w:r w:rsidRPr="007E40B6">
        <w:t xml:space="preserve">. </w:t>
      </w:r>
    </w:p>
    <w:p w14:paraId="1353CFDD" w14:textId="77777777" w:rsidR="00E24645" w:rsidRDefault="00E24645" w:rsidP="00E24645"/>
    <w:p w14:paraId="115A1B78" w14:textId="77777777" w:rsidR="00E24645" w:rsidRDefault="00E24645" w:rsidP="00E24645">
      <w:pPr>
        <w:jc w:val="both"/>
      </w:pPr>
      <w:r>
        <w:t xml:space="preserve">After adjusting for performance status and bone scan score, for every one </w:t>
      </w:r>
      <w:proofErr w:type="spellStart"/>
      <w:r>
        <w:t>ng</w:t>
      </w:r>
      <w:proofErr w:type="spellEnd"/>
      <w:r>
        <w:t xml:space="preserve">/ml increase in nadir PSA when </w:t>
      </w:r>
      <w:r w:rsidR="00B7052C">
        <w:t xml:space="preserve">nadir PSA is </w:t>
      </w:r>
      <w:r>
        <w:t xml:space="preserve">&lt;1, the odds ratio of relapse within 24 months was </w:t>
      </w:r>
      <w:r w:rsidR="00B7052C">
        <w:t>significant (p=0.031) at 29.67 (96% CI: 1.359-645.633</w:t>
      </w:r>
      <w:r>
        <w:t>)</w:t>
      </w:r>
      <w:r w:rsidR="00B7052C">
        <w:t xml:space="preserve">, for every one </w:t>
      </w:r>
      <w:proofErr w:type="spellStart"/>
      <w:r w:rsidR="00B7052C">
        <w:t>ng</w:t>
      </w:r>
      <w:proofErr w:type="spellEnd"/>
      <w:r w:rsidR="00B7052C">
        <w:t xml:space="preserve">/ml increase in nadir PSA when nadir PSA is between 1 and </w:t>
      </w:r>
      <w:r w:rsidR="00824407">
        <w:t>&lt;</w:t>
      </w:r>
      <w:r w:rsidR="00B7052C">
        <w:t>4, the odds ratio of relapse within 24 months was non-significant (p=0.845) at 0.90 (95% CI: 0.327</w:t>
      </w:r>
      <w:r w:rsidR="00824407">
        <w:t>-2.496</w:t>
      </w:r>
      <w:r w:rsidR="00B7052C">
        <w:t xml:space="preserve">), </w:t>
      </w:r>
      <w:r w:rsidR="00824407">
        <w:t xml:space="preserve">for every one </w:t>
      </w:r>
      <w:proofErr w:type="spellStart"/>
      <w:r w:rsidR="00824407">
        <w:t>ng</w:t>
      </w:r>
      <w:proofErr w:type="spellEnd"/>
      <w:r w:rsidR="00824407">
        <w:t xml:space="preserve">/ml increase in nadir PSA when nadir PSA is between 4 and &lt;16, the odds ratio of relapse within 24 months was non-significant (p=0.096) at  1.37 (95% CI: 0.944-2.017), for every one </w:t>
      </w:r>
      <w:proofErr w:type="spellStart"/>
      <w:r w:rsidR="00824407">
        <w:t>ng</w:t>
      </w:r>
      <w:proofErr w:type="spellEnd"/>
      <w:r w:rsidR="00824407">
        <w:t>/ml increase in nadir PSA when nadir PSA is 16 or higher, the odds ratio of relapse within 24 months was significant (p=0.043) at  0.98 (95% CI: 0.964-0.999).</w:t>
      </w:r>
    </w:p>
    <w:p w14:paraId="48DC7753" w14:textId="77777777" w:rsidR="00E24645" w:rsidRPr="007E40B6" w:rsidRDefault="00E24645" w:rsidP="00E24645"/>
    <w:p w14:paraId="4CDA95DA" w14:textId="77777777" w:rsidR="007E40B6" w:rsidRDefault="007E40B6" w:rsidP="007E40B6">
      <w:pPr>
        <w:numPr>
          <w:ilvl w:val="1"/>
          <w:numId w:val="1"/>
        </w:numPr>
      </w:pPr>
      <w:commentRangeStart w:id="7"/>
      <w:r w:rsidRPr="007E40B6">
        <w:t>For</w:t>
      </w:r>
      <w:commentRangeEnd w:id="7"/>
      <w:r w:rsidR="001131A3">
        <w:rPr>
          <w:rStyle w:val="CommentReference"/>
        </w:rPr>
        <w:commentReference w:id="7"/>
      </w:r>
      <w:r w:rsidRPr="007E40B6">
        <w:t xml:space="preserve"> each of the above regression models, provide an interpretation of the intercept.</w:t>
      </w:r>
    </w:p>
    <w:p w14:paraId="78B398D8" w14:textId="77777777" w:rsidR="00E847AD" w:rsidRDefault="00E847AD" w:rsidP="00E847AD"/>
    <w:p w14:paraId="1CFB8FB5" w14:textId="77777777" w:rsidR="00E847AD" w:rsidRDefault="00E847AD" w:rsidP="00E847AD">
      <w:r>
        <w:t>For 2a: the intercept is the odds of relapse within 24 mont</w:t>
      </w:r>
      <w:r w:rsidR="0041211F">
        <w:t>hs for subjects with a PSA of 0 when bone scan score and performance status are 0.</w:t>
      </w:r>
    </w:p>
    <w:p w14:paraId="79C4C255" w14:textId="77777777" w:rsidR="005E33C8" w:rsidRDefault="005E33C8" w:rsidP="00E847AD"/>
    <w:p w14:paraId="0C601DD5" w14:textId="77777777" w:rsidR="00E847AD" w:rsidRDefault="00E847AD" w:rsidP="00E847AD">
      <w:r>
        <w:t>For 2b: the intercept</w:t>
      </w:r>
      <w:r w:rsidR="005E33C8">
        <w:t xml:space="preserve"> is the odds of relapse within 24 months for subjects with a PSA of 0 when bone scan score and performance status are 0.</w:t>
      </w:r>
    </w:p>
    <w:p w14:paraId="5E653E08" w14:textId="77777777" w:rsidR="005E33C8" w:rsidRDefault="005E33C8" w:rsidP="00E847AD"/>
    <w:p w14:paraId="6D09A7F3" w14:textId="77777777" w:rsidR="005E33C8" w:rsidRDefault="005E33C8" w:rsidP="00E847AD">
      <w:r>
        <w:t>For 2c: the intercept is the odds of relapse within 24 mont</w:t>
      </w:r>
      <w:r w:rsidR="0041211F">
        <w:t>hs for subjects with a PSA of 0 when bone scan score and performance status are 0.</w:t>
      </w:r>
    </w:p>
    <w:p w14:paraId="267CF676" w14:textId="77777777" w:rsidR="007E40B6" w:rsidRPr="007E40B6" w:rsidRDefault="007E40B6" w:rsidP="007E40B6">
      <w:pPr>
        <w:ind w:left="1440"/>
      </w:pPr>
    </w:p>
    <w:p w14:paraId="2307D6F9" w14:textId="77777777" w:rsidR="007E40B6" w:rsidRDefault="007E40B6" w:rsidP="007E40B6">
      <w:pPr>
        <w:numPr>
          <w:ilvl w:val="0"/>
          <w:numId w:val="1"/>
        </w:numPr>
      </w:pPr>
      <w:r w:rsidRPr="007E40B6">
        <w:t>In this longitudinal study, we could instead have considered the “reverse” analyses in which nadir PSA is used as the response and the predictor is the indicator of relapse within 24 months.</w:t>
      </w:r>
    </w:p>
    <w:p w14:paraId="7ECEDA95" w14:textId="77777777" w:rsidR="004D6235" w:rsidRPr="007E40B6" w:rsidRDefault="004D6235" w:rsidP="004D6235">
      <w:pPr>
        <w:ind w:left="720"/>
      </w:pPr>
    </w:p>
    <w:p w14:paraId="60A474F2" w14:textId="77777777" w:rsidR="007E40B6" w:rsidRDefault="007E40B6" w:rsidP="007E40B6">
      <w:pPr>
        <w:numPr>
          <w:ilvl w:val="1"/>
          <w:numId w:val="1"/>
        </w:numPr>
      </w:pPr>
      <w:commentRangeStart w:id="8"/>
      <w:r w:rsidRPr="007E40B6">
        <w:t>Perform</w:t>
      </w:r>
      <w:commentRangeEnd w:id="8"/>
      <w:r w:rsidR="001131A3">
        <w:rPr>
          <w:rStyle w:val="CommentReference"/>
        </w:rPr>
        <w:commentReference w:id="8"/>
      </w:r>
      <w:r w:rsidRPr="007E40B6">
        <w:t xml:space="preserve"> linear regression analyses to determine whether there is an association between mean nadir PSA level and relapse within 24 </w:t>
      </w:r>
      <w:r w:rsidRPr="007E40B6">
        <w:lastRenderedPageBreak/>
        <w:t xml:space="preserve">months after adjustment for bone scan score and performance status. Make clear the statistical analysis you perform. Provide full statistical inference for your measure of association.  </w:t>
      </w:r>
    </w:p>
    <w:p w14:paraId="20275AA2" w14:textId="77777777" w:rsidR="00321FE3" w:rsidRDefault="00321FE3" w:rsidP="00321FE3"/>
    <w:p w14:paraId="20CCAFDA" w14:textId="77777777" w:rsidR="00321FE3" w:rsidRDefault="0041211F" w:rsidP="00321FE3">
      <w:r>
        <w:t>After adjusting for performance status and bone scan score, w</w:t>
      </w:r>
      <w:r w:rsidR="00CF1A92">
        <w:t xml:space="preserve">hen comparing people that had a relapse within 24 months with those who didn’t, PSA was 23.5 </w:t>
      </w:r>
      <w:proofErr w:type="spellStart"/>
      <w:r w:rsidR="00CF1A92">
        <w:t>ng</w:t>
      </w:r>
      <w:proofErr w:type="spellEnd"/>
      <w:r w:rsidR="00CF1A92">
        <w:t xml:space="preserve">/ml </w:t>
      </w:r>
      <w:commentRangeStart w:id="9"/>
      <w:r w:rsidR="00CF1A92">
        <w:t xml:space="preserve">higher </w:t>
      </w:r>
      <w:commentRangeEnd w:id="9"/>
      <w:r w:rsidR="001131A3">
        <w:rPr>
          <w:rStyle w:val="CommentReference"/>
        </w:rPr>
        <w:commentReference w:id="9"/>
      </w:r>
      <w:r w:rsidR="00CF1A92">
        <w:t>(95% CI: 0.476-46.558). This association was significant (p=0.046).</w:t>
      </w:r>
    </w:p>
    <w:p w14:paraId="6782FE1B" w14:textId="77777777" w:rsidR="00321FE3" w:rsidRPr="007E40B6" w:rsidRDefault="00321FE3" w:rsidP="00321FE3"/>
    <w:p w14:paraId="275B4FB1" w14:textId="77777777" w:rsidR="007E40B6" w:rsidRDefault="007E40B6" w:rsidP="007E40B6">
      <w:pPr>
        <w:numPr>
          <w:ilvl w:val="1"/>
          <w:numId w:val="1"/>
        </w:numPr>
      </w:pPr>
      <w:commentRangeStart w:id="10"/>
      <w:r w:rsidRPr="007E40B6">
        <w:t>Perform</w:t>
      </w:r>
      <w:commentRangeEnd w:id="10"/>
      <w:r w:rsidR="001131A3">
        <w:rPr>
          <w:rStyle w:val="CommentReference"/>
        </w:rPr>
        <w:commentReference w:id="10"/>
      </w:r>
      <w:r w:rsidRPr="007E40B6">
        <w:t xml:space="preserve"> linear regression analyses to determine whether there is an association between geometric mean nadir PSA level and relapse within 24 months after adjustment for bone scan score and performance status. Make clear the statistical analysis you perform. Provide full statistical inference for your measure of association. (Recall that inference on the geometric mean is obtained by performing linear regression on log transformed response variables.)</w:t>
      </w:r>
    </w:p>
    <w:p w14:paraId="750CF2C5" w14:textId="77777777" w:rsidR="00321FE3" w:rsidRDefault="00321FE3" w:rsidP="00321FE3"/>
    <w:p w14:paraId="0CCA559F" w14:textId="77777777" w:rsidR="00321FE3" w:rsidRDefault="0041211F" w:rsidP="00321FE3">
      <w:r>
        <w:t>After adjusting for performance status and bone scan score, w</w:t>
      </w:r>
      <w:r w:rsidR="00CF1A92">
        <w:t xml:space="preserve">hen comparing subjects who relapsed within 24 months with those who didn’t, </w:t>
      </w:r>
      <w:r w:rsidR="00414A82">
        <w:t xml:space="preserve">the </w:t>
      </w:r>
      <w:commentRangeStart w:id="11"/>
      <w:r w:rsidR="00414A82">
        <w:t xml:space="preserve">PSA </w:t>
      </w:r>
      <w:commentRangeEnd w:id="11"/>
      <w:r w:rsidR="001131A3">
        <w:rPr>
          <w:rStyle w:val="CommentReference"/>
        </w:rPr>
        <w:commentReference w:id="11"/>
      </w:r>
      <w:r w:rsidR="00414A82">
        <w:t>was 13.66 times higher (95% CI: 4.130-45.163). This association was significant (p&lt;0.001).</w:t>
      </w:r>
    </w:p>
    <w:p w14:paraId="49437786" w14:textId="77777777" w:rsidR="007E40B6" w:rsidRPr="007E40B6" w:rsidRDefault="007E40B6" w:rsidP="007E40B6">
      <w:pPr>
        <w:ind w:left="1440"/>
      </w:pPr>
    </w:p>
    <w:p w14:paraId="3C4D2373" w14:textId="77777777" w:rsidR="007E40B6" w:rsidRDefault="007E40B6" w:rsidP="007E40B6">
      <w:pPr>
        <w:numPr>
          <w:ilvl w:val="0"/>
          <w:numId w:val="1"/>
        </w:numPr>
      </w:pPr>
      <w:r w:rsidRPr="007E40B6">
        <w:t>Consider the analyses performed in problems 2 and 3 above.</w:t>
      </w:r>
    </w:p>
    <w:p w14:paraId="7655CF76" w14:textId="77777777" w:rsidR="004D6235" w:rsidRPr="007E40B6" w:rsidRDefault="004D6235" w:rsidP="004D6235">
      <w:pPr>
        <w:ind w:left="720"/>
      </w:pPr>
    </w:p>
    <w:p w14:paraId="5504D628" w14:textId="77777777" w:rsidR="007E40B6" w:rsidRDefault="007E40B6" w:rsidP="007E40B6">
      <w:pPr>
        <w:numPr>
          <w:ilvl w:val="1"/>
          <w:numId w:val="1"/>
        </w:numPr>
      </w:pPr>
      <w:commentRangeStart w:id="12"/>
      <w:r w:rsidRPr="007E40B6">
        <w:t>What</w:t>
      </w:r>
      <w:commentRangeEnd w:id="12"/>
      <w:r w:rsidR="001131A3">
        <w:rPr>
          <w:rStyle w:val="CommentReference"/>
        </w:rPr>
        <w:commentReference w:id="12"/>
      </w:r>
      <w:r w:rsidRPr="007E40B6">
        <w:t xml:space="preserve"> are the relative merits of the five </w:t>
      </w:r>
      <w:proofErr w:type="gramStart"/>
      <w:r w:rsidRPr="007E40B6">
        <w:t>analyses.</w:t>
      </w:r>
      <w:proofErr w:type="gramEnd"/>
      <w:r w:rsidRPr="007E40B6">
        <w:t xml:space="preserve"> Which might you prefer </w:t>
      </w:r>
      <w:r w:rsidRPr="007E40B6">
        <w:rPr>
          <w:i/>
        </w:rPr>
        <w:t>a priori</w:t>
      </w:r>
      <w:r w:rsidRPr="007E40B6">
        <w:t>? Why?</w:t>
      </w:r>
    </w:p>
    <w:p w14:paraId="359892C6" w14:textId="77777777" w:rsidR="00414A82" w:rsidRDefault="00414A82" w:rsidP="00414A82"/>
    <w:p w14:paraId="39439264" w14:textId="77777777" w:rsidR="00414A82" w:rsidRDefault="00414A82" w:rsidP="00414A82">
      <w:r>
        <w:t>The logistic models have an intrinsic advantage when using a binary outcome because it deals with probabilities. We will not use a priori the linear models in question 3 because they don’t address a clinically relevant question: you want to predict relapse based on your nadir PSA and not all the way around</w:t>
      </w:r>
      <w:r w:rsidR="0041211F">
        <w:t>. The linear spline model is neither the best one</w:t>
      </w:r>
      <w:r>
        <w:t xml:space="preserve"> because its </w:t>
      </w:r>
      <w:commentRangeStart w:id="13"/>
      <w:r>
        <w:t xml:space="preserve">effect is mainly limited to the first spline, </w:t>
      </w:r>
      <w:commentRangeEnd w:id="13"/>
      <w:r w:rsidR="001131A3">
        <w:rPr>
          <w:rStyle w:val="CommentReference"/>
        </w:rPr>
        <w:commentReference w:id="13"/>
      </w:r>
      <w:r>
        <w:t>and there are better alternatives. Be</w:t>
      </w:r>
      <w:r w:rsidR="0041211F">
        <w:t>tween the logistic models using nadir PSA and log nadir PSA as predictors of interest, I would prefer the first one, because from a clinical standpoint additive changes in your PSA are more relevant.</w:t>
      </w:r>
    </w:p>
    <w:p w14:paraId="7053E5B6" w14:textId="77777777" w:rsidR="00414A82" w:rsidRPr="007E40B6" w:rsidRDefault="00414A82" w:rsidP="00414A82"/>
    <w:p w14:paraId="5DA059B9" w14:textId="77777777" w:rsidR="007E40B6" w:rsidRPr="007E40B6" w:rsidRDefault="007E40B6" w:rsidP="007E40B6">
      <w:pPr>
        <w:numPr>
          <w:ilvl w:val="1"/>
          <w:numId w:val="1"/>
        </w:numPr>
      </w:pPr>
      <w:commentRangeStart w:id="14"/>
      <w:r w:rsidRPr="007E40B6">
        <w:t>All</w:t>
      </w:r>
      <w:commentRangeEnd w:id="14"/>
      <w:r w:rsidR="001131A3">
        <w:rPr>
          <w:rStyle w:val="CommentReference"/>
        </w:rPr>
        <w:commentReference w:id="14"/>
      </w:r>
      <w:r w:rsidRPr="007E40B6">
        <w:t xml:space="preserve"> of these analyses suffer from a serious definitional problem inherent in this study. Can you deduce this problem? (Hint: There is no analysis that you can do to address this problem. It is a problem with the study design.)</w:t>
      </w:r>
    </w:p>
    <w:p w14:paraId="6B9EE98B" w14:textId="77777777" w:rsidR="00E83724" w:rsidRDefault="00E83724"/>
    <w:p w14:paraId="4A726372" w14:textId="77777777" w:rsidR="0041211F" w:rsidRDefault="0041211F">
      <w:r>
        <w:t>The problem is inherent in the observational nature of this study</w:t>
      </w:r>
      <w:r w:rsidR="0034271B">
        <w:t xml:space="preserve"> (a retrospective cohort)</w:t>
      </w:r>
      <w:r>
        <w:t>. Although you can control for confounding, like we did for bone scan score and performance status, there is always some residual confounding or non-observed confounders that can affect this association. Another problem is that the prediction of clinical outcomes based on biomarkers is not susceptible to randomization</w:t>
      </w:r>
      <w:r w:rsidR="0034271B">
        <w:t xml:space="preserve">, which would be the ideal assessment of a clinical question. A final problem would be the temporary relation of the predictors of interest and outcome </w:t>
      </w:r>
      <w:r w:rsidR="0034271B">
        <w:lastRenderedPageBreak/>
        <w:t xml:space="preserve">variables, although it is unlikely that a relapse within those two years preceded the nadir PSA.   </w:t>
      </w:r>
    </w:p>
    <w:sectPr w:rsidR="0041211F" w:rsidSect="007D622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vid Benkeser" w:date="2013-12-16T11:02:00Z" w:initials="DB">
    <w:p w14:paraId="16FE6FE6" w14:textId="33C359A3" w:rsidR="001131A3" w:rsidRDefault="001131A3">
      <w:pPr>
        <w:pStyle w:val="CommentText"/>
      </w:pPr>
      <w:r>
        <w:rPr>
          <w:rStyle w:val="CommentReference"/>
        </w:rPr>
        <w:annotationRef/>
      </w:r>
      <w:r>
        <w:t>Total Grade: 44/50</w:t>
      </w:r>
      <w:bookmarkStart w:id="1" w:name="_GoBack"/>
      <w:bookmarkEnd w:id="1"/>
    </w:p>
  </w:comment>
  <w:comment w:id="2" w:author="David Benkeser" w:date="2013-12-16T10:59:00Z" w:initials="DB">
    <w:p w14:paraId="2F30D9C7" w14:textId="53594AA5" w:rsidR="001131A3" w:rsidRDefault="001131A3">
      <w:pPr>
        <w:pStyle w:val="CommentText"/>
      </w:pPr>
      <w:r>
        <w:rPr>
          <w:rStyle w:val="CommentReference"/>
        </w:rPr>
        <w:annotationRef/>
      </w:r>
      <w:r>
        <w:t>5/5</w:t>
      </w:r>
    </w:p>
  </w:comment>
  <w:comment w:id="3" w:author="David Benkeser" w:date="2013-12-16T10:59:00Z" w:initials="DB">
    <w:p w14:paraId="2CFFE08E" w14:textId="3C9B5C4D" w:rsidR="001131A3" w:rsidRDefault="001131A3">
      <w:pPr>
        <w:pStyle w:val="CommentText"/>
      </w:pPr>
      <w:r>
        <w:rPr>
          <w:rStyle w:val="CommentReference"/>
        </w:rPr>
        <w:annotationRef/>
      </w:r>
      <w:r>
        <w:t xml:space="preserve">Probably want more coarse categorization </w:t>
      </w:r>
    </w:p>
  </w:comment>
  <w:comment w:id="4" w:author="David Benkeser" w:date="2013-12-16T11:00:00Z" w:initials="DB">
    <w:p w14:paraId="239175A2" w14:textId="4E17931C" w:rsidR="001131A3" w:rsidRDefault="001131A3">
      <w:pPr>
        <w:pStyle w:val="CommentText"/>
      </w:pPr>
      <w:r>
        <w:rPr>
          <w:rStyle w:val="CommentReference"/>
        </w:rPr>
        <w:annotationRef/>
      </w:r>
      <w:r>
        <w:t>5/5</w:t>
      </w:r>
    </w:p>
  </w:comment>
  <w:comment w:id="5" w:author="David Benkeser" w:date="2013-12-16T11:00:00Z" w:initials="DB">
    <w:p w14:paraId="7973672B" w14:textId="3C2AB681" w:rsidR="001131A3" w:rsidRDefault="001131A3">
      <w:pPr>
        <w:pStyle w:val="CommentText"/>
      </w:pPr>
      <w:r>
        <w:rPr>
          <w:rStyle w:val="CommentReference"/>
        </w:rPr>
        <w:annotationRef/>
      </w:r>
      <w:r>
        <w:t>5/5</w:t>
      </w:r>
    </w:p>
  </w:comment>
  <w:comment w:id="6" w:author="David Benkeser" w:date="2013-12-16T11:00:00Z" w:initials="DB">
    <w:p w14:paraId="55A05790" w14:textId="3A145A6F" w:rsidR="001131A3" w:rsidRDefault="001131A3">
      <w:pPr>
        <w:pStyle w:val="CommentText"/>
      </w:pPr>
      <w:r>
        <w:rPr>
          <w:rStyle w:val="CommentReference"/>
        </w:rPr>
        <w:annotationRef/>
      </w:r>
      <w:r>
        <w:t xml:space="preserve">3/5 </w:t>
      </w:r>
    </w:p>
    <w:p w14:paraId="19B9CFCE" w14:textId="77777777" w:rsidR="001131A3" w:rsidRDefault="001131A3">
      <w:pPr>
        <w:pStyle w:val="CommentText"/>
      </w:pPr>
    </w:p>
    <w:p w14:paraId="4DA8529F" w14:textId="7F4AC816" w:rsidR="001131A3" w:rsidRDefault="001131A3">
      <w:pPr>
        <w:pStyle w:val="CommentText"/>
      </w:pPr>
      <w:r>
        <w:t xml:space="preserve">Graphical presentation would be nice. Also a test of joint significance. </w:t>
      </w:r>
    </w:p>
  </w:comment>
  <w:comment w:id="7" w:author="David Benkeser" w:date="2013-12-16T11:00:00Z" w:initials="DB">
    <w:p w14:paraId="39DE19C9" w14:textId="65E14B97" w:rsidR="001131A3" w:rsidRDefault="001131A3">
      <w:pPr>
        <w:pStyle w:val="CommentText"/>
      </w:pPr>
      <w:r>
        <w:rPr>
          <w:rStyle w:val="CommentReference"/>
        </w:rPr>
        <w:annotationRef/>
      </w:r>
      <w:r>
        <w:t>5/5</w:t>
      </w:r>
    </w:p>
  </w:comment>
  <w:comment w:id="8" w:author="David Benkeser" w:date="2013-12-16T11:01:00Z" w:initials="DB">
    <w:p w14:paraId="75398A4D" w14:textId="13CDDD69" w:rsidR="001131A3" w:rsidRDefault="001131A3">
      <w:pPr>
        <w:pStyle w:val="CommentText"/>
      </w:pPr>
      <w:r>
        <w:rPr>
          <w:rStyle w:val="CommentReference"/>
        </w:rPr>
        <w:annotationRef/>
      </w:r>
      <w:r>
        <w:t>4/5</w:t>
      </w:r>
    </w:p>
  </w:comment>
  <w:comment w:id="9" w:author="David Benkeser" w:date="2013-12-16T11:01:00Z" w:initials="DB">
    <w:p w14:paraId="0F1DBB45" w14:textId="0D118C21" w:rsidR="001131A3" w:rsidRDefault="001131A3">
      <w:pPr>
        <w:pStyle w:val="CommentText"/>
      </w:pPr>
      <w:r>
        <w:rPr>
          <w:rStyle w:val="CommentReference"/>
        </w:rPr>
        <w:annotationRef/>
      </w:r>
      <w:r>
        <w:t>In which group?</w:t>
      </w:r>
    </w:p>
  </w:comment>
  <w:comment w:id="10" w:author="David Benkeser" w:date="2013-12-16T11:01:00Z" w:initials="DB">
    <w:p w14:paraId="3FBE73E1" w14:textId="5A2DE9FC" w:rsidR="001131A3" w:rsidRDefault="001131A3">
      <w:pPr>
        <w:pStyle w:val="CommentText"/>
      </w:pPr>
      <w:r>
        <w:rPr>
          <w:rStyle w:val="CommentReference"/>
        </w:rPr>
        <w:annotationRef/>
      </w:r>
      <w:r>
        <w:t>4/5</w:t>
      </w:r>
    </w:p>
  </w:comment>
  <w:comment w:id="11" w:author="David Benkeser" w:date="2013-12-16T11:01:00Z" w:initials="DB">
    <w:p w14:paraId="5BB3B2D9" w14:textId="52A28468" w:rsidR="001131A3" w:rsidRDefault="001131A3">
      <w:pPr>
        <w:pStyle w:val="CommentText"/>
      </w:pPr>
      <w:r>
        <w:rPr>
          <w:rStyle w:val="CommentReference"/>
        </w:rPr>
        <w:annotationRef/>
      </w:r>
      <w:r>
        <w:t>Geometric mean PSA</w:t>
      </w:r>
    </w:p>
  </w:comment>
  <w:comment w:id="12" w:author="David Benkeser" w:date="2013-12-16T11:02:00Z" w:initials="DB">
    <w:p w14:paraId="6B216D9A" w14:textId="6C1D47BE" w:rsidR="001131A3" w:rsidRDefault="001131A3">
      <w:pPr>
        <w:pStyle w:val="CommentText"/>
      </w:pPr>
      <w:r>
        <w:rPr>
          <w:rStyle w:val="CommentReference"/>
        </w:rPr>
        <w:annotationRef/>
      </w:r>
      <w:r>
        <w:t xml:space="preserve">8/10 </w:t>
      </w:r>
    </w:p>
  </w:comment>
  <w:comment w:id="13" w:author="David Benkeser" w:date="2013-12-16T11:02:00Z" w:initials="DB">
    <w:p w14:paraId="2E7661B5" w14:textId="6AA8DC89" w:rsidR="001131A3" w:rsidRDefault="001131A3">
      <w:pPr>
        <w:pStyle w:val="CommentText"/>
      </w:pPr>
      <w:r>
        <w:rPr>
          <w:rStyle w:val="CommentReference"/>
        </w:rPr>
        <w:annotationRef/>
      </w:r>
      <w:r>
        <w:t xml:space="preserve">But what if that is actually where all the “action is”. Increases from small values to slightly less small values confer huge risk, but beyond that not much additional risk is conferred. </w:t>
      </w:r>
    </w:p>
  </w:comment>
  <w:comment w:id="14" w:author="David Benkeser" w:date="2013-12-16T11:02:00Z" w:initials="DB">
    <w:p w14:paraId="3A56462D" w14:textId="105E9172" w:rsidR="001131A3" w:rsidRDefault="001131A3">
      <w:pPr>
        <w:pStyle w:val="CommentText"/>
      </w:pPr>
      <w:r>
        <w:rPr>
          <w:rStyle w:val="CommentReference"/>
        </w:rPr>
        <w:annotationRef/>
      </w:r>
      <w:r>
        <w:t>5/5</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24"/>
    <w:rsid w:val="001131A3"/>
    <w:rsid w:val="0022460E"/>
    <w:rsid w:val="00321FE3"/>
    <w:rsid w:val="0034271B"/>
    <w:rsid w:val="0041211F"/>
    <w:rsid w:val="00414A82"/>
    <w:rsid w:val="004966E1"/>
    <w:rsid w:val="004A7B80"/>
    <w:rsid w:val="004D6235"/>
    <w:rsid w:val="004F6115"/>
    <w:rsid w:val="005E33C8"/>
    <w:rsid w:val="00673D4A"/>
    <w:rsid w:val="007D6229"/>
    <w:rsid w:val="007E40B6"/>
    <w:rsid w:val="00824407"/>
    <w:rsid w:val="00B7052C"/>
    <w:rsid w:val="00C70979"/>
    <w:rsid w:val="00CF1A92"/>
    <w:rsid w:val="00D2694B"/>
    <w:rsid w:val="00DB72F7"/>
    <w:rsid w:val="00E24645"/>
    <w:rsid w:val="00E83724"/>
    <w:rsid w:val="00E847AD"/>
    <w:rsid w:val="00FD179A"/>
    <w:rsid w:val="00FE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12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0E"/>
    <w:pPr>
      <w:ind w:left="720"/>
      <w:contextualSpacing/>
    </w:pPr>
  </w:style>
  <w:style w:type="character" w:styleId="CommentReference">
    <w:name w:val="annotation reference"/>
    <w:basedOn w:val="DefaultParagraphFont"/>
    <w:uiPriority w:val="99"/>
    <w:semiHidden/>
    <w:unhideWhenUsed/>
    <w:rsid w:val="001131A3"/>
    <w:rPr>
      <w:sz w:val="16"/>
      <w:szCs w:val="16"/>
    </w:rPr>
  </w:style>
  <w:style w:type="paragraph" w:styleId="CommentText">
    <w:name w:val="annotation text"/>
    <w:basedOn w:val="Normal"/>
    <w:link w:val="CommentTextChar"/>
    <w:uiPriority w:val="99"/>
    <w:semiHidden/>
    <w:unhideWhenUsed/>
    <w:rsid w:val="001131A3"/>
    <w:rPr>
      <w:sz w:val="20"/>
      <w:szCs w:val="20"/>
    </w:rPr>
  </w:style>
  <w:style w:type="character" w:customStyle="1" w:styleId="CommentTextChar">
    <w:name w:val="Comment Text Char"/>
    <w:basedOn w:val="DefaultParagraphFont"/>
    <w:link w:val="CommentText"/>
    <w:uiPriority w:val="99"/>
    <w:semiHidden/>
    <w:rsid w:val="001131A3"/>
    <w:rPr>
      <w:sz w:val="20"/>
      <w:szCs w:val="20"/>
    </w:rPr>
  </w:style>
  <w:style w:type="paragraph" w:styleId="CommentSubject">
    <w:name w:val="annotation subject"/>
    <w:basedOn w:val="CommentText"/>
    <w:next w:val="CommentText"/>
    <w:link w:val="CommentSubjectChar"/>
    <w:uiPriority w:val="99"/>
    <w:semiHidden/>
    <w:unhideWhenUsed/>
    <w:rsid w:val="001131A3"/>
    <w:rPr>
      <w:b/>
      <w:bCs/>
    </w:rPr>
  </w:style>
  <w:style w:type="character" w:customStyle="1" w:styleId="CommentSubjectChar">
    <w:name w:val="Comment Subject Char"/>
    <w:basedOn w:val="CommentTextChar"/>
    <w:link w:val="CommentSubject"/>
    <w:uiPriority w:val="99"/>
    <w:semiHidden/>
    <w:rsid w:val="001131A3"/>
    <w:rPr>
      <w:b/>
      <w:bCs/>
      <w:sz w:val="20"/>
      <w:szCs w:val="20"/>
    </w:rPr>
  </w:style>
  <w:style w:type="paragraph" w:styleId="BalloonText">
    <w:name w:val="Balloon Text"/>
    <w:basedOn w:val="Normal"/>
    <w:link w:val="BalloonTextChar"/>
    <w:uiPriority w:val="99"/>
    <w:semiHidden/>
    <w:unhideWhenUsed/>
    <w:rsid w:val="001131A3"/>
    <w:rPr>
      <w:rFonts w:ascii="Tahoma" w:hAnsi="Tahoma" w:cs="Tahoma"/>
      <w:sz w:val="16"/>
      <w:szCs w:val="16"/>
    </w:rPr>
  </w:style>
  <w:style w:type="character" w:customStyle="1" w:styleId="BalloonTextChar">
    <w:name w:val="Balloon Text Char"/>
    <w:basedOn w:val="DefaultParagraphFont"/>
    <w:link w:val="BalloonText"/>
    <w:uiPriority w:val="99"/>
    <w:semiHidden/>
    <w:rsid w:val="001131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0E"/>
    <w:pPr>
      <w:ind w:left="720"/>
      <w:contextualSpacing/>
    </w:pPr>
  </w:style>
  <w:style w:type="character" w:styleId="CommentReference">
    <w:name w:val="annotation reference"/>
    <w:basedOn w:val="DefaultParagraphFont"/>
    <w:uiPriority w:val="99"/>
    <w:semiHidden/>
    <w:unhideWhenUsed/>
    <w:rsid w:val="001131A3"/>
    <w:rPr>
      <w:sz w:val="16"/>
      <w:szCs w:val="16"/>
    </w:rPr>
  </w:style>
  <w:style w:type="paragraph" w:styleId="CommentText">
    <w:name w:val="annotation text"/>
    <w:basedOn w:val="Normal"/>
    <w:link w:val="CommentTextChar"/>
    <w:uiPriority w:val="99"/>
    <w:semiHidden/>
    <w:unhideWhenUsed/>
    <w:rsid w:val="001131A3"/>
    <w:rPr>
      <w:sz w:val="20"/>
      <w:szCs w:val="20"/>
    </w:rPr>
  </w:style>
  <w:style w:type="character" w:customStyle="1" w:styleId="CommentTextChar">
    <w:name w:val="Comment Text Char"/>
    <w:basedOn w:val="DefaultParagraphFont"/>
    <w:link w:val="CommentText"/>
    <w:uiPriority w:val="99"/>
    <w:semiHidden/>
    <w:rsid w:val="001131A3"/>
    <w:rPr>
      <w:sz w:val="20"/>
      <w:szCs w:val="20"/>
    </w:rPr>
  </w:style>
  <w:style w:type="paragraph" w:styleId="CommentSubject">
    <w:name w:val="annotation subject"/>
    <w:basedOn w:val="CommentText"/>
    <w:next w:val="CommentText"/>
    <w:link w:val="CommentSubjectChar"/>
    <w:uiPriority w:val="99"/>
    <w:semiHidden/>
    <w:unhideWhenUsed/>
    <w:rsid w:val="001131A3"/>
    <w:rPr>
      <w:b/>
      <w:bCs/>
    </w:rPr>
  </w:style>
  <w:style w:type="character" w:customStyle="1" w:styleId="CommentSubjectChar">
    <w:name w:val="Comment Subject Char"/>
    <w:basedOn w:val="CommentTextChar"/>
    <w:link w:val="CommentSubject"/>
    <w:uiPriority w:val="99"/>
    <w:semiHidden/>
    <w:rsid w:val="001131A3"/>
    <w:rPr>
      <w:b/>
      <w:bCs/>
      <w:sz w:val="20"/>
      <w:szCs w:val="20"/>
    </w:rPr>
  </w:style>
  <w:style w:type="paragraph" w:styleId="BalloonText">
    <w:name w:val="Balloon Text"/>
    <w:basedOn w:val="Normal"/>
    <w:link w:val="BalloonTextChar"/>
    <w:uiPriority w:val="99"/>
    <w:semiHidden/>
    <w:unhideWhenUsed/>
    <w:rsid w:val="001131A3"/>
    <w:rPr>
      <w:rFonts w:ascii="Tahoma" w:hAnsi="Tahoma" w:cs="Tahoma"/>
      <w:sz w:val="16"/>
      <w:szCs w:val="16"/>
    </w:rPr>
  </w:style>
  <w:style w:type="character" w:customStyle="1" w:styleId="BalloonTextChar">
    <w:name w:val="Balloon Text Char"/>
    <w:basedOn w:val="DefaultParagraphFont"/>
    <w:link w:val="BalloonText"/>
    <w:uiPriority w:val="99"/>
    <w:semiHidden/>
    <w:rsid w:val="00113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728803">
      <w:bodyDiv w:val="1"/>
      <w:marLeft w:val="0"/>
      <w:marRight w:val="0"/>
      <w:marTop w:val="0"/>
      <w:marBottom w:val="0"/>
      <w:divBdr>
        <w:top w:val="none" w:sz="0" w:space="0" w:color="auto"/>
        <w:left w:val="none" w:sz="0" w:space="0" w:color="auto"/>
        <w:bottom w:val="none" w:sz="0" w:space="0" w:color="auto"/>
        <w:right w:val="none" w:sz="0" w:space="0" w:color="auto"/>
      </w:divBdr>
    </w:div>
    <w:div w:id="1502041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Gallego</dc:creator>
  <cp:lastModifiedBy>David Benkeser</cp:lastModifiedBy>
  <cp:revision>2</cp:revision>
  <dcterms:created xsi:type="dcterms:W3CDTF">2013-12-16T19:03:00Z</dcterms:created>
  <dcterms:modified xsi:type="dcterms:W3CDTF">2013-12-16T19:03:00Z</dcterms:modified>
</cp:coreProperties>
</file>