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EFC" w:rsidRDefault="001F4FA2">
      <w:commentRangeStart w:id="0"/>
      <w:proofErr w:type="spellStart"/>
      <w:r>
        <w:t>Biostat</w:t>
      </w:r>
      <w:proofErr w:type="spellEnd"/>
      <w:r>
        <w:t xml:space="preserve"> </w:t>
      </w:r>
      <w:commentRangeEnd w:id="0"/>
      <w:r w:rsidR="008613F8">
        <w:rPr>
          <w:rStyle w:val="CommentReference"/>
        </w:rPr>
        <w:commentReference w:id="0"/>
      </w:r>
      <w:r>
        <w:t>536 Homework 3</w:t>
      </w:r>
    </w:p>
    <w:p w:rsidR="001F4FA2" w:rsidRDefault="001F4FA2"/>
    <w:p w:rsidR="001F4FA2" w:rsidRDefault="001F4FA2" w:rsidP="001F4FA2">
      <w:pPr>
        <w:pStyle w:val="ListParagraph"/>
        <w:numPr>
          <w:ilvl w:val="0"/>
          <w:numId w:val="1"/>
        </w:numPr>
      </w:pPr>
      <w:commentRangeStart w:id="2"/>
      <w:r>
        <w:t>Descriptive</w:t>
      </w:r>
      <w:commentRangeEnd w:id="2"/>
      <w:r w:rsidR="008613F8">
        <w:rPr>
          <w:rStyle w:val="CommentReference"/>
        </w:rPr>
        <w:commentReference w:id="2"/>
      </w:r>
      <w:r>
        <w:t xml:space="preserve"> statistics of data:</w:t>
      </w:r>
    </w:p>
    <w:tbl>
      <w:tblPr>
        <w:tblStyle w:val="TableGrid"/>
        <w:tblW w:w="9576" w:type="dxa"/>
        <w:tblLook w:val="04A0" w:firstRow="1" w:lastRow="0" w:firstColumn="1" w:lastColumn="0" w:noHBand="0" w:noVBand="1"/>
      </w:tblPr>
      <w:tblGrid>
        <w:gridCol w:w="4338"/>
        <w:gridCol w:w="1170"/>
        <w:gridCol w:w="1530"/>
        <w:gridCol w:w="1260"/>
        <w:gridCol w:w="1278"/>
      </w:tblGrid>
      <w:tr w:rsidR="00B42594" w:rsidTr="001E02C6">
        <w:tc>
          <w:tcPr>
            <w:tcW w:w="4338" w:type="dxa"/>
          </w:tcPr>
          <w:p w:rsidR="00B42594" w:rsidRPr="001F4FA2" w:rsidRDefault="00B42594" w:rsidP="001F4FA2">
            <w:pPr>
              <w:jc w:val="center"/>
              <w:rPr>
                <w:b/>
              </w:rPr>
            </w:pPr>
          </w:p>
        </w:tc>
        <w:tc>
          <w:tcPr>
            <w:tcW w:w="2700" w:type="dxa"/>
            <w:gridSpan w:val="2"/>
          </w:tcPr>
          <w:p w:rsidR="00B42594" w:rsidRPr="001F4FA2" w:rsidRDefault="00BB32BD" w:rsidP="001F4FA2">
            <w:pPr>
              <w:jc w:val="center"/>
              <w:rPr>
                <w:b/>
              </w:rPr>
            </w:pPr>
            <w:r>
              <w:rPr>
                <w:b/>
              </w:rPr>
              <w:t>No remission for &gt;24mo</w:t>
            </w:r>
          </w:p>
        </w:tc>
        <w:tc>
          <w:tcPr>
            <w:tcW w:w="2538" w:type="dxa"/>
            <w:gridSpan w:val="2"/>
          </w:tcPr>
          <w:p w:rsidR="00B42594" w:rsidRPr="001F4FA2" w:rsidRDefault="002954D4" w:rsidP="00BB32BD">
            <w:pPr>
              <w:jc w:val="center"/>
              <w:rPr>
                <w:b/>
              </w:rPr>
            </w:pPr>
            <w:r>
              <w:rPr>
                <w:b/>
              </w:rPr>
              <w:t>Remission</w:t>
            </w:r>
            <w:r w:rsidR="001E02C6">
              <w:rPr>
                <w:b/>
              </w:rPr>
              <w:t xml:space="preserve"> </w:t>
            </w:r>
            <w:r w:rsidR="00BB32BD">
              <w:rPr>
                <w:b/>
              </w:rPr>
              <w:t>within 24mo</w:t>
            </w:r>
          </w:p>
        </w:tc>
      </w:tr>
      <w:tr w:rsidR="00B42594" w:rsidTr="001E02C6">
        <w:tc>
          <w:tcPr>
            <w:tcW w:w="4338" w:type="dxa"/>
          </w:tcPr>
          <w:p w:rsidR="00B42594" w:rsidRPr="001F4FA2" w:rsidRDefault="00B42594" w:rsidP="001F4FA2">
            <w:pPr>
              <w:jc w:val="center"/>
              <w:rPr>
                <w:b/>
              </w:rPr>
            </w:pPr>
            <w:r w:rsidRPr="001F4FA2">
              <w:rPr>
                <w:b/>
              </w:rPr>
              <w:t>Variable</w:t>
            </w:r>
          </w:p>
        </w:tc>
        <w:tc>
          <w:tcPr>
            <w:tcW w:w="1170" w:type="dxa"/>
          </w:tcPr>
          <w:p w:rsidR="00B42594" w:rsidRPr="001F4FA2" w:rsidRDefault="00B42594" w:rsidP="001F4FA2">
            <w:pPr>
              <w:jc w:val="center"/>
              <w:rPr>
                <w:b/>
              </w:rPr>
            </w:pPr>
            <w:r w:rsidRPr="001F4FA2">
              <w:rPr>
                <w:b/>
              </w:rPr>
              <w:t>Mean</w:t>
            </w:r>
          </w:p>
        </w:tc>
        <w:tc>
          <w:tcPr>
            <w:tcW w:w="1530" w:type="dxa"/>
          </w:tcPr>
          <w:p w:rsidR="00B42594" w:rsidRPr="001F4FA2" w:rsidRDefault="00B42594" w:rsidP="001F4FA2">
            <w:pPr>
              <w:jc w:val="center"/>
              <w:rPr>
                <w:b/>
              </w:rPr>
            </w:pPr>
            <w:r w:rsidRPr="001F4FA2">
              <w:rPr>
                <w:b/>
              </w:rPr>
              <w:t>Standard Deviation</w:t>
            </w:r>
          </w:p>
        </w:tc>
        <w:tc>
          <w:tcPr>
            <w:tcW w:w="1260" w:type="dxa"/>
          </w:tcPr>
          <w:p w:rsidR="00B42594" w:rsidRPr="001F4FA2" w:rsidRDefault="00B42594" w:rsidP="001F4FA2">
            <w:pPr>
              <w:jc w:val="center"/>
              <w:rPr>
                <w:b/>
              </w:rPr>
            </w:pPr>
            <w:r w:rsidRPr="001F4FA2">
              <w:rPr>
                <w:b/>
              </w:rPr>
              <w:t>Mean</w:t>
            </w:r>
          </w:p>
        </w:tc>
        <w:tc>
          <w:tcPr>
            <w:tcW w:w="1278" w:type="dxa"/>
          </w:tcPr>
          <w:p w:rsidR="00B42594" w:rsidRPr="001F4FA2" w:rsidRDefault="00B42594" w:rsidP="001F4FA2">
            <w:pPr>
              <w:jc w:val="center"/>
              <w:rPr>
                <w:b/>
              </w:rPr>
            </w:pPr>
            <w:r w:rsidRPr="001F4FA2">
              <w:rPr>
                <w:b/>
              </w:rPr>
              <w:t>Standard Deviation</w:t>
            </w:r>
          </w:p>
        </w:tc>
      </w:tr>
      <w:tr w:rsidR="00B42594" w:rsidTr="001E02C6">
        <w:tc>
          <w:tcPr>
            <w:tcW w:w="4338" w:type="dxa"/>
          </w:tcPr>
          <w:p w:rsidR="00B42594" w:rsidRDefault="00B42594" w:rsidP="001F4FA2">
            <w:pPr>
              <w:jc w:val="center"/>
            </w:pPr>
            <w:r>
              <w:t xml:space="preserve">Nadir (of PSA levels after treatment in </w:t>
            </w:r>
            <w:proofErr w:type="spellStart"/>
            <w:r>
              <w:t>ng</w:t>
            </w:r>
            <w:proofErr w:type="spellEnd"/>
            <w:r>
              <w:t>/mL)</w:t>
            </w:r>
          </w:p>
        </w:tc>
        <w:tc>
          <w:tcPr>
            <w:tcW w:w="1170" w:type="dxa"/>
          </w:tcPr>
          <w:p w:rsidR="00B42594" w:rsidRDefault="001E02C6" w:rsidP="001E02C6">
            <w:pPr>
              <w:jc w:val="center"/>
            </w:pPr>
            <w:r>
              <w:t>4.12</w:t>
            </w:r>
            <w:r w:rsidRPr="001E02C6">
              <w:t xml:space="preserve">   </w:t>
            </w:r>
          </w:p>
        </w:tc>
        <w:tc>
          <w:tcPr>
            <w:tcW w:w="1530" w:type="dxa"/>
          </w:tcPr>
          <w:p w:rsidR="00B42594" w:rsidRDefault="001E02C6" w:rsidP="001F4FA2">
            <w:pPr>
              <w:jc w:val="center"/>
            </w:pPr>
            <w:r>
              <w:t>17.28</w:t>
            </w:r>
            <w:r w:rsidRPr="001E02C6">
              <w:t xml:space="preserve">  </w:t>
            </w:r>
          </w:p>
        </w:tc>
        <w:tc>
          <w:tcPr>
            <w:tcW w:w="1260" w:type="dxa"/>
          </w:tcPr>
          <w:p w:rsidR="00B42594" w:rsidRDefault="001E02C6" w:rsidP="001E02C6">
            <w:pPr>
              <w:jc w:val="center"/>
            </w:pPr>
            <w:r>
              <w:t>31.94</w:t>
            </w:r>
            <w:r w:rsidRPr="001E02C6">
              <w:t xml:space="preserve">    </w:t>
            </w:r>
          </w:p>
        </w:tc>
        <w:tc>
          <w:tcPr>
            <w:tcW w:w="1278" w:type="dxa"/>
          </w:tcPr>
          <w:p w:rsidR="00B42594" w:rsidRDefault="001E02C6" w:rsidP="001F4FA2">
            <w:pPr>
              <w:jc w:val="center"/>
            </w:pPr>
            <w:r>
              <w:t>52.50</w:t>
            </w:r>
          </w:p>
        </w:tc>
      </w:tr>
      <w:tr w:rsidR="00B42594" w:rsidTr="001E02C6">
        <w:tc>
          <w:tcPr>
            <w:tcW w:w="4338" w:type="dxa"/>
          </w:tcPr>
          <w:p w:rsidR="00B42594" w:rsidRDefault="00B42594" w:rsidP="001F4FA2">
            <w:pPr>
              <w:jc w:val="center"/>
            </w:pPr>
            <w:commentRangeStart w:id="3"/>
            <w:proofErr w:type="spellStart"/>
            <w:r>
              <w:t>Pretx</w:t>
            </w:r>
            <w:proofErr w:type="spellEnd"/>
            <w:r>
              <w:t xml:space="preserve"> </w:t>
            </w:r>
            <w:commentRangeEnd w:id="3"/>
            <w:r w:rsidR="008613F8">
              <w:rPr>
                <w:rStyle w:val="CommentReference"/>
              </w:rPr>
              <w:commentReference w:id="3"/>
            </w:r>
            <w:r>
              <w:t xml:space="preserve">(Pretreatment PSA level in </w:t>
            </w:r>
            <w:proofErr w:type="spellStart"/>
            <w:r>
              <w:t>ng</w:t>
            </w:r>
            <w:proofErr w:type="spellEnd"/>
            <w:r>
              <w:t>/mL</w:t>
            </w:r>
          </w:p>
        </w:tc>
        <w:tc>
          <w:tcPr>
            <w:tcW w:w="1170" w:type="dxa"/>
          </w:tcPr>
          <w:p w:rsidR="00B42594" w:rsidRDefault="001E02C6" w:rsidP="001E02C6">
            <w:pPr>
              <w:jc w:val="center"/>
            </w:pPr>
            <w:r>
              <w:t>617.19</w:t>
            </w:r>
            <w:r w:rsidRPr="001E02C6">
              <w:t xml:space="preserve">  </w:t>
            </w:r>
          </w:p>
        </w:tc>
        <w:tc>
          <w:tcPr>
            <w:tcW w:w="1530" w:type="dxa"/>
          </w:tcPr>
          <w:p w:rsidR="00B42594" w:rsidRDefault="001E02C6" w:rsidP="001F4FA2">
            <w:pPr>
              <w:jc w:val="center"/>
            </w:pPr>
            <w:r w:rsidRPr="001E02C6">
              <w:t xml:space="preserve">1252.08  </w:t>
            </w:r>
          </w:p>
        </w:tc>
        <w:tc>
          <w:tcPr>
            <w:tcW w:w="1260" w:type="dxa"/>
          </w:tcPr>
          <w:p w:rsidR="00B42594" w:rsidRDefault="001E02C6" w:rsidP="001E02C6">
            <w:pPr>
              <w:jc w:val="center"/>
            </w:pPr>
            <w:r w:rsidRPr="001E02C6">
              <w:t xml:space="preserve">732.35    </w:t>
            </w:r>
          </w:p>
        </w:tc>
        <w:tc>
          <w:tcPr>
            <w:tcW w:w="1278" w:type="dxa"/>
          </w:tcPr>
          <w:p w:rsidR="00B42594" w:rsidRDefault="001E02C6" w:rsidP="001F4FA2">
            <w:pPr>
              <w:jc w:val="center"/>
            </w:pPr>
            <w:r>
              <w:t>1357.34</w:t>
            </w:r>
          </w:p>
        </w:tc>
      </w:tr>
      <w:tr w:rsidR="00B42594" w:rsidTr="001E02C6">
        <w:tc>
          <w:tcPr>
            <w:tcW w:w="4338" w:type="dxa"/>
          </w:tcPr>
          <w:p w:rsidR="00B42594" w:rsidRDefault="00B42594" w:rsidP="001F4FA2">
            <w:pPr>
              <w:jc w:val="center"/>
            </w:pPr>
            <w:r>
              <w:t>PS (Ambulatory score [100=best])</w:t>
            </w:r>
          </w:p>
        </w:tc>
        <w:tc>
          <w:tcPr>
            <w:tcW w:w="1170" w:type="dxa"/>
          </w:tcPr>
          <w:p w:rsidR="00B42594" w:rsidRDefault="001E02C6" w:rsidP="001E02C6">
            <w:pPr>
              <w:jc w:val="center"/>
            </w:pPr>
            <w:r>
              <w:t>83.93</w:t>
            </w:r>
            <w:r w:rsidRPr="001E02C6">
              <w:t xml:space="preserve">  </w:t>
            </w:r>
          </w:p>
        </w:tc>
        <w:tc>
          <w:tcPr>
            <w:tcW w:w="1530" w:type="dxa"/>
          </w:tcPr>
          <w:p w:rsidR="00B42594" w:rsidRDefault="001E02C6" w:rsidP="001F4FA2">
            <w:pPr>
              <w:jc w:val="center"/>
            </w:pPr>
            <w:r>
              <w:t>9.56</w:t>
            </w:r>
            <w:r w:rsidRPr="001E02C6">
              <w:t xml:space="preserve">   </w:t>
            </w:r>
          </w:p>
        </w:tc>
        <w:tc>
          <w:tcPr>
            <w:tcW w:w="1260" w:type="dxa"/>
          </w:tcPr>
          <w:p w:rsidR="00B42594" w:rsidRDefault="001E02C6" w:rsidP="001E02C6">
            <w:pPr>
              <w:jc w:val="center"/>
            </w:pPr>
            <w:r>
              <w:t>76.50</w:t>
            </w:r>
            <w:r w:rsidRPr="001E02C6">
              <w:t xml:space="preserve">  </w:t>
            </w:r>
          </w:p>
        </w:tc>
        <w:tc>
          <w:tcPr>
            <w:tcW w:w="1278" w:type="dxa"/>
          </w:tcPr>
          <w:p w:rsidR="00B42594" w:rsidRDefault="001E02C6" w:rsidP="001F4FA2">
            <w:pPr>
              <w:jc w:val="center"/>
            </w:pPr>
            <w:r>
              <w:t>11.82</w:t>
            </w:r>
            <w:r w:rsidRPr="001E02C6">
              <w:t xml:space="preserve"> </w:t>
            </w:r>
          </w:p>
        </w:tc>
      </w:tr>
      <w:tr w:rsidR="00B42594" w:rsidTr="001E02C6">
        <w:tc>
          <w:tcPr>
            <w:tcW w:w="4338" w:type="dxa"/>
          </w:tcPr>
          <w:p w:rsidR="00B42594" w:rsidRDefault="00B42594" w:rsidP="001F4FA2">
            <w:pPr>
              <w:jc w:val="center"/>
            </w:pPr>
            <w:r>
              <w:t>BSS (Metastasis score [1=least metastasis])</w:t>
            </w:r>
          </w:p>
        </w:tc>
        <w:tc>
          <w:tcPr>
            <w:tcW w:w="1170" w:type="dxa"/>
          </w:tcPr>
          <w:p w:rsidR="00B42594" w:rsidRDefault="001E02C6" w:rsidP="001E02C6">
            <w:pPr>
              <w:jc w:val="center"/>
            </w:pPr>
            <w:r>
              <w:t>2.32</w:t>
            </w:r>
            <w:r w:rsidRPr="001E02C6">
              <w:t xml:space="preserve">   </w:t>
            </w:r>
          </w:p>
        </w:tc>
        <w:tc>
          <w:tcPr>
            <w:tcW w:w="1530" w:type="dxa"/>
          </w:tcPr>
          <w:p w:rsidR="00B42594" w:rsidRDefault="001E02C6" w:rsidP="001F4FA2">
            <w:pPr>
              <w:jc w:val="center"/>
            </w:pPr>
            <w:r>
              <w:t>0.77</w:t>
            </w:r>
            <w:r w:rsidRPr="001E02C6">
              <w:t xml:space="preserve">    </w:t>
            </w:r>
          </w:p>
        </w:tc>
        <w:tc>
          <w:tcPr>
            <w:tcW w:w="1260" w:type="dxa"/>
          </w:tcPr>
          <w:p w:rsidR="00B42594" w:rsidRDefault="001E02C6" w:rsidP="001E02C6">
            <w:pPr>
              <w:jc w:val="center"/>
            </w:pPr>
            <w:r>
              <w:t>2.80</w:t>
            </w:r>
            <w:r w:rsidRPr="001E02C6">
              <w:t xml:space="preserve"> </w:t>
            </w:r>
          </w:p>
        </w:tc>
        <w:tc>
          <w:tcPr>
            <w:tcW w:w="1278" w:type="dxa"/>
          </w:tcPr>
          <w:p w:rsidR="00B42594" w:rsidRDefault="001E02C6" w:rsidP="001F4FA2">
            <w:pPr>
              <w:jc w:val="center"/>
            </w:pPr>
            <w:r>
              <w:t>0.41</w:t>
            </w:r>
          </w:p>
        </w:tc>
      </w:tr>
      <w:tr w:rsidR="00B42594" w:rsidTr="001E02C6">
        <w:tc>
          <w:tcPr>
            <w:tcW w:w="4338" w:type="dxa"/>
          </w:tcPr>
          <w:p w:rsidR="00B42594" w:rsidRDefault="00B42594" w:rsidP="001F4FA2">
            <w:pPr>
              <w:jc w:val="center"/>
            </w:pPr>
            <w:r>
              <w:t>Grade (Tumor grade [1=least aggressive])</w:t>
            </w:r>
          </w:p>
        </w:tc>
        <w:tc>
          <w:tcPr>
            <w:tcW w:w="1170" w:type="dxa"/>
          </w:tcPr>
          <w:p w:rsidR="00B42594" w:rsidRDefault="001E02C6" w:rsidP="001E02C6">
            <w:pPr>
              <w:jc w:val="center"/>
            </w:pPr>
            <w:r>
              <w:t>2.08</w:t>
            </w:r>
            <w:r w:rsidRPr="001E02C6">
              <w:t xml:space="preserve">   </w:t>
            </w:r>
          </w:p>
        </w:tc>
        <w:tc>
          <w:tcPr>
            <w:tcW w:w="1530" w:type="dxa"/>
          </w:tcPr>
          <w:p w:rsidR="00B42594" w:rsidRDefault="001E02C6" w:rsidP="001F4FA2">
            <w:pPr>
              <w:jc w:val="center"/>
            </w:pPr>
            <w:r>
              <w:t>0.83</w:t>
            </w:r>
            <w:r w:rsidRPr="001E02C6">
              <w:t xml:space="preserve">   </w:t>
            </w:r>
          </w:p>
        </w:tc>
        <w:tc>
          <w:tcPr>
            <w:tcW w:w="1260" w:type="dxa"/>
          </w:tcPr>
          <w:p w:rsidR="00B42594" w:rsidRDefault="001E02C6" w:rsidP="001E02C6">
            <w:pPr>
              <w:jc w:val="center"/>
            </w:pPr>
            <w:r>
              <w:t>2.24</w:t>
            </w:r>
            <w:r w:rsidRPr="001E02C6">
              <w:t xml:space="preserve">    </w:t>
            </w:r>
          </w:p>
        </w:tc>
        <w:tc>
          <w:tcPr>
            <w:tcW w:w="1278" w:type="dxa"/>
          </w:tcPr>
          <w:p w:rsidR="00B42594" w:rsidRDefault="001E02C6" w:rsidP="001F4FA2">
            <w:pPr>
              <w:jc w:val="center"/>
            </w:pPr>
            <w:r>
              <w:t>0.75</w:t>
            </w:r>
          </w:p>
        </w:tc>
      </w:tr>
      <w:tr w:rsidR="00B42594" w:rsidTr="001E02C6">
        <w:tc>
          <w:tcPr>
            <w:tcW w:w="4338" w:type="dxa"/>
          </w:tcPr>
          <w:p w:rsidR="00B42594" w:rsidRDefault="00B42594" w:rsidP="001F4FA2">
            <w:pPr>
              <w:jc w:val="center"/>
            </w:pPr>
            <w:r>
              <w:t>Age (years)</w:t>
            </w:r>
          </w:p>
        </w:tc>
        <w:tc>
          <w:tcPr>
            <w:tcW w:w="1170" w:type="dxa"/>
          </w:tcPr>
          <w:p w:rsidR="00B42594" w:rsidRDefault="001E02C6" w:rsidP="001E02C6">
            <w:pPr>
              <w:jc w:val="center"/>
            </w:pPr>
            <w:r>
              <w:t>66.71</w:t>
            </w:r>
            <w:r w:rsidRPr="001E02C6">
              <w:t xml:space="preserve">   </w:t>
            </w:r>
          </w:p>
        </w:tc>
        <w:tc>
          <w:tcPr>
            <w:tcW w:w="1530" w:type="dxa"/>
          </w:tcPr>
          <w:p w:rsidR="00B42594" w:rsidRDefault="001E02C6" w:rsidP="001F4FA2">
            <w:pPr>
              <w:jc w:val="center"/>
            </w:pPr>
            <w:r>
              <w:t>5.84</w:t>
            </w:r>
          </w:p>
        </w:tc>
        <w:tc>
          <w:tcPr>
            <w:tcW w:w="1260" w:type="dxa"/>
          </w:tcPr>
          <w:p w:rsidR="00B42594" w:rsidRDefault="001E02C6" w:rsidP="001E02C6">
            <w:pPr>
              <w:jc w:val="center"/>
            </w:pPr>
            <w:r>
              <w:t>68.36</w:t>
            </w:r>
            <w:r w:rsidRPr="001E02C6">
              <w:t xml:space="preserve">   </w:t>
            </w:r>
          </w:p>
        </w:tc>
        <w:tc>
          <w:tcPr>
            <w:tcW w:w="1278" w:type="dxa"/>
          </w:tcPr>
          <w:p w:rsidR="00B42594" w:rsidRDefault="001E02C6" w:rsidP="001F4FA2">
            <w:pPr>
              <w:jc w:val="center"/>
            </w:pPr>
            <w:r>
              <w:t>5.68</w:t>
            </w:r>
          </w:p>
        </w:tc>
      </w:tr>
      <w:tr w:rsidR="00B42594" w:rsidTr="001E02C6">
        <w:tc>
          <w:tcPr>
            <w:tcW w:w="4338" w:type="dxa"/>
          </w:tcPr>
          <w:p w:rsidR="00B42594" w:rsidRDefault="00B42594" w:rsidP="001F4FA2">
            <w:pPr>
              <w:jc w:val="center"/>
            </w:pPr>
            <w:proofErr w:type="spellStart"/>
            <w:r>
              <w:t>Obstime</w:t>
            </w:r>
            <w:proofErr w:type="spellEnd"/>
            <w:r>
              <w:t xml:space="preserve"> (Observed remission in months)</w:t>
            </w:r>
          </w:p>
        </w:tc>
        <w:tc>
          <w:tcPr>
            <w:tcW w:w="1170" w:type="dxa"/>
          </w:tcPr>
          <w:p w:rsidR="00B42594" w:rsidRDefault="001E02C6" w:rsidP="001E02C6">
            <w:pPr>
              <w:jc w:val="center"/>
            </w:pPr>
            <w:r>
              <w:t>42.07</w:t>
            </w:r>
            <w:r w:rsidRPr="001E02C6">
              <w:t xml:space="preserve">   </w:t>
            </w:r>
          </w:p>
        </w:tc>
        <w:tc>
          <w:tcPr>
            <w:tcW w:w="1530" w:type="dxa"/>
          </w:tcPr>
          <w:p w:rsidR="00B42594" w:rsidRDefault="001E02C6" w:rsidP="001F4FA2">
            <w:pPr>
              <w:jc w:val="center"/>
            </w:pPr>
            <w:r>
              <w:t>12.05</w:t>
            </w:r>
          </w:p>
        </w:tc>
        <w:tc>
          <w:tcPr>
            <w:tcW w:w="1260" w:type="dxa"/>
          </w:tcPr>
          <w:p w:rsidR="00B42594" w:rsidRDefault="001E02C6" w:rsidP="001E02C6">
            <w:pPr>
              <w:jc w:val="center"/>
            </w:pPr>
            <w:r>
              <w:t>11.14</w:t>
            </w:r>
            <w:r w:rsidRPr="001E02C6">
              <w:t xml:space="preserve">   </w:t>
            </w:r>
          </w:p>
        </w:tc>
        <w:tc>
          <w:tcPr>
            <w:tcW w:w="1278" w:type="dxa"/>
          </w:tcPr>
          <w:p w:rsidR="00B42594" w:rsidRDefault="001E02C6" w:rsidP="001F4FA2">
            <w:pPr>
              <w:jc w:val="center"/>
            </w:pPr>
            <w:r>
              <w:t>6.40</w:t>
            </w:r>
          </w:p>
        </w:tc>
      </w:tr>
    </w:tbl>
    <w:p w:rsidR="001F4FA2" w:rsidRDefault="001F4FA2" w:rsidP="001F4FA2"/>
    <w:p w:rsidR="001F4FA2" w:rsidRDefault="00207BAB" w:rsidP="00207BAB">
      <w:pPr>
        <w:pStyle w:val="ListParagraph"/>
        <w:numPr>
          <w:ilvl w:val="0"/>
          <w:numId w:val="1"/>
        </w:numPr>
      </w:pPr>
      <w:commentRangeStart w:id="4"/>
      <w:r>
        <w:t xml:space="preserve">A) </w:t>
      </w:r>
      <w:commentRangeEnd w:id="4"/>
      <w:r w:rsidR="008613F8">
        <w:rPr>
          <w:rStyle w:val="CommentReference"/>
        </w:rPr>
        <w:commentReference w:id="4"/>
      </w:r>
      <w:r>
        <w:t>After adjustment for bone scan and performance status, a logistic regression comparing the odds of relapse</w:t>
      </w:r>
      <w:r w:rsidR="00097B64">
        <w:t xml:space="preserve"> from prostate cancer</w:t>
      </w:r>
      <w:r>
        <w:t xml:space="preserve"> </w:t>
      </w:r>
      <w:r w:rsidR="00097B64">
        <w:t>for &gt;</w:t>
      </w:r>
      <w:r>
        <w:t xml:space="preserve">24 months across groups defined by the nadir PSA level when modeled as a continuous, untransformed variable shows an odds ratio of 1.03, with a 95% confidence interval of </w:t>
      </w:r>
      <w:r w:rsidRPr="00207BAB">
        <w:t xml:space="preserve"> </w:t>
      </w:r>
      <w:r>
        <w:t>0</w:t>
      </w:r>
      <w:r w:rsidRPr="00207BAB">
        <w:t>.94</w:t>
      </w:r>
      <w:r>
        <w:t>-</w:t>
      </w:r>
      <w:r w:rsidRPr="00207BAB">
        <w:t>1.13</w:t>
      </w:r>
      <w:r>
        <w:t xml:space="preserve">.  The p value for the model is an insignificant value of 0.07.  </w:t>
      </w:r>
      <w:commentRangeStart w:id="5"/>
      <w:r>
        <w:t>If the model were significant</w:t>
      </w:r>
      <w:commentRangeEnd w:id="5"/>
      <w:r w:rsidR="008613F8">
        <w:rPr>
          <w:rStyle w:val="CommentReference"/>
        </w:rPr>
        <w:commentReference w:id="5"/>
      </w:r>
      <w:r>
        <w:t>, this would mean a 1.03 higher odds ratio for every addition unit in the measure of nadir PSA after treatment, measure</w:t>
      </w:r>
      <w:r w:rsidR="00097B64">
        <w:t>d</w:t>
      </w:r>
      <w:r>
        <w:t xml:space="preserve"> in </w:t>
      </w:r>
      <w:proofErr w:type="spellStart"/>
      <w:r>
        <w:t>ng</w:t>
      </w:r>
      <w:proofErr w:type="spellEnd"/>
      <w:r>
        <w:t>/</w:t>
      </w:r>
      <w:proofErr w:type="spellStart"/>
      <w:r>
        <w:t>mL.</w:t>
      </w:r>
      <w:proofErr w:type="spellEnd"/>
    </w:p>
    <w:p w:rsidR="00097B64" w:rsidRDefault="00097B64" w:rsidP="00097B64">
      <w:pPr>
        <w:pStyle w:val="ListParagraph"/>
      </w:pPr>
    </w:p>
    <w:p w:rsidR="00097B64" w:rsidRDefault="00097B64" w:rsidP="00097B64">
      <w:pPr>
        <w:pStyle w:val="ListParagraph"/>
      </w:pPr>
      <w:commentRangeStart w:id="6"/>
      <w:r>
        <w:t>B</w:t>
      </w:r>
      <w:commentRangeEnd w:id="6"/>
      <w:r w:rsidR="008613F8">
        <w:rPr>
          <w:rStyle w:val="CommentReference"/>
        </w:rPr>
        <w:commentReference w:id="6"/>
      </w:r>
      <w:r>
        <w:t>)</w:t>
      </w:r>
      <w:r w:rsidR="00FC3B3C" w:rsidRPr="00FC3B3C">
        <w:t xml:space="preserve"> </w:t>
      </w:r>
      <w:r w:rsidR="00FC3B3C">
        <w:t>After adjustment for bone scan and performance status, a logistic regression comparing the odds of relapse from prostate cancer for &gt;24 months across groups defined by the nadir PSA level when modeled as a continuous, log-transformed variable shows an odds ratio of 2.36, with a 95% confidence interval of 1.27-</w:t>
      </w:r>
      <w:r w:rsidR="00FC3B3C" w:rsidRPr="00FC3B3C">
        <w:t>4.40</w:t>
      </w:r>
      <w:r w:rsidR="00FC3B3C">
        <w:t xml:space="preserve">.  The p value for the model is a significant value of 0.02.  This means there is a 2.36 times higher odds ratio for every doubling in the unit measure of nadir PSA after treatment, measured in </w:t>
      </w:r>
      <w:proofErr w:type="spellStart"/>
      <w:r w:rsidR="00FC3B3C">
        <w:t>ng</w:t>
      </w:r>
      <w:proofErr w:type="spellEnd"/>
      <w:r w:rsidR="00FC3B3C">
        <w:t>/</w:t>
      </w:r>
      <w:proofErr w:type="spellStart"/>
      <w:r w:rsidR="00FC3B3C">
        <w:t>mL.</w:t>
      </w:r>
      <w:proofErr w:type="spellEnd"/>
    </w:p>
    <w:p w:rsidR="00097B64" w:rsidRDefault="00097B64" w:rsidP="00097B64">
      <w:pPr>
        <w:pStyle w:val="ListParagraph"/>
      </w:pPr>
    </w:p>
    <w:p w:rsidR="00097B64" w:rsidRDefault="00097B64" w:rsidP="00097B64">
      <w:pPr>
        <w:pStyle w:val="ListParagraph"/>
      </w:pPr>
      <w:commentRangeStart w:id="7"/>
      <w:r>
        <w:t>C)</w:t>
      </w:r>
      <w:r w:rsidR="00782BCA" w:rsidRPr="00782BCA">
        <w:t xml:space="preserve"> </w:t>
      </w:r>
      <w:commentRangeEnd w:id="7"/>
      <w:r w:rsidR="008613F8">
        <w:rPr>
          <w:rStyle w:val="CommentReference"/>
        </w:rPr>
        <w:commentReference w:id="7"/>
      </w:r>
      <w:r w:rsidR="00782BCA">
        <w:t xml:space="preserve">After adjustment for bone scan and performance status, a logistic regression comparing the odds of relapse from prostate cancer for &gt;24 months across groups defined by the nadir PSA level when modeled untransformed as a linear spline with knots at 1, 4 &amp; 16ng/mL results in a model that has </w:t>
      </w:r>
      <w:commentRangeStart w:id="8"/>
      <w:r w:rsidR="00782BCA">
        <w:t xml:space="preserve">overall </w:t>
      </w:r>
      <w:commentRangeEnd w:id="8"/>
      <w:r w:rsidR="008613F8">
        <w:rPr>
          <w:rStyle w:val="CommentReference"/>
        </w:rPr>
        <w:commentReference w:id="8"/>
      </w:r>
      <w:r w:rsidR="00782BCA">
        <w:t xml:space="preserve">significance at p=0.02.  The odds ratio for one additional unit in nadir PSA between 0ng/mL  and 1ng/mL is </w:t>
      </w:r>
      <w:commentRangeStart w:id="9"/>
      <w:r w:rsidR="00782BCA">
        <w:t>29</w:t>
      </w:r>
      <w:commentRangeEnd w:id="9"/>
      <w:r w:rsidR="008613F8">
        <w:rPr>
          <w:rStyle w:val="CommentReference"/>
        </w:rPr>
        <w:commentReference w:id="9"/>
      </w:r>
      <w:r w:rsidR="00782BCA">
        <w:t>.62</w:t>
      </w:r>
      <w:r w:rsidR="00043FEE">
        <w:t xml:space="preserve"> with a 95% confidence interval of 1.36-</w:t>
      </w:r>
      <w:r w:rsidR="00043FEE" w:rsidRPr="00043FEE">
        <w:t>645.63</w:t>
      </w:r>
      <w:r w:rsidR="00782BCA">
        <w:t>, the odds ratio for one additional unit in nadir PSA between 1ng/mL and 4ng/mL  is 0.90</w:t>
      </w:r>
      <w:r w:rsidR="00043FEE">
        <w:t xml:space="preserve"> with a 95% confidence interval of 0</w:t>
      </w:r>
      <w:r w:rsidR="00043FEE" w:rsidRPr="00043FEE">
        <w:t>.3</w:t>
      </w:r>
      <w:r w:rsidR="00043FEE">
        <w:t>3-</w:t>
      </w:r>
      <w:r w:rsidR="00043FEE" w:rsidRPr="00043FEE">
        <w:t>2.</w:t>
      </w:r>
      <w:r w:rsidR="00043FEE">
        <w:t>50</w:t>
      </w:r>
      <w:r w:rsidR="00782BCA">
        <w:t>, the odds ratio for one additional unit in nadir PSA between 4ng/mL and 16ng/mL is 1.38</w:t>
      </w:r>
      <w:r w:rsidR="00043FEE">
        <w:t xml:space="preserve"> with a 95% confidence interval of 0</w:t>
      </w:r>
      <w:r w:rsidR="00043FEE" w:rsidRPr="00043FEE">
        <w:t>.94</w:t>
      </w:r>
      <w:r w:rsidR="00043FEE">
        <w:t>-</w:t>
      </w:r>
      <w:r w:rsidR="00043FEE" w:rsidRPr="00043FEE">
        <w:t>2.02</w:t>
      </w:r>
      <w:r w:rsidR="00782BCA">
        <w:t>, and the odds ratio for one additional unit in nadir PSA above 16ng/mL is 0.98</w:t>
      </w:r>
      <w:r w:rsidR="00043FEE">
        <w:t xml:space="preserve"> with a 95% confidence interval of 0.96-1.00.</w:t>
      </w:r>
    </w:p>
    <w:p w:rsidR="00097B64" w:rsidRDefault="00097B64" w:rsidP="00097B64">
      <w:pPr>
        <w:pStyle w:val="ListParagraph"/>
      </w:pPr>
    </w:p>
    <w:p w:rsidR="00097B64" w:rsidRDefault="00097B64" w:rsidP="00097B64">
      <w:pPr>
        <w:pStyle w:val="ListParagraph"/>
      </w:pPr>
      <w:r>
        <w:lastRenderedPageBreak/>
        <w:t>D</w:t>
      </w:r>
      <w:commentRangeStart w:id="10"/>
      <w:r>
        <w:t>)</w:t>
      </w:r>
      <w:r w:rsidR="00043FEE">
        <w:t xml:space="preserve"> </w:t>
      </w:r>
      <w:commentRangeEnd w:id="10"/>
      <w:r w:rsidR="008613F8">
        <w:rPr>
          <w:rStyle w:val="CommentReference"/>
        </w:rPr>
        <w:commentReference w:id="10"/>
      </w:r>
      <w:r w:rsidR="00043FEE">
        <w:t>After recoding the bone scan score so that a 0 value is permissible, the interpretations of the intercepts are:</w:t>
      </w:r>
    </w:p>
    <w:p w:rsidR="00043FEE" w:rsidRDefault="00043FEE" w:rsidP="00097B64">
      <w:pPr>
        <w:pStyle w:val="ListParagraph"/>
      </w:pPr>
      <w:r>
        <w:t xml:space="preserve">2a – an odds ratio </w:t>
      </w:r>
      <w:r w:rsidR="009C1254">
        <w:t xml:space="preserve">for remission </w:t>
      </w:r>
      <w:r>
        <w:t xml:space="preserve">of 5.44 </w:t>
      </w:r>
      <w:r w:rsidR="009C1254">
        <w:t xml:space="preserve">is found </w:t>
      </w:r>
      <w:r>
        <w:t>for men with a nadir PSA value of 0, a 0 (healthiest measure) on bone scan, and an ambulatory score of 0.</w:t>
      </w:r>
    </w:p>
    <w:p w:rsidR="009C1254" w:rsidRDefault="009C1254" w:rsidP="00097B64">
      <w:pPr>
        <w:pStyle w:val="ListParagraph"/>
      </w:pPr>
      <w:r>
        <w:t>2b - an odds ratio for remission of 7.18 is found for men with a nadir PSA value of 0, a 0 (healthiest measure) on bone scan, and an ambulatory score of 0.</w:t>
      </w:r>
    </w:p>
    <w:p w:rsidR="00097B64" w:rsidRDefault="009C1254" w:rsidP="009C1254">
      <w:pPr>
        <w:pStyle w:val="ListParagraph"/>
      </w:pPr>
      <w:r>
        <w:t>2c – an odds ratio for remission of 1.28 is found for men with a nadir PSA value of 0, a 0 (healthiest measure) on bone scan, and an ambulatory score of 0.</w:t>
      </w:r>
    </w:p>
    <w:p w:rsidR="009C1254" w:rsidRDefault="009C1254" w:rsidP="009C1254">
      <w:pPr>
        <w:pStyle w:val="ListParagraph"/>
      </w:pPr>
    </w:p>
    <w:p w:rsidR="00097B64" w:rsidRDefault="00BA5E53" w:rsidP="00BA5E53">
      <w:pPr>
        <w:pStyle w:val="ListParagraph"/>
        <w:numPr>
          <w:ilvl w:val="0"/>
          <w:numId w:val="1"/>
        </w:numPr>
      </w:pPr>
      <w:commentRangeStart w:id="11"/>
      <w:r>
        <w:t xml:space="preserve">A) </w:t>
      </w:r>
      <w:commentRangeEnd w:id="11"/>
      <w:r w:rsidR="008613F8">
        <w:rPr>
          <w:rStyle w:val="CommentReference"/>
        </w:rPr>
        <w:commentReference w:id="11"/>
      </w:r>
      <w:r>
        <w:t xml:space="preserve">A linear regression comparing nadir PSA with relapse and corrected for bone scan score and performance status shows that those who relapse have a 23.5 unit higher </w:t>
      </w:r>
      <w:r w:rsidR="00010ECD">
        <w:t xml:space="preserve">arithmetic </w:t>
      </w:r>
      <w:r>
        <w:t xml:space="preserve">mean value of PSA, measured in </w:t>
      </w:r>
      <w:proofErr w:type="spellStart"/>
      <w:r>
        <w:t>ng</w:t>
      </w:r>
      <w:proofErr w:type="spellEnd"/>
      <w:r>
        <w:t>/mL, with a 95% confidence interval of 0</w:t>
      </w:r>
      <w:r w:rsidRPr="00BA5E53">
        <w:t>.4</w:t>
      </w:r>
      <w:r>
        <w:t>8-</w:t>
      </w:r>
      <w:r w:rsidRPr="00BA5E53">
        <w:t>46.5</w:t>
      </w:r>
      <w:r>
        <w:t>6.  The p value for this model, however, at 0.07, does not reach significance.</w:t>
      </w:r>
    </w:p>
    <w:p w:rsidR="00010ECD" w:rsidRDefault="00010ECD" w:rsidP="00010ECD">
      <w:pPr>
        <w:pStyle w:val="ListParagraph"/>
      </w:pPr>
    </w:p>
    <w:p w:rsidR="00010ECD" w:rsidRDefault="00010ECD" w:rsidP="00010ECD">
      <w:pPr>
        <w:pStyle w:val="ListParagraph"/>
      </w:pPr>
      <w:commentRangeStart w:id="12"/>
      <w:r>
        <w:t xml:space="preserve">B) </w:t>
      </w:r>
      <w:commentRangeEnd w:id="12"/>
      <w:r w:rsidR="008613F8">
        <w:rPr>
          <w:rStyle w:val="CommentReference"/>
        </w:rPr>
        <w:commentReference w:id="12"/>
      </w:r>
      <w:r>
        <w:t xml:space="preserve">A linear regression comparing log nadir PSA with relapse and corrected for bone scan score and performance status shows that those who relapse have </w:t>
      </w:r>
      <w:commentRangeStart w:id="13"/>
      <w:r>
        <w:t xml:space="preserve">a 2.61 </w:t>
      </w:r>
      <w:commentRangeEnd w:id="13"/>
      <w:r w:rsidR="008613F8">
        <w:rPr>
          <w:rStyle w:val="CommentReference"/>
        </w:rPr>
        <w:commentReference w:id="13"/>
      </w:r>
      <w:r>
        <w:t xml:space="preserve">unit higher geometric mean value of PSA, measured in </w:t>
      </w:r>
      <w:proofErr w:type="spellStart"/>
      <w:r>
        <w:t>ng</w:t>
      </w:r>
      <w:proofErr w:type="spellEnd"/>
      <w:r>
        <w:t>/mL, with a 95% confidence interval of 1.42-</w:t>
      </w:r>
      <w:r w:rsidRPr="00010ECD">
        <w:t>3.81</w:t>
      </w:r>
      <w:r>
        <w:t>.  The p value for this model is &lt;0.0001.</w:t>
      </w:r>
    </w:p>
    <w:p w:rsidR="00010ECD" w:rsidRDefault="00010ECD" w:rsidP="00010ECD">
      <w:pPr>
        <w:pStyle w:val="ListParagraph"/>
      </w:pPr>
    </w:p>
    <w:p w:rsidR="00B171EF" w:rsidRDefault="00B171EF" w:rsidP="00BA5E53">
      <w:pPr>
        <w:pStyle w:val="ListParagraph"/>
        <w:numPr>
          <w:ilvl w:val="0"/>
          <w:numId w:val="1"/>
        </w:numPr>
      </w:pPr>
      <w:commentRangeStart w:id="14"/>
      <w:r>
        <w:t xml:space="preserve">A) </w:t>
      </w:r>
      <w:commentRangeEnd w:id="14"/>
      <w:r w:rsidR="008613F8">
        <w:rPr>
          <w:rStyle w:val="CommentReference"/>
        </w:rPr>
        <w:commentReference w:id="14"/>
      </w:r>
      <w:r>
        <w:t>Relative merits of each approach:</w:t>
      </w:r>
    </w:p>
    <w:p w:rsidR="00B171EF" w:rsidRDefault="00B171EF" w:rsidP="00B171EF">
      <w:pPr>
        <w:pStyle w:val="ListParagraph"/>
      </w:pPr>
      <w:r>
        <w:t xml:space="preserve">The approaches in question 2 are more desirable if the question of interest is the odds of remission given a nadir PSA value.  The approaches in question 3 are more desirable if the question of interest is the difference of </w:t>
      </w:r>
      <w:r w:rsidR="00BF1755">
        <w:t xml:space="preserve">mean </w:t>
      </w:r>
      <w:r>
        <w:t>PSA value given remission/no remission.  Beyond that:</w:t>
      </w:r>
    </w:p>
    <w:p w:rsidR="00B171EF" w:rsidRDefault="00B171EF" w:rsidP="00B171EF">
      <w:pPr>
        <w:pStyle w:val="ListParagraph"/>
      </w:pPr>
      <w:r>
        <w:t>2a – This approach is desirable if it is expected that the response of the odds of remission vs. the nadir PSA values will follow a linear relationship.</w:t>
      </w:r>
    </w:p>
    <w:p w:rsidR="00B171EF" w:rsidRDefault="00B171EF" w:rsidP="00B171EF">
      <w:pPr>
        <w:pStyle w:val="ListParagraph"/>
      </w:pPr>
      <w:r>
        <w:t>2b – This approach is desirable if it is expected that the response of the odds of remission vs. the nadir PSA values will follow an exponential relationship.</w:t>
      </w:r>
    </w:p>
    <w:p w:rsidR="00B171EF" w:rsidRDefault="00B171EF" w:rsidP="00B171EF">
      <w:pPr>
        <w:pStyle w:val="ListParagraph"/>
      </w:pPr>
      <w:r>
        <w:t xml:space="preserve">2c – This approach is desirable if it is expected that the response of the odds of </w:t>
      </w:r>
      <w:proofErr w:type="gramStart"/>
      <w:r>
        <w:t>remission  vs</w:t>
      </w:r>
      <w:proofErr w:type="gramEnd"/>
      <w:r>
        <w:t>. the nadir PSA values will follow different linear relationships within different ranges of PSA (specifically 0-1, 1-4, 1-16 &amp; &gt;16).</w:t>
      </w:r>
    </w:p>
    <w:p w:rsidR="00BF1755" w:rsidRDefault="00B171EF" w:rsidP="00B171EF">
      <w:pPr>
        <w:pStyle w:val="ListParagraph"/>
      </w:pPr>
      <w:r>
        <w:t xml:space="preserve">3a – This approach is desirable </w:t>
      </w:r>
      <w:r w:rsidR="00BF1755">
        <w:t xml:space="preserve">if it is expected that the values recorded for nadir PSA value are </w:t>
      </w:r>
      <w:commentRangeStart w:id="15"/>
      <w:r w:rsidR="00BF1755">
        <w:t>numerous enough to be representative</w:t>
      </w:r>
      <w:commentRangeEnd w:id="15"/>
      <w:r w:rsidR="008613F8">
        <w:rPr>
          <w:rStyle w:val="CommentReference"/>
        </w:rPr>
        <w:commentReference w:id="15"/>
      </w:r>
    </w:p>
    <w:p w:rsidR="00010ECD" w:rsidRDefault="00B171EF" w:rsidP="00B171EF">
      <w:pPr>
        <w:pStyle w:val="ListParagraph"/>
      </w:pPr>
      <w:r>
        <w:t>3b – This approach is desirable i</w:t>
      </w:r>
      <w:r w:rsidR="00BF1755">
        <w:t>f it is expected that there are</w:t>
      </w:r>
      <w:r w:rsidR="00010ECD">
        <w:t xml:space="preserve"> large values</w:t>
      </w:r>
      <w:r>
        <w:t xml:space="preserve"> in a portion of the </w:t>
      </w:r>
      <w:r w:rsidR="00BF1755">
        <w:t>PSA dataset that would contribute</w:t>
      </w:r>
      <w:r>
        <w:t xml:space="preserve"> disproportionate weight to the </w:t>
      </w:r>
      <w:r w:rsidR="00BF1755">
        <w:t xml:space="preserve">resultant </w:t>
      </w:r>
      <w:commentRangeStart w:id="16"/>
      <w:r w:rsidR="00BF1755">
        <w:t>means</w:t>
      </w:r>
      <w:commentRangeEnd w:id="16"/>
      <w:r w:rsidR="008613F8">
        <w:rPr>
          <w:rStyle w:val="CommentReference"/>
        </w:rPr>
        <w:commentReference w:id="16"/>
      </w:r>
      <w:r w:rsidR="00BF1755">
        <w:t>.  Based on the difference calculated between 3a and 3b, and in examining the PSA data, this does appear to be the case.</w:t>
      </w:r>
    </w:p>
    <w:p w:rsidR="00BF1755" w:rsidRDefault="00BF1755" w:rsidP="00B171EF">
      <w:pPr>
        <w:pStyle w:val="ListParagraph"/>
      </w:pPr>
    </w:p>
    <w:p w:rsidR="00BB32BD" w:rsidRDefault="00BF1755" w:rsidP="00B171EF">
      <w:pPr>
        <w:pStyle w:val="ListParagraph"/>
      </w:pPr>
      <w:r>
        <w:t xml:space="preserve">A priori, it would depend on the question I wanted to ask.  </w:t>
      </w:r>
    </w:p>
    <w:p w:rsidR="00BF1755" w:rsidRDefault="00BB32BD" w:rsidP="00B171EF">
      <w:pPr>
        <w:pStyle w:val="ListParagraph"/>
      </w:pPr>
      <w:r>
        <w:t>-</w:t>
      </w:r>
      <w:r w:rsidR="00BF1755">
        <w:t xml:space="preserve">If I were a clinician </w:t>
      </w:r>
      <w:proofErr w:type="gramStart"/>
      <w:r w:rsidR="00BF1755">
        <w:t>wanting  to</w:t>
      </w:r>
      <w:proofErr w:type="gramEnd"/>
      <w:r w:rsidR="00BF1755">
        <w:t xml:space="preserve"> make a diagnostic model, I would choose one of the approaches in question 2 – likely either based on an exponential relationship or using splines.  I would make this decision based on what research has already been done on nadir PSA values and remission </w:t>
      </w:r>
      <w:r w:rsidR="00BF1755">
        <w:lastRenderedPageBreak/>
        <w:t>outcomes.  Barring any extant evidence to that effect, I would probably go with an exponential relationship</w:t>
      </w:r>
      <w:r>
        <w:t xml:space="preserve"> (2b)</w:t>
      </w:r>
      <w:r w:rsidR="00BF1755">
        <w:t>.</w:t>
      </w:r>
    </w:p>
    <w:p w:rsidR="00BB32BD" w:rsidRDefault="00BB32BD" w:rsidP="00BB32BD">
      <w:pPr>
        <w:pStyle w:val="ListParagraph"/>
      </w:pPr>
      <w:r>
        <w:t>-On the other hand, if I were a researcher trying to determine whether there was actually a difference in nadir PSA by remission status, I would likely use a geometric mean approach to avoid any outliers throwing off my result (3b).</w:t>
      </w:r>
    </w:p>
    <w:p w:rsidR="00BF1755" w:rsidRDefault="00BF1755" w:rsidP="00B171EF">
      <w:pPr>
        <w:pStyle w:val="ListParagraph"/>
      </w:pPr>
    </w:p>
    <w:p w:rsidR="00BF1755" w:rsidRDefault="00BF1755" w:rsidP="00B171EF">
      <w:pPr>
        <w:pStyle w:val="ListParagraph"/>
      </w:pPr>
      <w:commentRangeStart w:id="17"/>
      <w:r>
        <w:t>B)</w:t>
      </w:r>
      <w:r w:rsidR="00BB32BD">
        <w:t xml:space="preserve"> </w:t>
      </w:r>
      <w:commentRangeEnd w:id="17"/>
      <w:r w:rsidR="008613F8">
        <w:rPr>
          <w:rStyle w:val="CommentReference"/>
        </w:rPr>
        <w:commentReference w:id="17"/>
      </w:r>
      <w:r w:rsidR="00BB32BD">
        <w:t xml:space="preserve">The problem is that the observed time in remission is quite different between those in remission and </w:t>
      </w:r>
      <w:proofErr w:type="gramStart"/>
      <w:r w:rsidR="00BB32BD">
        <w:t>those not in remission</w:t>
      </w:r>
      <w:proofErr w:type="gramEnd"/>
      <w:r w:rsidR="00BB32BD">
        <w:t xml:space="preserve">.  The average observed remission time for no remission &gt;24mo was ~42 months, and the average observed remission time for remission within 24mo was ~11.  The window of time during which each group is susceptible to remission needs to be approximately the same in order for the two groups to be comparable.  The measure should have been to follow all patients for 24 months and </w:t>
      </w:r>
      <w:r w:rsidR="00A57A70">
        <w:t xml:space="preserve">to </w:t>
      </w:r>
      <w:r w:rsidR="00BB32BD">
        <w:t>record remission vs. not during that period.</w:t>
      </w:r>
      <w:r w:rsidR="00A57A70">
        <w:t xml:space="preserve">  See table below, copied from page 1:</w:t>
      </w:r>
    </w:p>
    <w:p w:rsidR="00BB32BD" w:rsidRDefault="00BB32BD" w:rsidP="00B171EF">
      <w:pPr>
        <w:pStyle w:val="ListParagraph"/>
      </w:pPr>
    </w:p>
    <w:tbl>
      <w:tblPr>
        <w:tblStyle w:val="TableGrid"/>
        <w:tblW w:w="9576" w:type="dxa"/>
        <w:tblLook w:val="04A0" w:firstRow="1" w:lastRow="0" w:firstColumn="1" w:lastColumn="0" w:noHBand="0" w:noVBand="1"/>
      </w:tblPr>
      <w:tblGrid>
        <w:gridCol w:w="4338"/>
        <w:gridCol w:w="1170"/>
        <w:gridCol w:w="1530"/>
        <w:gridCol w:w="1260"/>
        <w:gridCol w:w="1278"/>
      </w:tblGrid>
      <w:tr w:rsidR="00BB32BD" w:rsidTr="005D5D09">
        <w:tc>
          <w:tcPr>
            <w:tcW w:w="4338" w:type="dxa"/>
          </w:tcPr>
          <w:p w:rsidR="00BB32BD" w:rsidRPr="001F4FA2" w:rsidRDefault="00BB32BD" w:rsidP="005D5D09">
            <w:pPr>
              <w:jc w:val="center"/>
              <w:rPr>
                <w:b/>
              </w:rPr>
            </w:pPr>
          </w:p>
        </w:tc>
        <w:tc>
          <w:tcPr>
            <w:tcW w:w="2700" w:type="dxa"/>
            <w:gridSpan w:val="2"/>
          </w:tcPr>
          <w:p w:rsidR="00BB32BD" w:rsidRPr="001F4FA2" w:rsidRDefault="00BB32BD" w:rsidP="005D5D09">
            <w:pPr>
              <w:jc w:val="center"/>
              <w:rPr>
                <w:b/>
              </w:rPr>
            </w:pPr>
            <w:r>
              <w:rPr>
                <w:b/>
              </w:rPr>
              <w:t>No remission for &gt;24mo</w:t>
            </w:r>
          </w:p>
        </w:tc>
        <w:tc>
          <w:tcPr>
            <w:tcW w:w="2538" w:type="dxa"/>
            <w:gridSpan w:val="2"/>
          </w:tcPr>
          <w:p w:rsidR="00BB32BD" w:rsidRPr="001F4FA2" w:rsidRDefault="00BB32BD" w:rsidP="005D5D09">
            <w:pPr>
              <w:jc w:val="center"/>
              <w:rPr>
                <w:b/>
              </w:rPr>
            </w:pPr>
            <w:r>
              <w:rPr>
                <w:b/>
              </w:rPr>
              <w:t>Remission within 24mo</w:t>
            </w:r>
          </w:p>
        </w:tc>
      </w:tr>
      <w:tr w:rsidR="00BB32BD" w:rsidTr="005D5D09">
        <w:tc>
          <w:tcPr>
            <w:tcW w:w="4338" w:type="dxa"/>
          </w:tcPr>
          <w:p w:rsidR="00BB32BD" w:rsidRPr="001F4FA2" w:rsidRDefault="00BB32BD" w:rsidP="005D5D09">
            <w:pPr>
              <w:jc w:val="center"/>
              <w:rPr>
                <w:b/>
              </w:rPr>
            </w:pPr>
            <w:r w:rsidRPr="001F4FA2">
              <w:rPr>
                <w:b/>
              </w:rPr>
              <w:t>Variable</w:t>
            </w:r>
          </w:p>
        </w:tc>
        <w:tc>
          <w:tcPr>
            <w:tcW w:w="1170" w:type="dxa"/>
          </w:tcPr>
          <w:p w:rsidR="00BB32BD" w:rsidRPr="001F4FA2" w:rsidRDefault="00BB32BD" w:rsidP="005D5D09">
            <w:pPr>
              <w:jc w:val="center"/>
              <w:rPr>
                <w:b/>
              </w:rPr>
            </w:pPr>
            <w:r w:rsidRPr="001F4FA2">
              <w:rPr>
                <w:b/>
              </w:rPr>
              <w:t>Mean</w:t>
            </w:r>
          </w:p>
        </w:tc>
        <w:tc>
          <w:tcPr>
            <w:tcW w:w="1530" w:type="dxa"/>
          </w:tcPr>
          <w:p w:rsidR="00BB32BD" w:rsidRPr="001F4FA2" w:rsidRDefault="00BB32BD" w:rsidP="005D5D09">
            <w:pPr>
              <w:jc w:val="center"/>
              <w:rPr>
                <w:b/>
              </w:rPr>
            </w:pPr>
            <w:r w:rsidRPr="001F4FA2">
              <w:rPr>
                <w:b/>
              </w:rPr>
              <w:t>Standard Deviation</w:t>
            </w:r>
          </w:p>
        </w:tc>
        <w:tc>
          <w:tcPr>
            <w:tcW w:w="1260" w:type="dxa"/>
          </w:tcPr>
          <w:p w:rsidR="00BB32BD" w:rsidRPr="001F4FA2" w:rsidRDefault="00BB32BD" w:rsidP="005D5D09">
            <w:pPr>
              <w:jc w:val="center"/>
              <w:rPr>
                <w:b/>
              </w:rPr>
            </w:pPr>
            <w:r w:rsidRPr="001F4FA2">
              <w:rPr>
                <w:b/>
              </w:rPr>
              <w:t>Mean</w:t>
            </w:r>
          </w:p>
        </w:tc>
        <w:tc>
          <w:tcPr>
            <w:tcW w:w="1278" w:type="dxa"/>
          </w:tcPr>
          <w:p w:rsidR="00BB32BD" w:rsidRPr="001F4FA2" w:rsidRDefault="00BB32BD" w:rsidP="005D5D09">
            <w:pPr>
              <w:jc w:val="center"/>
              <w:rPr>
                <w:b/>
              </w:rPr>
            </w:pPr>
            <w:r w:rsidRPr="001F4FA2">
              <w:rPr>
                <w:b/>
              </w:rPr>
              <w:t>Standard Deviation</w:t>
            </w:r>
          </w:p>
        </w:tc>
      </w:tr>
      <w:tr w:rsidR="00BB32BD" w:rsidTr="005D5D09">
        <w:tc>
          <w:tcPr>
            <w:tcW w:w="4338" w:type="dxa"/>
          </w:tcPr>
          <w:p w:rsidR="00BB32BD" w:rsidRDefault="00BB32BD" w:rsidP="005D5D09">
            <w:pPr>
              <w:jc w:val="center"/>
            </w:pPr>
            <w:r>
              <w:t xml:space="preserve">Nadir (of PSA levels after treatment in </w:t>
            </w:r>
            <w:proofErr w:type="spellStart"/>
            <w:r>
              <w:t>ng</w:t>
            </w:r>
            <w:proofErr w:type="spellEnd"/>
            <w:r>
              <w:t>/mL)</w:t>
            </w:r>
          </w:p>
        </w:tc>
        <w:tc>
          <w:tcPr>
            <w:tcW w:w="1170" w:type="dxa"/>
          </w:tcPr>
          <w:p w:rsidR="00BB32BD" w:rsidRDefault="00BB32BD" w:rsidP="005D5D09">
            <w:pPr>
              <w:jc w:val="center"/>
            </w:pPr>
            <w:r>
              <w:t>4.12</w:t>
            </w:r>
            <w:r w:rsidRPr="001E02C6">
              <w:t xml:space="preserve">   </w:t>
            </w:r>
          </w:p>
        </w:tc>
        <w:tc>
          <w:tcPr>
            <w:tcW w:w="1530" w:type="dxa"/>
          </w:tcPr>
          <w:p w:rsidR="00BB32BD" w:rsidRDefault="00BB32BD" w:rsidP="005D5D09">
            <w:pPr>
              <w:jc w:val="center"/>
            </w:pPr>
            <w:r>
              <w:t>17.28</w:t>
            </w:r>
            <w:r w:rsidRPr="001E02C6">
              <w:t xml:space="preserve">  </w:t>
            </w:r>
          </w:p>
        </w:tc>
        <w:tc>
          <w:tcPr>
            <w:tcW w:w="1260" w:type="dxa"/>
          </w:tcPr>
          <w:p w:rsidR="00BB32BD" w:rsidRDefault="00BB32BD" w:rsidP="005D5D09">
            <w:pPr>
              <w:jc w:val="center"/>
            </w:pPr>
            <w:r>
              <w:t>31.94</w:t>
            </w:r>
            <w:r w:rsidRPr="001E02C6">
              <w:t xml:space="preserve">    </w:t>
            </w:r>
          </w:p>
        </w:tc>
        <w:tc>
          <w:tcPr>
            <w:tcW w:w="1278" w:type="dxa"/>
          </w:tcPr>
          <w:p w:rsidR="00BB32BD" w:rsidRDefault="00BB32BD" w:rsidP="005D5D09">
            <w:pPr>
              <w:jc w:val="center"/>
            </w:pPr>
            <w:r>
              <w:t>52.50</w:t>
            </w:r>
          </w:p>
        </w:tc>
      </w:tr>
      <w:tr w:rsidR="00BB32BD" w:rsidTr="005D5D09">
        <w:tc>
          <w:tcPr>
            <w:tcW w:w="4338" w:type="dxa"/>
          </w:tcPr>
          <w:p w:rsidR="00BB32BD" w:rsidRDefault="00BB32BD" w:rsidP="005D5D09">
            <w:pPr>
              <w:jc w:val="center"/>
            </w:pPr>
            <w:proofErr w:type="spellStart"/>
            <w:r>
              <w:t>Pretx</w:t>
            </w:r>
            <w:proofErr w:type="spellEnd"/>
            <w:r>
              <w:t xml:space="preserve"> (Pretreatment PSA level in </w:t>
            </w:r>
            <w:proofErr w:type="spellStart"/>
            <w:r>
              <w:t>ng</w:t>
            </w:r>
            <w:proofErr w:type="spellEnd"/>
            <w:r>
              <w:t>/mL</w:t>
            </w:r>
          </w:p>
        </w:tc>
        <w:tc>
          <w:tcPr>
            <w:tcW w:w="1170" w:type="dxa"/>
          </w:tcPr>
          <w:p w:rsidR="00BB32BD" w:rsidRDefault="00BB32BD" w:rsidP="005D5D09">
            <w:pPr>
              <w:jc w:val="center"/>
            </w:pPr>
            <w:r>
              <w:t>617.19</w:t>
            </w:r>
            <w:r w:rsidRPr="001E02C6">
              <w:t xml:space="preserve">  </w:t>
            </w:r>
          </w:p>
        </w:tc>
        <w:tc>
          <w:tcPr>
            <w:tcW w:w="1530" w:type="dxa"/>
          </w:tcPr>
          <w:p w:rsidR="00BB32BD" w:rsidRDefault="00BB32BD" w:rsidP="005D5D09">
            <w:pPr>
              <w:jc w:val="center"/>
            </w:pPr>
            <w:r w:rsidRPr="001E02C6">
              <w:t xml:space="preserve">1252.08  </w:t>
            </w:r>
          </w:p>
        </w:tc>
        <w:tc>
          <w:tcPr>
            <w:tcW w:w="1260" w:type="dxa"/>
          </w:tcPr>
          <w:p w:rsidR="00BB32BD" w:rsidRDefault="00BB32BD" w:rsidP="005D5D09">
            <w:pPr>
              <w:jc w:val="center"/>
            </w:pPr>
            <w:r w:rsidRPr="001E02C6">
              <w:t xml:space="preserve">732.35    </w:t>
            </w:r>
          </w:p>
        </w:tc>
        <w:tc>
          <w:tcPr>
            <w:tcW w:w="1278" w:type="dxa"/>
          </w:tcPr>
          <w:p w:rsidR="00BB32BD" w:rsidRDefault="00BB32BD" w:rsidP="005D5D09">
            <w:pPr>
              <w:jc w:val="center"/>
            </w:pPr>
            <w:r>
              <w:t>1357.34</w:t>
            </w:r>
          </w:p>
        </w:tc>
      </w:tr>
      <w:tr w:rsidR="00BB32BD" w:rsidTr="005D5D09">
        <w:tc>
          <w:tcPr>
            <w:tcW w:w="4338" w:type="dxa"/>
          </w:tcPr>
          <w:p w:rsidR="00BB32BD" w:rsidRDefault="00BB32BD" w:rsidP="005D5D09">
            <w:pPr>
              <w:jc w:val="center"/>
            </w:pPr>
            <w:r>
              <w:t>PS (Ambulatory score [100=best])</w:t>
            </w:r>
          </w:p>
        </w:tc>
        <w:tc>
          <w:tcPr>
            <w:tcW w:w="1170" w:type="dxa"/>
          </w:tcPr>
          <w:p w:rsidR="00BB32BD" w:rsidRDefault="00BB32BD" w:rsidP="005D5D09">
            <w:pPr>
              <w:jc w:val="center"/>
            </w:pPr>
            <w:r>
              <w:t>83.93</w:t>
            </w:r>
            <w:r w:rsidRPr="001E02C6">
              <w:t xml:space="preserve">  </w:t>
            </w:r>
          </w:p>
        </w:tc>
        <w:tc>
          <w:tcPr>
            <w:tcW w:w="1530" w:type="dxa"/>
          </w:tcPr>
          <w:p w:rsidR="00BB32BD" w:rsidRDefault="00BB32BD" w:rsidP="005D5D09">
            <w:pPr>
              <w:jc w:val="center"/>
            </w:pPr>
            <w:r>
              <w:t>9.56</w:t>
            </w:r>
            <w:r w:rsidRPr="001E02C6">
              <w:t xml:space="preserve">   </w:t>
            </w:r>
          </w:p>
        </w:tc>
        <w:tc>
          <w:tcPr>
            <w:tcW w:w="1260" w:type="dxa"/>
          </w:tcPr>
          <w:p w:rsidR="00BB32BD" w:rsidRDefault="00BB32BD" w:rsidP="005D5D09">
            <w:pPr>
              <w:jc w:val="center"/>
            </w:pPr>
            <w:r>
              <w:t>76.50</w:t>
            </w:r>
            <w:r w:rsidRPr="001E02C6">
              <w:t xml:space="preserve">  </w:t>
            </w:r>
          </w:p>
        </w:tc>
        <w:tc>
          <w:tcPr>
            <w:tcW w:w="1278" w:type="dxa"/>
          </w:tcPr>
          <w:p w:rsidR="00BB32BD" w:rsidRDefault="00BB32BD" w:rsidP="005D5D09">
            <w:pPr>
              <w:jc w:val="center"/>
            </w:pPr>
            <w:r>
              <w:t>11.82</w:t>
            </w:r>
            <w:r w:rsidRPr="001E02C6">
              <w:t xml:space="preserve"> </w:t>
            </w:r>
          </w:p>
        </w:tc>
      </w:tr>
      <w:tr w:rsidR="00BB32BD" w:rsidTr="005D5D09">
        <w:tc>
          <w:tcPr>
            <w:tcW w:w="4338" w:type="dxa"/>
          </w:tcPr>
          <w:p w:rsidR="00BB32BD" w:rsidRDefault="00BB32BD" w:rsidP="005D5D09">
            <w:pPr>
              <w:jc w:val="center"/>
            </w:pPr>
            <w:r>
              <w:t>BSS (Metastasis score [1=least metastasis])</w:t>
            </w:r>
          </w:p>
        </w:tc>
        <w:tc>
          <w:tcPr>
            <w:tcW w:w="1170" w:type="dxa"/>
          </w:tcPr>
          <w:p w:rsidR="00BB32BD" w:rsidRDefault="00BB32BD" w:rsidP="005D5D09">
            <w:pPr>
              <w:jc w:val="center"/>
            </w:pPr>
            <w:r>
              <w:t>2.32</w:t>
            </w:r>
            <w:r w:rsidRPr="001E02C6">
              <w:t xml:space="preserve">   </w:t>
            </w:r>
          </w:p>
        </w:tc>
        <w:tc>
          <w:tcPr>
            <w:tcW w:w="1530" w:type="dxa"/>
          </w:tcPr>
          <w:p w:rsidR="00BB32BD" w:rsidRDefault="00BB32BD" w:rsidP="005D5D09">
            <w:pPr>
              <w:jc w:val="center"/>
            </w:pPr>
            <w:r>
              <w:t>0.77</w:t>
            </w:r>
            <w:r w:rsidRPr="001E02C6">
              <w:t xml:space="preserve">    </w:t>
            </w:r>
          </w:p>
        </w:tc>
        <w:tc>
          <w:tcPr>
            <w:tcW w:w="1260" w:type="dxa"/>
          </w:tcPr>
          <w:p w:rsidR="00BB32BD" w:rsidRDefault="00BB32BD" w:rsidP="005D5D09">
            <w:pPr>
              <w:jc w:val="center"/>
            </w:pPr>
            <w:r>
              <w:t>2.80</w:t>
            </w:r>
            <w:r w:rsidRPr="001E02C6">
              <w:t xml:space="preserve"> </w:t>
            </w:r>
          </w:p>
        </w:tc>
        <w:tc>
          <w:tcPr>
            <w:tcW w:w="1278" w:type="dxa"/>
          </w:tcPr>
          <w:p w:rsidR="00BB32BD" w:rsidRDefault="00BB32BD" w:rsidP="005D5D09">
            <w:pPr>
              <w:jc w:val="center"/>
            </w:pPr>
            <w:r>
              <w:t>0.41</w:t>
            </w:r>
          </w:p>
        </w:tc>
      </w:tr>
      <w:tr w:rsidR="00BB32BD" w:rsidTr="005D5D09">
        <w:tc>
          <w:tcPr>
            <w:tcW w:w="4338" w:type="dxa"/>
          </w:tcPr>
          <w:p w:rsidR="00BB32BD" w:rsidRDefault="00BB32BD" w:rsidP="005D5D09">
            <w:pPr>
              <w:jc w:val="center"/>
            </w:pPr>
            <w:r>
              <w:t>Grade (Tumor grade [1=least aggressive])</w:t>
            </w:r>
          </w:p>
        </w:tc>
        <w:tc>
          <w:tcPr>
            <w:tcW w:w="1170" w:type="dxa"/>
          </w:tcPr>
          <w:p w:rsidR="00BB32BD" w:rsidRDefault="00BB32BD" w:rsidP="005D5D09">
            <w:pPr>
              <w:jc w:val="center"/>
            </w:pPr>
            <w:r>
              <w:t>2.08</w:t>
            </w:r>
            <w:r w:rsidRPr="001E02C6">
              <w:t xml:space="preserve">   </w:t>
            </w:r>
          </w:p>
        </w:tc>
        <w:tc>
          <w:tcPr>
            <w:tcW w:w="1530" w:type="dxa"/>
          </w:tcPr>
          <w:p w:rsidR="00BB32BD" w:rsidRDefault="00BB32BD" w:rsidP="005D5D09">
            <w:pPr>
              <w:jc w:val="center"/>
            </w:pPr>
            <w:r>
              <w:t>0.83</w:t>
            </w:r>
            <w:r w:rsidRPr="001E02C6">
              <w:t xml:space="preserve">   </w:t>
            </w:r>
          </w:p>
        </w:tc>
        <w:tc>
          <w:tcPr>
            <w:tcW w:w="1260" w:type="dxa"/>
          </w:tcPr>
          <w:p w:rsidR="00BB32BD" w:rsidRDefault="00BB32BD" w:rsidP="005D5D09">
            <w:pPr>
              <w:jc w:val="center"/>
            </w:pPr>
            <w:r>
              <w:t>2.24</w:t>
            </w:r>
            <w:r w:rsidRPr="001E02C6">
              <w:t xml:space="preserve">    </w:t>
            </w:r>
          </w:p>
        </w:tc>
        <w:tc>
          <w:tcPr>
            <w:tcW w:w="1278" w:type="dxa"/>
          </w:tcPr>
          <w:p w:rsidR="00BB32BD" w:rsidRDefault="00BB32BD" w:rsidP="005D5D09">
            <w:pPr>
              <w:jc w:val="center"/>
            </w:pPr>
            <w:r>
              <w:t>0.75</w:t>
            </w:r>
          </w:p>
        </w:tc>
      </w:tr>
      <w:tr w:rsidR="00BB32BD" w:rsidTr="005D5D09">
        <w:tc>
          <w:tcPr>
            <w:tcW w:w="4338" w:type="dxa"/>
          </w:tcPr>
          <w:p w:rsidR="00BB32BD" w:rsidRDefault="00BB32BD" w:rsidP="005D5D09">
            <w:pPr>
              <w:jc w:val="center"/>
            </w:pPr>
            <w:r>
              <w:t>Age (years)</w:t>
            </w:r>
          </w:p>
        </w:tc>
        <w:tc>
          <w:tcPr>
            <w:tcW w:w="1170" w:type="dxa"/>
          </w:tcPr>
          <w:p w:rsidR="00BB32BD" w:rsidRDefault="00BB32BD" w:rsidP="005D5D09">
            <w:pPr>
              <w:jc w:val="center"/>
            </w:pPr>
            <w:r>
              <w:t>66.71</w:t>
            </w:r>
            <w:r w:rsidRPr="001E02C6">
              <w:t xml:space="preserve">   </w:t>
            </w:r>
          </w:p>
        </w:tc>
        <w:tc>
          <w:tcPr>
            <w:tcW w:w="1530" w:type="dxa"/>
          </w:tcPr>
          <w:p w:rsidR="00BB32BD" w:rsidRDefault="00BB32BD" w:rsidP="005D5D09">
            <w:pPr>
              <w:jc w:val="center"/>
            </w:pPr>
            <w:r>
              <w:t>5.84</w:t>
            </w:r>
          </w:p>
        </w:tc>
        <w:tc>
          <w:tcPr>
            <w:tcW w:w="1260" w:type="dxa"/>
          </w:tcPr>
          <w:p w:rsidR="00BB32BD" w:rsidRDefault="00BB32BD" w:rsidP="005D5D09">
            <w:pPr>
              <w:jc w:val="center"/>
            </w:pPr>
            <w:r>
              <w:t>68.36</w:t>
            </w:r>
            <w:r w:rsidRPr="001E02C6">
              <w:t xml:space="preserve">   </w:t>
            </w:r>
          </w:p>
        </w:tc>
        <w:tc>
          <w:tcPr>
            <w:tcW w:w="1278" w:type="dxa"/>
          </w:tcPr>
          <w:p w:rsidR="00BB32BD" w:rsidRDefault="00BB32BD" w:rsidP="005D5D09">
            <w:pPr>
              <w:jc w:val="center"/>
            </w:pPr>
            <w:r>
              <w:t>5.68</w:t>
            </w:r>
          </w:p>
        </w:tc>
      </w:tr>
      <w:tr w:rsidR="00BB32BD" w:rsidTr="005D5D09">
        <w:tc>
          <w:tcPr>
            <w:tcW w:w="4338" w:type="dxa"/>
          </w:tcPr>
          <w:p w:rsidR="00BB32BD" w:rsidRPr="00A57A70" w:rsidRDefault="00BB32BD" w:rsidP="005D5D09">
            <w:pPr>
              <w:jc w:val="center"/>
              <w:rPr>
                <w:color w:val="FF0000"/>
              </w:rPr>
            </w:pPr>
            <w:proofErr w:type="spellStart"/>
            <w:r w:rsidRPr="00A57A70">
              <w:rPr>
                <w:color w:val="FF0000"/>
              </w:rPr>
              <w:t>Obstime</w:t>
            </w:r>
            <w:proofErr w:type="spellEnd"/>
            <w:r w:rsidRPr="00A57A70">
              <w:rPr>
                <w:color w:val="FF0000"/>
              </w:rPr>
              <w:t xml:space="preserve"> (Observed remission in months)</w:t>
            </w:r>
          </w:p>
        </w:tc>
        <w:tc>
          <w:tcPr>
            <w:tcW w:w="1170" w:type="dxa"/>
          </w:tcPr>
          <w:p w:rsidR="00BB32BD" w:rsidRPr="00A57A70" w:rsidRDefault="00BB32BD" w:rsidP="005D5D09">
            <w:pPr>
              <w:jc w:val="center"/>
              <w:rPr>
                <w:color w:val="FF0000"/>
              </w:rPr>
            </w:pPr>
            <w:r w:rsidRPr="00A57A70">
              <w:rPr>
                <w:color w:val="FF0000"/>
              </w:rPr>
              <w:t xml:space="preserve">42.07   </w:t>
            </w:r>
          </w:p>
        </w:tc>
        <w:tc>
          <w:tcPr>
            <w:tcW w:w="1530" w:type="dxa"/>
          </w:tcPr>
          <w:p w:rsidR="00BB32BD" w:rsidRDefault="00BB32BD" w:rsidP="005D5D09">
            <w:pPr>
              <w:jc w:val="center"/>
            </w:pPr>
            <w:r>
              <w:t>12.05</w:t>
            </w:r>
          </w:p>
        </w:tc>
        <w:tc>
          <w:tcPr>
            <w:tcW w:w="1260" w:type="dxa"/>
          </w:tcPr>
          <w:p w:rsidR="00BB32BD" w:rsidRDefault="00BB32BD" w:rsidP="005D5D09">
            <w:pPr>
              <w:jc w:val="center"/>
            </w:pPr>
            <w:r w:rsidRPr="00A57A70">
              <w:rPr>
                <w:color w:val="FF0000"/>
              </w:rPr>
              <w:t xml:space="preserve">11.14   </w:t>
            </w:r>
          </w:p>
        </w:tc>
        <w:tc>
          <w:tcPr>
            <w:tcW w:w="1278" w:type="dxa"/>
          </w:tcPr>
          <w:p w:rsidR="00BB32BD" w:rsidRDefault="00BB32BD" w:rsidP="005D5D09">
            <w:pPr>
              <w:jc w:val="center"/>
            </w:pPr>
            <w:r>
              <w:t>6.40</w:t>
            </w:r>
          </w:p>
        </w:tc>
      </w:tr>
    </w:tbl>
    <w:p w:rsidR="00BB32BD" w:rsidRDefault="00BB32BD" w:rsidP="00B171EF">
      <w:pPr>
        <w:pStyle w:val="ListParagraph"/>
      </w:pPr>
    </w:p>
    <w:sectPr w:rsidR="00BB32B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uthor" w:initials="A">
    <w:p w:rsidR="008613F8" w:rsidRDefault="008613F8">
      <w:pPr>
        <w:pStyle w:val="CommentText"/>
      </w:pPr>
      <w:r>
        <w:rPr>
          <w:rStyle w:val="CommentReference"/>
        </w:rPr>
        <w:annotationRef/>
      </w:r>
      <w:r>
        <w:t xml:space="preserve">Total Score:  40/50 </w:t>
      </w:r>
      <w:bookmarkStart w:id="1" w:name="_GoBack"/>
      <w:bookmarkEnd w:id="1"/>
    </w:p>
  </w:comment>
  <w:comment w:id="2" w:author="Author" w:initials="A">
    <w:p w:rsidR="008613F8" w:rsidRDefault="008613F8">
      <w:pPr>
        <w:pStyle w:val="CommentText"/>
      </w:pPr>
      <w:r>
        <w:rPr>
          <w:rStyle w:val="CommentReference"/>
        </w:rPr>
        <w:annotationRef/>
      </w:r>
      <w:r>
        <w:t>4/5</w:t>
      </w:r>
    </w:p>
  </w:comment>
  <w:comment w:id="3" w:author="Author" w:initials="A">
    <w:p w:rsidR="008613F8" w:rsidRDefault="008613F8">
      <w:pPr>
        <w:pStyle w:val="CommentText"/>
      </w:pPr>
      <w:r>
        <w:rPr>
          <w:rStyle w:val="CommentReference"/>
        </w:rPr>
        <w:annotationRef/>
      </w:r>
      <w:r>
        <w:t>Label tables with actual real life variable names, not computer code</w:t>
      </w:r>
    </w:p>
  </w:comment>
  <w:comment w:id="4" w:author="Author" w:initials="A">
    <w:p w:rsidR="008613F8" w:rsidRDefault="008613F8">
      <w:pPr>
        <w:pStyle w:val="CommentText"/>
      </w:pPr>
      <w:r>
        <w:rPr>
          <w:rStyle w:val="CommentReference"/>
        </w:rPr>
        <w:annotationRef/>
      </w:r>
      <w:r>
        <w:t>4/5</w:t>
      </w:r>
    </w:p>
  </w:comment>
  <w:comment w:id="5" w:author="Author" w:initials="A">
    <w:p w:rsidR="008613F8" w:rsidRDefault="008613F8">
      <w:pPr>
        <w:pStyle w:val="CommentText"/>
      </w:pPr>
      <w:r>
        <w:rPr>
          <w:rStyle w:val="CommentReference"/>
        </w:rPr>
        <w:annotationRef/>
      </w:r>
      <w:r>
        <w:t xml:space="preserve">Even without statistical significance, we still estimate the odds ratio to be 1.03; we just don’t have the precision to tell whether or not that is actually different from 1.0. </w:t>
      </w:r>
    </w:p>
  </w:comment>
  <w:comment w:id="6" w:author="Author" w:initials="A">
    <w:p w:rsidR="008613F8" w:rsidRDefault="008613F8">
      <w:pPr>
        <w:pStyle w:val="CommentText"/>
      </w:pPr>
      <w:r>
        <w:rPr>
          <w:rStyle w:val="CommentReference"/>
        </w:rPr>
        <w:annotationRef/>
      </w:r>
      <w:r>
        <w:t>5/5</w:t>
      </w:r>
    </w:p>
  </w:comment>
  <w:comment w:id="7" w:author="Author" w:initials="A">
    <w:p w:rsidR="008613F8" w:rsidRDefault="008613F8">
      <w:pPr>
        <w:pStyle w:val="CommentText"/>
      </w:pPr>
      <w:r>
        <w:rPr>
          <w:rStyle w:val="CommentReference"/>
        </w:rPr>
        <w:annotationRef/>
      </w:r>
      <w:r>
        <w:t>3/5</w:t>
      </w:r>
    </w:p>
  </w:comment>
  <w:comment w:id="8" w:author="Author" w:initials="A">
    <w:p w:rsidR="008613F8" w:rsidRDefault="008613F8">
      <w:pPr>
        <w:pStyle w:val="CommentText"/>
      </w:pPr>
      <w:r>
        <w:rPr>
          <w:rStyle w:val="CommentReference"/>
        </w:rPr>
        <w:annotationRef/>
      </w:r>
      <w:r>
        <w:t xml:space="preserve">Should mention how you tested this (Wald, LRT, etc…) </w:t>
      </w:r>
    </w:p>
  </w:comment>
  <w:comment w:id="9" w:author="Author" w:initials="A">
    <w:p w:rsidR="008613F8" w:rsidRDefault="008613F8">
      <w:pPr>
        <w:pStyle w:val="CommentText"/>
      </w:pPr>
      <w:r>
        <w:rPr>
          <w:rStyle w:val="CommentReference"/>
        </w:rPr>
        <w:annotationRef/>
      </w:r>
      <w:r>
        <w:t xml:space="preserve">Graphical display will be easier to interpret. See key. </w:t>
      </w:r>
    </w:p>
  </w:comment>
  <w:comment w:id="10" w:author="Author" w:initials="A">
    <w:p w:rsidR="008613F8" w:rsidRDefault="008613F8">
      <w:pPr>
        <w:pStyle w:val="CommentText"/>
      </w:pPr>
      <w:r>
        <w:rPr>
          <w:rStyle w:val="CommentReference"/>
        </w:rPr>
        <w:annotationRef/>
      </w:r>
      <w:r>
        <w:t>5/5</w:t>
      </w:r>
    </w:p>
  </w:comment>
  <w:comment w:id="11" w:author="Author" w:initials="A">
    <w:p w:rsidR="008613F8" w:rsidRDefault="008613F8">
      <w:pPr>
        <w:pStyle w:val="CommentText"/>
      </w:pPr>
      <w:r>
        <w:rPr>
          <w:rStyle w:val="CommentReference"/>
        </w:rPr>
        <w:annotationRef/>
      </w:r>
      <w:r>
        <w:t>5/5</w:t>
      </w:r>
    </w:p>
  </w:comment>
  <w:comment w:id="12" w:author="Author" w:initials="A">
    <w:p w:rsidR="008613F8" w:rsidRDefault="008613F8">
      <w:pPr>
        <w:pStyle w:val="CommentText"/>
      </w:pPr>
      <w:r>
        <w:rPr>
          <w:rStyle w:val="CommentReference"/>
        </w:rPr>
        <w:annotationRef/>
      </w:r>
      <w:r>
        <w:t>2/5</w:t>
      </w:r>
    </w:p>
  </w:comment>
  <w:comment w:id="13" w:author="Author" w:initials="A">
    <w:p w:rsidR="008613F8" w:rsidRDefault="008613F8">
      <w:pPr>
        <w:pStyle w:val="CommentText"/>
      </w:pPr>
      <w:r>
        <w:rPr>
          <w:rStyle w:val="CommentReference"/>
        </w:rPr>
        <w:annotationRef/>
      </w:r>
      <w:r>
        <w:t xml:space="preserve">I’d check your code; this is much smaller than what </w:t>
      </w:r>
      <w:proofErr w:type="spellStart"/>
      <w:r>
        <w:t>scott</w:t>
      </w:r>
      <w:proofErr w:type="spellEnd"/>
      <w:r>
        <w:t xml:space="preserve"> reports. Also note that we are testing a ratio of geometric means here. </w:t>
      </w:r>
    </w:p>
  </w:comment>
  <w:comment w:id="14" w:author="Author" w:initials="A">
    <w:p w:rsidR="008613F8" w:rsidRDefault="008613F8">
      <w:pPr>
        <w:pStyle w:val="CommentText"/>
      </w:pPr>
      <w:r>
        <w:rPr>
          <w:rStyle w:val="CommentReference"/>
        </w:rPr>
        <w:annotationRef/>
      </w:r>
      <w:r>
        <w:t>8/10</w:t>
      </w:r>
    </w:p>
  </w:comment>
  <w:comment w:id="15" w:author="Author" w:initials="A">
    <w:p w:rsidR="008613F8" w:rsidRDefault="008613F8">
      <w:pPr>
        <w:pStyle w:val="CommentText"/>
      </w:pPr>
      <w:r>
        <w:rPr>
          <w:rStyle w:val="CommentReference"/>
        </w:rPr>
        <w:annotationRef/>
      </w:r>
      <w:r>
        <w:t>Not sure what you mean by this</w:t>
      </w:r>
    </w:p>
  </w:comment>
  <w:comment w:id="16" w:author="Author" w:initials="A">
    <w:p w:rsidR="008613F8" w:rsidRDefault="008613F8">
      <w:pPr>
        <w:pStyle w:val="CommentText"/>
      </w:pPr>
      <w:r>
        <w:rPr>
          <w:rStyle w:val="CommentReference"/>
        </w:rPr>
        <w:annotationRef/>
      </w:r>
      <w:r>
        <w:t>Or we were interested in a multiplicative effect</w:t>
      </w:r>
    </w:p>
  </w:comment>
  <w:comment w:id="17" w:author="Author" w:initials="A">
    <w:p w:rsidR="008613F8" w:rsidRDefault="008613F8">
      <w:pPr>
        <w:pStyle w:val="CommentText"/>
      </w:pPr>
      <w:r>
        <w:rPr>
          <w:rStyle w:val="CommentReference"/>
        </w:rPr>
        <w:annotationRef/>
      </w:r>
      <w:r>
        <w:t xml:space="preserve">4/5 </w:t>
      </w:r>
    </w:p>
    <w:p w:rsidR="008613F8" w:rsidRDefault="008613F8">
      <w:pPr>
        <w:pStyle w:val="CommentText"/>
      </w:pPr>
      <w:r>
        <w:t>See key</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2E9" w:rsidRDefault="00B562E9" w:rsidP="00852C03">
      <w:pPr>
        <w:spacing w:after="0" w:line="240" w:lineRule="auto"/>
      </w:pPr>
      <w:r>
        <w:separator/>
      </w:r>
    </w:p>
  </w:endnote>
  <w:endnote w:type="continuationSeparator" w:id="0">
    <w:p w:rsidR="00B562E9" w:rsidRDefault="00B562E9" w:rsidP="00852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C03" w:rsidRDefault="00852C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C03" w:rsidRDefault="00852C0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C03" w:rsidRDefault="00852C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2E9" w:rsidRDefault="00B562E9" w:rsidP="00852C03">
      <w:pPr>
        <w:spacing w:after="0" w:line="240" w:lineRule="auto"/>
      </w:pPr>
      <w:r>
        <w:separator/>
      </w:r>
    </w:p>
  </w:footnote>
  <w:footnote w:type="continuationSeparator" w:id="0">
    <w:p w:rsidR="00B562E9" w:rsidRDefault="00B562E9" w:rsidP="00852C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C03" w:rsidRDefault="00852C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C03" w:rsidRDefault="00852C0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C03" w:rsidRDefault="00852C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31822"/>
    <w:multiLevelType w:val="hybridMultilevel"/>
    <w:tmpl w:val="6180CB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FA2"/>
    <w:rsid w:val="00010ECD"/>
    <w:rsid w:val="00043FEE"/>
    <w:rsid w:val="00097B64"/>
    <w:rsid w:val="001E02C6"/>
    <w:rsid w:val="001F4FA2"/>
    <w:rsid w:val="00207BAB"/>
    <w:rsid w:val="00271FD8"/>
    <w:rsid w:val="002954D4"/>
    <w:rsid w:val="0031172B"/>
    <w:rsid w:val="00330D21"/>
    <w:rsid w:val="00782BCA"/>
    <w:rsid w:val="0080211A"/>
    <w:rsid w:val="00852C03"/>
    <w:rsid w:val="008613F8"/>
    <w:rsid w:val="009C1254"/>
    <w:rsid w:val="00A57A70"/>
    <w:rsid w:val="00B171EF"/>
    <w:rsid w:val="00B42594"/>
    <w:rsid w:val="00B562E9"/>
    <w:rsid w:val="00BA5E53"/>
    <w:rsid w:val="00BB32BD"/>
    <w:rsid w:val="00BF1755"/>
    <w:rsid w:val="00FC3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4FA2"/>
    <w:pPr>
      <w:ind w:left="720"/>
      <w:contextualSpacing/>
    </w:pPr>
  </w:style>
  <w:style w:type="table" w:styleId="TableGrid">
    <w:name w:val="Table Grid"/>
    <w:basedOn w:val="TableNormal"/>
    <w:uiPriority w:val="59"/>
    <w:rsid w:val="001F4F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52C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2C03"/>
  </w:style>
  <w:style w:type="paragraph" w:styleId="Footer">
    <w:name w:val="footer"/>
    <w:basedOn w:val="Normal"/>
    <w:link w:val="FooterChar"/>
    <w:uiPriority w:val="99"/>
    <w:unhideWhenUsed/>
    <w:rsid w:val="00852C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2C03"/>
  </w:style>
  <w:style w:type="character" w:styleId="CommentReference">
    <w:name w:val="annotation reference"/>
    <w:basedOn w:val="DefaultParagraphFont"/>
    <w:uiPriority w:val="99"/>
    <w:semiHidden/>
    <w:unhideWhenUsed/>
    <w:rsid w:val="008613F8"/>
    <w:rPr>
      <w:sz w:val="16"/>
      <w:szCs w:val="16"/>
    </w:rPr>
  </w:style>
  <w:style w:type="paragraph" w:styleId="CommentText">
    <w:name w:val="annotation text"/>
    <w:basedOn w:val="Normal"/>
    <w:link w:val="CommentTextChar"/>
    <w:uiPriority w:val="99"/>
    <w:semiHidden/>
    <w:unhideWhenUsed/>
    <w:rsid w:val="008613F8"/>
    <w:pPr>
      <w:spacing w:line="240" w:lineRule="auto"/>
    </w:pPr>
    <w:rPr>
      <w:sz w:val="20"/>
      <w:szCs w:val="20"/>
    </w:rPr>
  </w:style>
  <w:style w:type="character" w:customStyle="1" w:styleId="CommentTextChar">
    <w:name w:val="Comment Text Char"/>
    <w:basedOn w:val="DefaultParagraphFont"/>
    <w:link w:val="CommentText"/>
    <w:uiPriority w:val="99"/>
    <w:semiHidden/>
    <w:rsid w:val="008613F8"/>
    <w:rPr>
      <w:sz w:val="20"/>
      <w:szCs w:val="20"/>
    </w:rPr>
  </w:style>
  <w:style w:type="paragraph" w:styleId="CommentSubject">
    <w:name w:val="annotation subject"/>
    <w:basedOn w:val="CommentText"/>
    <w:next w:val="CommentText"/>
    <w:link w:val="CommentSubjectChar"/>
    <w:uiPriority w:val="99"/>
    <w:semiHidden/>
    <w:unhideWhenUsed/>
    <w:rsid w:val="008613F8"/>
    <w:rPr>
      <w:b/>
      <w:bCs/>
    </w:rPr>
  </w:style>
  <w:style w:type="character" w:customStyle="1" w:styleId="CommentSubjectChar">
    <w:name w:val="Comment Subject Char"/>
    <w:basedOn w:val="CommentTextChar"/>
    <w:link w:val="CommentSubject"/>
    <w:uiPriority w:val="99"/>
    <w:semiHidden/>
    <w:rsid w:val="008613F8"/>
    <w:rPr>
      <w:b/>
      <w:bCs/>
      <w:sz w:val="20"/>
      <w:szCs w:val="20"/>
    </w:rPr>
  </w:style>
  <w:style w:type="paragraph" w:styleId="BalloonText">
    <w:name w:val="Balloon Text"/>
    <w:basedOn w:val="Normal"/>
    <w:link w:val="BalloonTextChar"/>
    <w:uiPriority w:val="99"/>
    <w:semiHidden/>
    <w:unhideWhenUsed/>
    <w:rsid w:val="008613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3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4FA2"/>
    <w:pPr>
      <w:ind w:left="720"/>
      <w:contextualSpacing/>
    </w:pPr>
  </w:style>
  <w:style w:type="table" w:styleId="TableGrid">
    <w:name w:val="Table Grid"/>
    <w:basedOn w:val="TableNormal"/>
    <w:uiPriority w:val="59"/>
    <w:rsid w:val="001F4F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52C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2C03"/>
  </w:style>
  <w:style w:type="paragraph" w:styleId="Footer">
    <w:name w:val="footer"/>
    <w:basedOn w:val="Normal"/>
    <w:link w:val="FooterChar"/>
    <w:uiPriority w:val="99"/>
    <w:unhideWhenUsed/>
    <w:rsid w:val="00852C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2C03"/>
  </w:style>
  <w:style w:type="character" w:styleId="CommentReference">
    <w:name w:val="annotation reference"/>
    <w:basedOn w:val="DefaultParagraphFont"/>
    <w:uiPriority w:val="99"/>
    <w:semiHidden/>
    <w:unhideWhenUsed/>
    <w:rsid w:val="008613F8"/>
    <w:rPr>
      <w:sz w:val="16"/>
      <w:szCs w:val="16"/>
    </w:rPr>
  </w:style>
  <w:style w:type="paragraph" w:styleId="CommentText">
    <w:name w:val="annotation text"/>
    <w:basedOn w:val="Normal"/>
    <w:link w:val="CommentTextChar"/>
    <w:uiPriority w:val="99"/>
    <w:semiHidden/>
    <w:unhideWhenUsed/>
    <w:rsid w:val="008613F8"/>
    <w:pPr>
      <w:spacing w:line="240" w:lineRule="auto"/>
    </w:pPr>
    <w:rPr>
      <w:sz w:val="20"/>
      <w:szCs w:val="20"/>
    </w:rPr>
  </w:style>
  <w:style w:type="character" w:customStyle="1" w:styleId="CommentTextChar">
    <w:name w:val="Comment Text Char"/>
    <w:basedOn w:val="DefaultParagraphFont"/>
    <w:link w:val="CommentText"/>
    <w:uiPriority w:val="99"/>
    <w:semiHidden/>
    <w:rsid w:val="008613F8"/>
    <w:rPr>
      <w:sz w:val="20"/>
      <w:szCs w:val="20"/>
    </w:rPr>
  </w:style>
  <w:style w:type="paragraph" w:styleId="CommentSubject">
    <w:name w:val="annotation subject"/>
    <w:basedOn w:val="CommentText"/>
    <w:next w:val="CommentText"/>
    <w:link w:val="CommentSubjectChar"/>
    <w:uiPriority w:val="99"/>
    <w:semiHidden/>
    <w:unhideWhenUsed/>
    <w:rsid w:val="008613F8"/>
    <w:rPr>
      <w:b/>
      <w:bCs/>
    </w:rPr>
  </w:style>
  <w:style w:type="character" w:customStyle="1" w:styleId="CommentSubjectChar">
    <w:name w:val="Comment Subject Char"/>
    <w:basedOn w:val="CommentTextChar"/>
    <w:link w:val="CommentSubject"/>
    <w:uiPriority w:val="99"/>
    <w:semiHidden/>
    <w:rsid w:val="008613F8"/>
    <w:rPr>
      <w:b/>
      <w:bCs/>
      <w:sz w:val="20"/>
      <w:szCs w:val="20"/>
    </w:rPr>
  </w:style>
  <w:style w:type="paragraph" w:styleId="BalloonText">
    <w:name w:val="Balloon Text"/>
    <w:basedOn w:val="Normal"/>
    <w:link w:val="BalloonTextChar"/>
    <w:uiPriority w:val="99"/>
    <w:semiHidden/>
    <w:unhideWhenUsed/>
    <w:rsid w:val="008613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3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1039</Words>
  <Characters>5927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2013-12-16T18:25:00Z</dcterms:created>
  <dcterms:modified xsi:type="dcterms:W3CDTF">2013-12-16T18:25:00Z</dcterms:modified>
</cp:coreProperties>
</file>