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C5" w:rsidRDefault="00D35EB9">
      <w:pPr>
        <w:rPr>
          <w:b/>
        </w:rPr>
      </w:pPr>
      <w:commentRangeStart w:id="0"/>
      <w:proofErr w:type="spellStart"/>
      <w:r>
        <w:rPr>
          <w:b/>
        </w:rPr>
        <w:t>Epi</w:t>
      </w:r>
      <w:proofErr w:type="spellEnd"/>
      <w:r>
        <w:rPr>
          <w:b/>
        </w:rPr>
        <w:t xml:space="preserve"> 536 Homework #3</w:t>
      </w:r>
      <w:commentRangeEnd w:id="0"/>
      <w:r w:rsidR="00E13A20">
        <w:rPr>
          <w:rStyle w:val="CommentReference"/>
        </w:rPr>
        <w:commentReference w:id="0"/>
      </w:r>
      <w:bookmarkStart w:id="1" w:name="_GoBack"/>
      <w:bookmarkEnd w:id="1"/>
    </w:p>
    <w:p w:rsidR="00D35EB9" w:rsidRPr="00D35EB9" w:rsidRDefault="00D35EB9">
      <w:commentRangeStart w:id="2"/>
      <w:r>
        <w:t>1.</w:t>
      </w:r>
      <w:commentRangeEnd w:id="2"/>
      <w:r w:rsidR="009300E6">
        <w:rPr>
          <w:rStyle w:val="CommentReference"/>
        </w:rPr>
        <w:commentReference w:id="2"/>
      </w:r>
      <w:r>
        <w:t xml:space="preserve"> </w:t>
      </w:r>
    </w:p>
    <w:tbl>
      <w:tblPr>
        <w:tblStyle w:val="TableGrid"/>
        <w:tblW w:w="0" w:type="auto"/>
        <w:tblInd w:w="738" w:type="dxa"/>
        <w:tblLook w:val="04A0" w:firstRow="1" w:lastRow="0" w:firstColumn="1" w:lastColumn="0" w:noHBand="0" w:noVBand="1"/>
      </w:tblPr>
      <w:tblGrid>
        <w:gridCol w:w="2790"/>
        <w:gridCol w:w="1890"/>
        <w:gridCol w:w="2250"/>
      </w:tblGrid>
      <w:tr w:rsidR="00D35EB9" w:rsidTr="00C02923">
        <w:tc>
          <w:tcPr>
            <w:tcW w:w="6930" w:type="dxa"/>
            <w:gridSpan w:val="3"/>
            <w:tcBorders>
              <w:bottom w:val="single" w:sz="4" w:space="0" w:color="auto"/>
            </w:tcBorders>
          </w:tcPr>
          <w:p w:rsidR="00D35EB9" w:rsidRPr="00D35EB9" w:rsidRDefault="00D35EB9" w:rsidP="00A1728C">
            <w:pPr>
              <w:rPr>
                <w:b/>
              </w:rPr>
            </w:pPr>
            <w:r>
              <w:rPr>
                <w:b/>
              </w:rPr>
              <w:t xml:space="preserve">TABLE 1. Baseline characteristics of </w:t>
            </w:r>
            <w:r w:rsidR="00E51E3C">
              <w:rPr>
                <w:b/>
              </w:rPr>
              <w:t xml:space="preserve">individuals with </w:t>
            </w:r>
            <w:r w:rsidR="00A1728C">
              <w:rPr>
                <w:b/>
              </w:rPr>
              <w:t xml:space="preserve">hormonally treated </w:t>
            </w:r>
            <w:r>
              <w:rPr>
                <w:b/>
              </w:rPr>
              <w:t xml:space="preserve">prostate cancer </w:t>
            </w:r>
            <w:r w:rsidR="00E51E3C">
              <w:rPr>
                <w:b/>
              </w:rPr>
              <w:t xml:space="preserve">by </w:t>
            </w:r>
            <w:r>
              <w:rPr>
                <w:b/>
              </w:rPr>
              <w:t xml:space="preserve">remission status </w:t>
            </w:r>
            <w:r w:rsidR="00E51E3C">
              <w:rPr>
                <w:b/>
              </w:rPr>
              <w:t>at</w:t>
            </w:r>
            <w:r>
              <w:rPr>
                <w:b/>
              </w:rPr>
              <w:t xml:space="preserve"> 24 months</w:t>
            </w:r>
            <w:r w:rsidR="00E51E3C">
              <w:rPr>
                <w:b/>
              </w:rPr>
              <w:t xml:space="preserve"> </w:t>
            </w:r>
          </w:p>
        </w:tc>
      </w:tr>
      <w:tr w:rsidR="00C02923" w:rsidTr="00C02923">
        <w:tc>
          <w:tcPr>
            <w:tcW w:w="2790" w:type="dxa"/>
            <w:tcBorders>
              <w:bottom w:val="single" w:sz="4" w:space="0" w:color="auto"/>
              <w:right w:val="nil"/>
            </w:tcBorders>
          </w:tcPr>
          <w:p w:rsidR="00D35EB9" w:rsidRDefault="00D35EB9"/>
        </w:tc>
        <w:tc>
          <w:tcPr>
            <w:tcW w:w="1890" w:type="dxa"/>
            <w:tcBorders>
              <w:left w:val="nil"/>
              <w:bottom w:val="single" w:sz="4" w:space="0" w:color="auto"/>
              <w:right w:val="nil"/>
            </w:tcBorders>
          </w:tcPr>
          <w:p w:rsidR="00D35EB9" w:rsidRPr="00D35EB9" w:rsidRDefault="00D35EB9" w:rsidP="00C02923">
            <w:pPr>
              <w:jc w:val="right"/>
              <w:rPr>
                <w:b/>
              </w:rPr>
            </w:pPr>
            <w:commentRangeStart w:id="3"/>
            <w:r>
              <w:rPr>
                <w:b/>
              </w:rPr>
              <w:t xml:space="preserve">Relapse </w:t>
            </w:r>
            <w:commentRangeEnd w:id="3"/>
            <w:r w:rsidR="009300E6">
              <w:rPr>
                <w:rStyle w:val="CommentReference"/>
              </w:rPr>
              <w:commentReference w:id="3"/>
            </w:r>
            <w:r>
              <w:rPr>
                <w:b/>
              </w:rPr>
              <w:t>within 24 months (</w:t>
            </w:r>
            <w:r>
              <w:rPr>
                <w:b/>
                <w:i/>
              </w:rPr>
              <w:t>n=</w:t>
            </w:r>
            <w:r>
              <w:rPr>
                <w:b/>
              </w:rPr>
              <w:t>22)</w:t>
            </w:r>
          </w:p>
        </w:tc>
        <w:tc>
          <w:tcPr>
            <w:tcW w:w="2250" w:type="dxa"/>
            <w:tcBorders>
              <w:left w:val="nil"/>
              <w:bottom w:val="single" w:sz="4" w:space="0" w:color="auto"/>
            </w:tcBorders>
          </w:tcPr>
          <w:p w:rsidR="00D35EB9" w:rsidRPr="00D35EB9" w:rsidRDefault="00D35EB9" w:rsidP="00C02923">
            <w:pPr>
              <w:jc w:val="right"/>
              <w:rPr>
                <w:b/>
              </w:rPr>
            </w:pPr>
            <w:r>
              <w:rPr>
                <w:b/>
              </w:rPr>
              <w:t>No relapse within 24 months (</w:t>
            </w:r>
            <w:r>
              <w:rPr>
                <w:b/>
                <w:i/>
              </w:rPr>
              <w:t>n=</w:t>
            </w:r>
            <w:r>
              <w:rPr>
                <w:b/>
              </w:rPr>
              <w:t>28)</w:t>
            </w:r>
          </w:p>
        </w:tc>
      </w:tr>
      <w:tr w:rsidR="00C02923" w:rsidTr="00C02923">
        <w:tc>
          <w:tcPr>
            <w:tcW w:w="2790" w:type="dxa"/>
            <w:tcBorders>
              <w:bottom w:val="nil"/>
              <w:right w:val="nil"/>
            </w:tcBorders>
          </w:tcPr>
          <w:p w:rsidR="00D35EB9" w:rsidRDefault="00D35EB9">
            <w:r>
              <w:t xml:space="preserve">Age (years), mean </w:t>
            </w:r>
            <w:r w:rsidRPr="001714AE">
              <w:rPr>
                <w:sz w:val="24"/>
                <w:szCs w:val="24"/>
              </w:rPr>
              <w:t>±</w:t>
            </w:r>
            <w:r>
              <w:t xml:space="preserve"> SD</w:t>
            </w:r>
          </w:p>
        </w:tc>
        <w:tc>
          <w:tcPr>
            <w:tcW w:w="1890" w:type="dxa"/>
            <w:tcBorders>
              <w:left w:val="nil"/>
              <w:bottom w:val="nil"/>
              <w:right w:val="nil"/>
            </w:tcBorders>
          </w:tcPr>
          <w:p w:rsidR="00D35EB9" w:rsidRDefault="00A1728C" w:rsidP="00C02923">
            <w:pPr>
              <w:jc w:val="right"/>
            </w:pPr>
            <w:r>
              <w:t xml:space="preserve">68 </w:t>
            </w:r>
            <w:r w:rsidRPr="001714AE">
              <w:rPr>
                <w:sz w:val="24"/>
                <w:szCs w:val="24"/>
              </w:rPr>
              <w:t>±</w:t>
            </w:r>
            <w:r>
              <w:rPr>
                <w:sz w:val="24"/>
                <w:szCs w:val="24"/>
              </w:rPr>
              <w:t xml:space="preserve"> 5.68</w:t>
            </w:r>
          </w:p>
        </w:tc>
        <w:tc>
          <w:tcPr>
            <w:tcW w:w="2250" w:type="dxa"/>
            <w:tcBorders>
              <w:left w:val="nil"/>
              <w:bottom w:val="nil"/>
            </w:tcBorders>
          </w:tcPr>
          <w:p w:rsidR="00D35EB9" w:rsidRDefault="00A1728C" w:rsidP="00C02923">
            <w:pPr>
              <w:jc w:val="right"/>
            </w:pPr>
            <w:r>
              <w:t xml:space="preserve">67 </w:t>
            </w:r>
            <w:r w:rsidRPr="001714AE">
              <w:rPr>
                <w:sz w:val="24"/>
                <w:szCs w:val="24"/>
              </w:rPr>
              <w:t>±</w:t>
            </w:r>
            <w:r>
              <w:rPr>
                <w:sz w:val="24"/>
                <w:szCs w:val="24"/>
              </w:rPr>
              <w:t xml:space="preserve"> 5.84</w:t>
            </w:r>
          </w:p>
        </w:tc>
      </w:tr>
      <w:tr w:rsidR="00C02923" w:rsidTr="00C02923">
        <w:tc>
          <w:tcPr>
            <w:tcW w:w="2790" w:type="dxa"/>
            <w:tcBorders>
              <w:top w:val="nil"/>
              <w:bottom w:val="nil"/>
              <w:right w:val="nil"/>
            </w:tcBorders>
          </w:tcPr>
          <w:p w:rsidR="00D35EB9" w:rsidRDefault="00D35EB9">
            <w:r>
              <w:t>Nadir PSA level (</w:t>
            </w:r>
            <w:proofErr w:type="spellStart"/>
            <w:r>
              <w:t>ng</w:t>
            </w:r>
            <w:proofErr w:type="spellEnd"/>
            <w:r>
              <w:t xml:space="preserve">/mL), mean </w:t>
            </w:r>
            <w:r w:rsidRPr="001714AE">
              <w:rPr>
                <w:sz w:val="24"/>
                <w:szCs w:val="24"/>
              </w:rPr>
              <w:t>±</w:t>
            </w:r>
            <w:r>
              <w:t xml:space="preserve"> SD</w:t>
            </w:r>
          </w:p>
        </w:tc>
        <w:tc>
          <w:tcPr>
            <w:tcW w:w="1890" w:type="dxa"/>
            <w:tcBorders>
              <w:top w:val="nil"/>
              <w:left w:val="nil"/>
              <w:bottom w:val="nil"/>
              <w:right w:val="nil"/>
            </w:tcBorders>
          </w:tcPr>
          <w:p w:rsidR="00D35EB9" w:rsidRDefault="00A1728C" w:rsidP="00C02923">
            <w:pPr>
              <w:jc w:val="right"/>
            </w:pPr>
            <w:r>
              <w:t xml:space="preserve">31.9 </w:t>
            </w:r>
            <w:r w:rsidRPr="001714AE">
              <w:rPr>
                <w:sz w:val="24"/>
                <w:szCs w:val="24"/>
              </w:rPr>
              <w:t>±</w:t>
            </w:r>
            <w:r>
              <w:rPr>
                <w:sz w:val="24"/>
                <w:szCs w:val="24"/>
              </w:rPr>
              <w:t xml:space="preserve"> 52.5</w:t>
            </w:r>
          </w:p>
        </w:tc>
        <w:tc>
          <w:tcPr>
            <w:tcW w:w="2250" w:type="dxa"/>
            <w:tcBorders>
              <w:top w:val="nil"/>
              <w:left w:val="nil"/>
              <w:bottom w:val="nil"/>
            </w:tcBorders>
          </w:tcPr>
          <w:p w:rsidR="00D35EB9" w:rsidRDefault="00A1728C" w:rsidP="00C02923">
            <w:pPr>
              <w:jc w:val="right"/>
            </w:pPr>
            <w:r>
              <w:t xml:space="preserve">4.12 </w:t>
            </w:r>
            <w:r w:rsidRPr="001714AE">
              <w:rPr>
                <w:sz w:val="24"/>
                <w:szCs w:val="24"/>
              </w:rPr>
              <w:t>±</w:t>
            </w:r>
            <w:r>
              <w:rPr>
                <w:sz w:val="24"/>
                <w:szCs w:val="24"/>
              </w:rPr>
              <w:t xml:space="preserve"> 17.3</w:t>
            </w:r>
          </w:p>
        </w:tc>
      </w:tr>
      <w:tr w:rsidR="00C02923" w:rsidTr="00C02923">
        <w:tc>
          <w:tcPr>
            <w:tcW w:w="2790" w:type="dxa"/>
            <w:tcBorders>
              <w:top w:val="nil"/>
              <w:bottom w:val="nil"/>
              <w:right w:val="nil"/>
            </w:tcBorders>
          </w:tcPr>
          <w:p w:rsidR="00D35EB9" w:rsidRDefault="00D35EB9">
            <w:r>
              <w:t>PSA level prior to treatment (</w:t>
            </w:r>
            <w:proofErr w:type="spellStart"/>
            <w:r>
              <w:t>ng</w:t>
            </w:r>
            <w:proofErr w:type="spellEnd"/>
            <w:r>
              <w:t xml:space="preserve">/mL), mean </w:t>
            </w:r>
            <w:r w:rsidRPr="001714AE">
              <w:rPr>
                <w:sz w:val="24"/>
                <w:szCs w:val="24"/>
              </w:rPr>
              <w:t>±</w:t>
            </w:r>
            <w:r>
              <w:t xml:space="preserve"> SD</w:t>
            </w:r>
            <w:r w:rsidR="00A1728C">
              <w:t>*</w:t>
            </w:r>
          </w:p>
        </w:tc>
        <w:tc>
          <w:tcPr>
            <w:tcW w:w="1890" w:type="dxa"/>
            <w:tcBorders>
              <w:top w:val="nil"/>
              <w:left w:val="nil"/>
              <w:bottom w:val="nil"/>
              <w:right w:val="nil"/>
            </w:tcBorders>
          </w:tcPr>
          <w:p w:rsidR="00D35EB9" w:rsidRDefault="00A1728C" w:rsidP="00C02923">
            <w:pPr>
              <w:jc w:val="right"/>
            </w:pPr>
            <w:r>
              <w:t xml:space="preserve">732 </w:t>
            </w:r>
            <w:r w:rsidRPr="001714AE">
              <w:rPr>
                <w:sz w:val="24"/>
                <w:szCs w:val="24"/>
              </w:rPr>
              <w:t>±</w:t>
            </w:r>
            <w:r>
              <w:rPr>
                <w:sz w:val="24"/>
                <w:szCs w:val="24"/>
              </w:rPr>
              <w:t>1360</w:t>
            </w:r>
          </w:p>
        </w:tc>
        <w:tc>
          <w:tcPr>
            <w:tcW w:w="2250" w:type="dxa"/>
            <w:tcBorders>
              <w:top w:val="nil"/>
              <w:left w:val="nil"/>
              <w:bottom w:val="nil"/>
            </w:tcBorders>
          </w:tcPr>
          <w:p w:rsidR="00D35EB9" w:rsidRDefault="00A1728C" w:rsidP="00C02923">
            <w:pPr>
              <w:jc w:val="right"/>
            </w:pPr>
            <w:r>
              <w:t xml:space="preserve">617 </w:t>
            </w:r>
            <w:r w:rsidRPr="001714AE">
              <w:rPr>
                <w:sz w:val="24"/>
                <w:szCs w:val="24"/>
              </w:rPr>
              <w:t>±</w:t>
            </w:r>
            <w:r w:rsidR="00C02923">
              <w:rPr>
                <w:sz w:val="24"/>
                <w:szCs w:val="24"/>
              </w:rPr>
              <w:t xml:space="preserve"> 1250</w:t>
            </w:r>
          </w:p>
        </w:tc>
      </w:tr>
      <w:tr w:rsidR="00C02923" w:rsidTr="00C02923">
        <w:tc>
          <w:tcPr>
            <w:tcW w:w="2790" w:type="dxa"/>
            <w:tcBorders>
              <w:top w:val="nil"/>
              <w:bottom w:val="nil"/>
              <w:right w:val="nil"/>
            </w:tcBorders>
          </w:tcPr>
          <w:p w:rsidR="00D35EB9" w:rsidRDefault="00D35EB9">
            <w:r>
              <w:t>Bone scan score, n (%)</w:t>
            </w:r>
            <w:r w:rsidR="001D6112">
              <w:t>*</w:t>
            </w:r>
          </w:p>
        </w:tc>
        <w:tc>
          <w:tcPr>
            <w:tcW w:w="1890" w:type="dxa"/>
            <w:tcBorders>
              <w:top w:val="nil"/>
              <w:left w:val="nil"/>
              <w:bottom w:val="nil"/>
              <w:right w:val="nil"/>
            </w:tcBorders>
          </w:tcPr>
          <w:p w:rsidR="00D35EB9" w:rsidRDefault="00D35EB9" w:rsidP="00C02923">
            <w:pPr>
              <w:jc w:val="right"/>
            </w:pPr>
          </w:p>
        </w:tc>
        <w:tc>
          <w:tcPr>
            <w:tcW w:w="2250" w:type="dxa"/>
            <w:tcBorders>
              <w:top w:val="nil"/>
              <w:left w:val="nil"/>
              <w:bottom w:val="nil"/>
            </w:tcBorders>
          </w:tcPr>
          <w:p w:rsidR="00D35EB9" w:rsidRDefault="00D35EB9" w:rsidP="00C02923">
            <w:pPr>
              <w:jc w:val="right"/>
            </w:pPr>
          </w:p>
        </w:tc>
      </w:tr>
      <w:tr w:rsidR="00E51E3C" w:rsidTr="00C02923">
        <w:tc>
          <w:tcPr>
            <w:tcW w:w="2790" w:type="dxa"/>
            <w:tcBorders>
              <w:top w:val="nil"/>
              <w:bottom w:val="nil"/>
              <w:right w:val="nil"/>
            </w:tcBorders>
          </w:tcPr>
          <w:p w:rsidR="00E51E3C" w:rsidRDefault="00E51E3C" w:rsidP="007E48EA">
            <w:pPr>
              <w:ind w:left="360"/>
            </w:pPr>
            <w:r>
              <w:t>1</w:t>
            </w:r>
          </w:p>
        </w:tc>
        <w:tc>
          <w:tcPr>
            <w:tcW w:w="1890" w:type="dxa"/>
            <w:tcBorders>
              <w:top w:val="nil"/>
              <w:left w:val="nil"/>
              <w:bottom w:val="nil"/>
              <w:right w:val="nil"/>
            </w:tcBorders>
          </w:tcPr>
          <w:p w:rsidR="00E51E3C" w:rsidRDefault="00C02923" w:rsidP="00C02923">
            <w:pPr>
              <w:jc w:val="right"/>
            </w:pPr>
            <w:r>
              <w:t>0 (0)</w:t>
            </w:r>
          </w:p>
        </w:tc>
        <w:tc>
          <w:tcPr>
            <w:tcW w:w="2250" w:type="dxa"/>
            <w:tcBorders>
              <w:top w:val="nil"/>
              <w:left w:val="nil"/>
              <w:bottom w:val="nil"/>
            </w:tcBorders>
          </w:tcPr>
          <w:p w:rsidR="00E51E3C" w:rsidRDefault="00C02923" w:rsidP="00C02923">
            <w:pPr>
              <w:jc w:val="right"/>
            </w:pPr>
            <w:r>
              <w:t>5 (18)</w:t>
            </w:r>
          </w:p>
        </w:tc>
      </w:tr>
      <w:tr w:rsidR="00E51E3C" w:rsidTr="00C02923">
        <w:tc>
          <w:tcPr>
            <w:tcW w:w="2790" w:type="dxa"/>
            <w:tcBorders>
              <w:top w:val="nil"/>
              <w:bottom w:val="nil"/>
              <w:right w:val="nil"/>
            </w:tcBorders>
          </w:tcPr>
          <w:p w:rsidR="00E51E3C" w:rsidRDefault="00E51E3C" w:rsidP="007E48EA">
            <w:pPr>
              <w:ind w:left="360"/>
            </w:pPr>
            <w:r>
              <w:t>2</w:t>
            </w:r>
          </w:p>
        </w:tc>
        <w:tc>
          <w:tcPr>
            <w:tcW w:w="1890" w:type="dxa"/>
            <w:tcBorders>
              <w:top w:val="nil"/>
              <w:left w:val="nil"/>
              <w:bottom w:val="nil"/>
              <w:right w:val="nil"/>
            </w:tcBorders>
          </w:tcPr>
          <w:p w:rsidR="00E51E3C" w:rsidRDefault="00C02923" w:rsidP="00C02923">
            <w:pPr>
              <w:jc w:val="right"/>
            </w:pPr>
            <w:r>
              <w:t>4 (20)</w:t>
            </w:r>
          </w:p>
        </w:tc>
        <w:tc>
          <w:tcPr>
            <w:tcW w:w="2250" w:type="dxa"/>
            <w:tcBorders>
              <w:top w:val="nil"/>
              <w:left w:val="nil"/>
              <w:bottom w:val="nil"/>
            </w:tcBorders>
          </w:tcPr>
          <w:p w:rsidR="00E51E3C" w:rsidRDefault="00C02923" w:rsidP="00C02923">
            <w:pPr>
              <w:jc w:val="right"/>
            </w:pPr>
            <w:r>
              <w:t>9 (32)</w:t>
            </w:r>
          </w:p>
        </w:tc>
      </w:tr>
      <w:tr w:rsidR="00E51E3C" w:rsidTr="00C02923">
        <w:tc>
          <w:tcPr>
            <w:tcW w:w="2790" w:type="dxa"/>
            <w:tcBorders>
              <w:top w:val="nil"/>
              <w:bottom w:val="nil"/>
              <w:right w:val="nil"/>
            </w:tcBorders>
          </w:tcPr>
          <w:p w:rsidR="00E51E3C" w:rsidRDefault="00E51E3C" w:rsidP="007E48EA">
            <w:pPr>
              <w:ind w:left="360"/>
            </w:pPr>
            <w:r>
              <w:t>3</w:t>
            </w:r>
          </w:p>
        </w:tc>
        <w:tc>
          <w:tcPr>
            <w:tcW w:w="1890" w:type="dxa"/>
            <w:tcBorders>
              <w:top w:val="nil"/>
              <w:left w:val="nil"/>
              <w:bottom w:val="nil"/>
              <w:right w:val="nil"/>
            </w:tcBorders>
          </w:tcPr>
          <w:p w:rsidR="00E51E3C" w:rsidRDefault="00C02923" w:rsidP="00C02923">
            <w:pPr>
              <w:jc w:val="right"/>
            </w:pPr>
            <w:r>
              <w:t>16 (80)</w:t>
            </w:r>
          </w:p>
        </w:tc>
        <w:tc>
          <w:tcPr>
            <w:tcW w:w="2250" w:type="dxa"/>
            <w:tcBorders>
              <w:top w:val="nil"/>
              <w:left w:val="nil"/>
              <w:bottom w:val="nil"/>
            </w:tcBorders>
          </w:tcPr>
          <w:p w:rsidR="00E51E3C" w:rsidRDefault="00C02923" w:rsidP="00C02923">
            <w:pPr>
              <w:jc w:val="right"/>
            </w:pPr>
            <w:r>
              <w:t>14 (50)</w:t>
            </w:r>
          </w:p>
        </w:tc>
      </w:tr>
      <w:tr w:rsidR="00C02923" w:rsidTr="00C02923">
        <w:tc>
          <w:tcPr>
            <w:tcW w:w="2790" w:type="dxa"/>
            <w:tcBorders>
              <w:top w:val="nil"/>
              <w:bottom w:val="nil"/>
              <w:right w:val="nil"/>
            </w:tcBorders>
          </w:tcPr>
          <w:p w:rsidR="00E51E3C" w:rsidRDefault="00E51E3C">
            <w:r>
              <w:t>Tumor grade, n (%)</w:t>
            </w:r>
            <w:r w:rsidR="001D6112">
              <w:t>*</w:t>
            </w:r>
          </w:p>
        </w:tc>
        <w:tc>
          <w:tcPr>
            <w:tcW w:w="1890" w:type="dxa"/>
            <w:tcBorders>
              <w:top w:val="nil"/>
              <w:left w:val="nil"/>
              <w:bottom w:val="nil"/>
              <w:right w:val="nil"/>
            </w:tcBorders>
          </w:tcPr>
          <w:p w:rsidR="00E51E3C" w:rsidRDefault="00E51E3C" w:rsidP="00C02923">
            <w:pPr>
              <w:jc w:val="right"/>
            </w:pPr>
          </w:p>
        </w:tc>
        <w:tc>
          <w:tcPr>
            <w:tcW w:w="2250" w:type="dxa"/>
            <w:tcBorders>
              <w:top w:val="nil"/>
              <w:left w:val="nil"/>
              <w:bottom w:val="nil"/>
            </w:tcBorders>
          </w:tcPr>
          <w:p w:rsidR="00E51E3C" w:rsidRDefault="00E51E3C" w:rsidP="00C02923">
            <w:pPr>
              <w:jc w:val="right"/>
            </w:pPr>
          </w:p>
        </w:tc>
      </w:tr>
      <w:tr w:rsidR="00E51E3C" w:rsidTr="00C02923">
        <w:tc>
          <w:tcPr>
            <w:tcW w:w="2790" w:type="dxa"/>
            <w:tcBorders>
              <w:top w:val="nil"/>
              <w:bottom w:val="nil"/>
              <w:right w:val="nil"/>
            </w:tcBorders>
          </w:tcPr>
          <w:p w:rsidR="00E51E3C" w:rsidRDefault="00E51E3C" w:rsidP="00E51E3C">
            <w:pPr>
              <w:ind w:left="360"/>
            </w:pPr>
            <w:r>
              <w:t>1</w:t>
            </w:r>
          </w:p>
        </w:tc>
        <w:tc>
          <w:tcPr>
            <w:tcW w:w="1890" w:type="dxa"/>
            <w:tcBorders>
              <w:top w:val="nil"/>
              <w:left w:val="nil"/>
              <w:bottom w:val="nil"/>
              <w:right w:val="nil"/>
            </w:tcBorders>
          </w:tcPr>
          <w:p w:rsidR="00E51E3C" w:rsidRDefault="00C02923" w:rsidP="00C02923">
            <w:pPr>
              <w:jc w:val="right"/>
            </w:pPr>
            <w:r>
              <w:t>3 (18)</w:t>
            </w:r>
          </w:p>
        </w:tc>
        <w:tc>
          <w:tcPr>
            <w:tcW w:w="2250" w:type="dxa"/>
            <w:tcBorders>
              <w:top w:val="nil"/>
              <w:left w:val="nil"/>
              <w:bottom w:val="nil"/>
            </w:tcBorders>
          </w:tcPr>
          <w:p w:rsidR="00E51E3C" w:rsidRDefault="00C02923" w:rsidP="00C02923">
            <w:pPr>
              <w:jc w:val="right"/>
            </w:pPr>
            <w:r>
              <w:t>7 (29)</w:t>
            </w:r>
          </w:p>
        </w:tc>
      </w:tr>
      <w:tr w:rsidR="00E51E3C" w:rsidTr="00C02923">
        <w:tc>
          <w:tcPr>
            <w:tcW w:w="2790" w:type="dxa"/>
            <w:tcBorders>
              <w:top w:val="nil"/>
              <w:bottom w:val="nil"/>
              <w:right w:val="nil"/>
            </w:tcBorders>
          </w:tcPr>
          <w:p w:rsidR="00E51E3C" w:rsidRDefault="00E51E3C" w:rsidP="00E51E3C">
            <w:pPr>
              <w:ind w:left="360"/>
            </w:pPr>
            <w:r>
              <w:t>2</w:t>
            </w:r>
          </w:p>
        </w:tc>
        <w:tc>
          <w:tcPr>
            <w:tcW w:w="1890" w:type="dxa"/>
            <w:tcBorders>
              <w:top w:val="nil"/>
              <w:left w:val="nil"/>
              <w:bottom w:val="nil"/>
              <w:right w:val="nil"/>
            </w:tcBorders>
          </w:tcPr>
          <w:p w:rsidR="00E51E3C" w:rsidRDefault="00C02923" w:rsidP="00C02923">
            <w:pPr>
              <w:jc w:val="right"/>
            </w:pPr>
            <w:r>
              <w:t>7 (41)</w:t>
            </w:r>
          </w:p>
        </w:tc>
        <w:tc>
          <w:tcPr>
            <w:tcW w:w="2250" w:type="dxa"/>
            <w:tcBorders>
              <w:top w:val="nil"/>
              <w:left w:val="nil"/>
              <w:bottom w:val="nil"/>
            </w:tcBorders>
          </w:tcPr>
          <w:p w:rsidR="00E51E3C" w:rsidRDefault="00C02923" w:rsidP="00C02923">
            <w:pPr>
              <w:jc w:val="right"/>
            </w:pPr>
            <w:r>
              <w:t>8 (33)</w:t>
            </w:r>
          </w:p>
        </w:tc>
      </w:tr>
      <w:tr w:rsidR="00E51E3C" w:rsidTr="00C02923">
        <w:tc>
          <w:tcPr>
            <w:tcW w:w="2790" w:type="dxa"/>
            <w:tcBorders>
              <w:top w:val="nil"/>
              <w:bottom w:val="nil"/>
              <w:right w:val="nil"/>
            </w:tcBorders>
          </w:tcPr>
          <w:p w:rsidR="00E51E3C" w:rsidRDefault="00E51E3C" w:rsidP="00E51E3C">
            <w:pPr>
              <w:ind w:left="360"/>
            </w:pPr>
            <w:r>
              <w:t>3</w:t>
            </w:r>
          </w:p>
        </w:tc>
        <w:tc>
          <w:tcPr>
            <w:tcW w:w="1890" w:type="dxa"/>
            <w:tcBorders>
              <w:top w:val="nil"/>
              <w:left w:val="nil"/>
              <w:bottom w:val="nil"/>
              <w:right w:val="nil"/>
            </w:tcBorders>
          </w:tcPr>
          <w:p w:rsidR="00E51E3C" w:rsidRDefault="00C02923" w:rsidP="00C02923">
            <w:pPr>
              <w:jc w:val="right"/>
            </w:pPr>
            <w:r>
              <w:t>7 (41)</w:t>
            </w:r>
          </w:p>
        </w:tc>
        <w:tc>
          <w:tcPr>
            <w:tcW w:w="2250" w:type="dxa"/>
            <w:tcBorders>
              <w:top w:val="nil"/>
              <w:left w:val="nil"/>
              <w:bottom w:val="nil"/>
            </w:tcBorders>
          </w:tcPr>
          <w:p w:rsidR="00E51E3C" w:rsidRDefault="00C02923" w:rsidP="00C02923">
            <w:pPr>
              <w:jc w:val="right"/>
            </w:pPr>
            <w:r>
              <w:t>9 (38)</w:t>
            </w:r>
          </w:p>
        </w:tc>
      </w:tr>
      <w:tr w:rsidR="00C02923" w:rsidTr="00C02923">
        <w:tc>
          <w:tcPr>
            <w:tcW w:w="2790" w:type="dxa"/>
            <w:tcBorders>
              <w:top w:val="nil"/>
              <w:bottom w:val="nil"/>
              <w:right w:val="nil"/>
            </w:tcBorders>
          </w:tcPr>
          <w:p w:rsidR="00E51E3C" w:rsidRDefault="00E51E3C">
            <w:r>
              <w:t>Performance status, n (%)</w:t>
            </w:r>
            <w:r w:rsidR="001D6112">
              <w:t>*</w:t>
            </w:r>
          </w:p>
        </w:tc>
        <w:tc>
          <w:tcPr>
            <w:tcW w:w="1890" w:type="dxa"/>
            <w:tcBorders>
              <w:top w:val="nil"/>
              <w:left w:val="nil"/>
              <w:bottom w:val="nil"/>
              <w:right w:val="nil"/>
            </w:tcBorders>
          </w:tcPr>
          <w:p w:rsidR="00E51E3C" w:rsidRDefault="00E51E3C" w:rsidP="00C02923">
            <w:pPr>
              <w:jc w:val="right"/>
            </w:pPr>
          </w:p>
        </w:tc>
        <w:tc>
          <w:tcPr>
            <w:tcW w:w="2250" w:type="dxa"/>
            <w:tcBorders>
              <w:top w:val="nil"/>
              <w:left w:val="nil"/>
              <w:bottom w:val="nil"/>
            </w:tcBorders>
          </w:tcPr>
          <w:p w:rsidR="00E51E3C" w:rsidRDefault="00E51E3C" w:rsidP="00C02923">
            <w:pPr>
              <w:jc w:val="right"/>
            </w:pPr>
          </w:p>
        </w:tc>
      </w:tr>
      <w:tr w:rsidR="001D6112" w:rsidTr="00C02923">
        <w:tc>
          <w:tcPr>
            <w:tcW w:w="2790" w:type="dxa"/>
            <w:tcBorders>
              <w:top w:val="nil"/>
              <w:bottom w:val="nil"/>
              <w:right w:val="nil"/>
            </w:tcBorders>
          </w:tcPr>
          <w:p w:rsidR="001D6112" w:rsidRDefault="001D6112" w:rsidP="001D6112">
            <w:pPr>
              <w:ind w:left="360"/>
            </w:pPr>
            <w:r>
              <w:t>50</w:t>
            </w:r>
          </w:p>
        </w:tc>
        <w:tc>
          <w:tcPr>
            <w:tcW w:w="1890" w:type="dxa"/>
            <w:tcBorders>
              <w:top w:val="nil"/>
              <w:left w:val="nil"/>
              <w:bottom w:val="nil"/>
              <w:right w:val="nil"/>
            </w:tcBorders>
          </w:tcPr>
          <w:p w:rsidR="001D6112" w:rsidRDefault="00C02923" w:rsidP="00C02923">
            <w:pPr>
              <w:jc w:val="right"/>
            </w:pPr>
            <w:r>
              <w:t>1 (5)</w:t>
            </w:r>
          </w:p>
        </w:tc>
        <w:tc>
          <w:tcPr>
            <w:tcW w:w="2250" w:type="dxa"/>
            <w:tcBorders>
              <w:top w:val="nil"/>
              <w:left w:val="nil"/>
              <w:bottom w:val="nil"/>
            </w:tcBorders>
          </w:tcPr>
          <w:p w:rsidR="001D6112" w:rsidRDefault="00C02923" w:rsidP="00C02923">
            <w:pPr>
              <w:jc w:val="right"/>
            </w:pPr>
            <w:r>
              <w:t>1 (4)</w:t>
            </w:r>
          </w:p>
        </w:tc>
      </w:tr>
      <w:tr w:rsidR="001D6112" w:rsidTr="00C02923">
        <w:tc>
          <w:tcPr>
            <w:tcW w:w="2790" w:type="dxa"/>
            <w:tcBorders>
              <w:top w:val="nil"/>
              <w:bottom w:val="nil"/>
              <w:right w:val="nil"/>
            </w:tcBorders>
          </w:tcPr>
          <w:p w:rsidR="001D6112" w:rsidRDefault="001D6112" w:rsidP="001D6112">
            <w:pPr>
              <w:ind w:left="360"/>
            </w:pPr>
            <w:r>
              <w:t>60</w:t>
            </w:r>
          </w:p>
        </w:tc>
        <w:tc>
          <w:tcPr>
            <w:tcW w:w="1890" w:type="dxa"/>
            <w:tcBorders>
              <w:top w:val="nil"/>
              <w:left w:val="nil"/>
              <w:bottom w:val="nil"/>
              <w:right w:val="nil"/>
            </w:tcBorders>
          </w:tcPr>
          <w:p w:rsidR="001D6112" w:rsidRDefault="00C02923" w:rsidP="00C02923">
            <w:pPr>
              <w:jc w:val="right"/>
            </w:pPr>
            <w:r>
              <w:t>2 (10)</w:t>
            </w:r>
          </w:p>
        </w:tc>
        <w:tc>
          <w:tcPr>
            <w:tcW w:w="2250" w:type="dxa"/>
            <w:tcBorders>
              <w:top w:val="nil"/>
              <w:left w:val="nil"/>
              <w:bottom w:val="nil"/>
            </w:tcBorders>
          </w:tcPr>
          <w:p w:rsidR="001D6112" w:rsidRDefault="00C02923" w:rsidP="00C02923">
            <w:pPr>
              <w:jc w:val="right"/>
            </w:pPr>
            <w:r>
              <w:t>0 (0)</w:t>
            </w:r>
          </w:p>
        </w:tc>
      </w:tr>
      <w:tr w:rsidR="001D6112" w:rsidTr="00C02923">
        <w:tc>
          <w:tcPr>
            <w:tcW w:w="2790" w:type="dxa"/>
            <w:tcBorders>
              <w:top w:val="nil"/>
              <w:bottom w:val="nil"/>
              <w:right w:val="nil"/>
            </w:tcBorders>
          </w:tcPr>
          <w:p w:rsidR="001D6112" w:rsidRDefault="001D6112" w:rsidP="001D6112">
            <w:pPr>
              <w:ind w:left="360"/>
            </w:pPr>
            <w:r>
              <w:t>70</w:t>
            </w:r>
          </w:p>
        </w:tc>
        <w:tc>
          <w:tcPr>
            <w:tcW w:w="1890" w:type="dxa"/>
            <w:tcBorders>
              <w:top w:val="nil"/>
              <w:left w:val="nil"/>
              <w:bottom w:val="nil"/>
              <w:right w:val="nil"/>
            </w:tcBorders>
          </w:tcPr>
          <w:p w:rsidR="001D6112" w:rsidRDefault="00C02923" w:rsidP="00C02923">
            <w:pPr>
              <w:jc w:val="right"/>
            </w:pPr>
            <w:r>
              <w:t>5 (25)</w:t>
            </w:r>
          </w:p>
        </w:tc>
        <w:tc>
          <w:tcPr>
            <w:tcW w:w="2250" w:type="dxa"/>
            <w:tcBorders>
              <w:top w:val="nil"/>
              <w:left w:val="nil"/>
              <w:bottom w:val="nil"/>
            </w:tcBorders>
          </w:tcPr>
          <w:p w:rsidR="001D6112" w:rsidRDefault="00C02923" w:rsidP="00C02923">
            <w:pPr>
              <w:jc w:val="right"/>
            </w:pPr>
            <w:r>
              <w:t>1 (4)</w:t>
            </w:r>
          </w:p>
        </w:tc>
      </w:tr>
      <w:tr w:rsidR="001D6112" w:rsidTr="00C02923">
        <w:tc>
          <w:tcPr>
            <w:tcW w:w="2790" w:type="dxa"/>
            <w:tcBorders>
              <w:top w:val="nil"/>
              <w:bottom w:val="nil"/>
              <w:right w:val="nil"/>
            </w:tcBorders>
          </w:tcPr>
          <w:p w:rsidR="001D6112" w:rsidRDefault="001D6112" w:rsidP="001D6112">
            <w:pPr>
              <w:ind w:left="360"/>
            </w:pPr>
            <w:r>
              <w:t>80</w:t>
            </w:r>
          </w:p>
        </w:tc>
        <w:tc>
          <w:tcPr>
            <w:tcW w:w="1890" w:type="dxa"/>
            <w:tcBorders>
              <w:top w:val="nil"/>
              <w:left w:val="nil"/>
              <w:bottom w:val="nil"/>
              <w:right w:val="nil"/>
            </w:tcBorders>
          </w:tcPr>
          <w:p w:rsidR="001D6112" w:rsidRDefault="00C02923" w:rsidP="00C02923">
            <w:pPr>
              <w:jc w:val="right"/>
            </w:pPr>
            <w:r>
              <w:t>8 (40)</w:t>
            </w:r>
          </w:p>
        </w:tc>
        <w:tc>
          <w:tcPr>
            <w:tcW w:w="2250" w:type="dxa"/>
            <w:tcBorders>
              <w:top w:val="nil"/>
              <w:left w:val="nil"/>
              <w:bottom w:val="nil"/>
            </w:tcBorders>
          </w:tcPr>
          <w:p w:rsidR="001D6112" w:rsidRDefault="00C02923" w:rsidP="00C02923">
            <w:pPr>
              <w:jc w:val="right"/>
            </w:pPr>
            <w:r>
              <w:t>13 (46)</w:t>
            </w:r>
          </w:p>
        </w:tc>
      </w:tr>
      <w:tr w:rsidR="001D6112" w:rsidTr="00C02923">
        <w:tc>
          <w:tcPr>
            <w:tcW w:w="2790" w:type="dxa"/>
            <w:tcBorders>
              <w:top w:val="nil"/>
              <w:bottom w:val="nil"/>
              <w:right w:val="nil"/>
            </w:tcBorders>
          </w:tcPr>
          <w:p w:rsidR="001D6112" w:rsidRDefault="001D6112" w:rsidP="001D6112">
            <w:pPr>
              <w:ind w:left="360"/>
            </w:pPr>
            <w:r>
              <w:t>90</w:t>
            </w:r>
          </w:p>
        </w:tc>
        <w:tc>
          <w:tcPr>
            <w:tcW w:w="1890" w:type="dxa"/>
            <w:tcBorders>
              <w:top w:val="nil"/>
              <w:left w:val="nil"/>
              <w:bottom w:val="nil"/>
              <w:right w:val="nil"/>
            </w:tcBorders>
          </w:tcPr>
          <w:p w:rsidR="001D6112" w:rsidRDefault="00C02923" w:rsidP="00C02923">
            <w:pPr>
              <w:jc w:val="right"/>
            </w:pPr>
            <w:r>
              <w:t>3 (15)</w:t>
            </w:r>
          </w:p>
        </w:tc>
        <w:tc>
          <w:tcPr>
            <w:tcW w:w="2250" w:type="dxa"/>
            <w:tcBorders>
              <w:top w:val="nil"/>
              <w:left w:val="nil"/>
              <w:bottom w:val="nil"/>
            </w:tcBorders>
          </w:tcPr>
          <w:p w:rsidR="001D6112" w:rsidRDefault="00C02923" w:rsidP="00C02923">
            <w:pPr>
              <w:jc w:val="right"/>
            </w:pPr>
            <w:r>
              <w:t>11 (39)</w:t>
            </w:r>
          </w:p>
        </w:tc>
      </w:tr>
      <w:tr w:rsidR="001D6112" w:rsidTr="00C02923">
        <w:tc>
          <w:tcPr>
            <w:tcW w:w="2790" w:type="dxa"/>
            <w:tcBorders>
              <w:top w:val="nil"/>
              <w:right w:val="nil"/>
            </w:tcBorders>
          </w:tcPr>
          <w:p w:rsidR="001D6112" w:rsidRDefault="001D6112" w:rsidP="001D6112">
            <w:pPr>
              <w:ind w:left="360"/>
            </w:pPr>
            <w:r>
              <w:t>100</w:t>
            </w:r>
          </w:p>
        </w:tc>
        <w:tc>
          <w:tcPr>
            <w:tcW w:w="1890" w:type="dxa"/>
            <w:tcBorders>
              <w:top w:val="nil"/>
              <w:left w:val="nil"/>
              <w:right w:val="nil"/>
            </w:tcBorders>
          </w:tcPr>
          <w:p w:rsidR="001D6112" w:rsidRDefault="00C02923" w:rsidP="00C02923">
            <w:pPr>
              <w:jc w:val="right"/>
            </w:pPr>
            <w:r>
              <w:t>1 (5)</w:t>
            </w:r>
          </w:p>
        </w:tc>
        <w:tc>
          <w:tcPr>
            <w:tcW w:w="2250" w:type="dxa"/>
            <w:tcBorders>
              <w:top w:val="nil"/>
              <w:left w:val="nil"/>
            </w:tcBorders>
          </w:tcPr>
          <w:p w:rsidR="001D6112" w:rsidRDefault="00C02923" w:rsidP="00C02923">
            <w:pPr>
              <w:jc w:val="right"/>
            </w:pPr>
            <w:r>
              <w:t>2 (7)</w:t>
            </w:r>
          </w:p>
        </w:tc>
      </w:tr>
      <w:tr w:rsidR="001D6112" w:rsidTr="00C02923">
        <w:tc>
          <w:tcPr>
            <w:tcW w:w="6930" w:type="dxa"/>
            <w:gridSpan w:val="3"/>
          </w:tcPr>
          <w:p w:rsidR="001D6112" w:rsidRDefault="001D6112">
            <w:r>
              <w:t>*Presented values are of non-missing data</w:t>
            </w:r>
          </w:p>
        </w:tc>
      </w:tr>
    </w:tbl>
    <w:p w:rsidR="00D35EB9" w:rsidRDefault="00D35EB9"/>
    <w:p w:rsidR="00C02923" w:rsidRDefault="00B812C0">
      <w:r>
        <w:t>2</w:t>
      </w:r>
      <w:commentRangeStart w:id="4"/>
      <w:r>
        <w:t xml:space="preserve">.a. </w:t>
      </w:r>
      <w:commentRangeEnd w:id="4"/>
      <w:r w:rsidR="009300E6">
        <w:rPr>
          <w:rStyle w:val="CommentReference"/>
        </w:rPr>
        <w:commentReference w:id="4"/>
      </w:r>
      <w:r>
        <w:t>On average, the odds ratio for relapse within 24 months of hormonally treated prostate cancer (from here on referred to as “</w:t>
      </w:r>
      <w:r w:rsidR="00A578EE">
        <w:t>relapse</w:t>
      </w:r>
      <w:r>
        <w:t xml:space="preserve">”) between subjects with </w:t>
      </w:r>
      <w:r w:rsidR="00A578EE">
        <w:t>levels of nadir PSA</w:t>
      </w:r>
      <w:r w:rsidR="002F687D">
        <w:t xml:space="preserve"> that vary by 1 </w:t>
      </w:r>
      <w:proofErr w:type="spellStart"/>
      <w:r w:rsidR="002F687D">
        <w:t>ng</w:t>
      </w:r>
      <w:proofErr w:type="spellEnd"/>
      <w:r w:rsidR="002F687D">
        <w:t>/mL</w:t>
      </w:r>
      <w:r>
        <w:t xml:space="preserve"> is estimate</w:t>
      </w:r>
      <w:r w:rsidR="00A578EE">
        <w:t xml:space="preserve">d to be </w:t>
      </w:r>
      <w:r w:rsidR="00A578EE" w:rsidRPr="00A578EE">
        <w:rPr>
          <w:b/>
        </w:rPr>
        <w:t>1.03</w:t>
      </w:r>
      <w:r w:rsidR="00A578EE">
        <w:t xml:space="preserve">, when adjusting for </w:t>
      </w:r>
      <w:commentRangeStart w:id="5"/>
      <w:r w:rsidR="00A578EE">
        <w:t>bone scan score and performance status</w:t>
      </w:r>
      <w:commentRangeEnd w:id="5"/>
      <w:r w:rsidR="009300E6">
        <w:rPr>
          <w:rStyle w:val="CommentReference"/>
        </w:rPr>
        <w:commentReference w:id="5"/>
      </w:r>
      <w:r w:rsidR="00A578EE">
        <w:t xml:space="preserve">. This odds ratio represents the ratio of the odds of relapse comparing subjects that differ by 1 </w:t>
      </w:r>
      <w:proofErr w:type="spellStart"/>
      <w:r w:rsidR="00A578EE">
        <w:t>ng</w:t>
      </w:r>
      <w:proofErr w:type="spellEnd"/>
      <w:r w:rsidR="00A578EE">
        <w:t>/mL nadir PSA, with subjects with a higher nadir PSA having higher odds of relapse when holding bone scan score and performance status constant. This observation is within that which might be expected to occur by chance in the absence of a true difference (</w:t>
      </w:r>
      <w:r w:rsidR="00A578EE" w:rsidRPr="002F687D">
        <w:rPr>
          <w:b/>
          <w:i/>
        </w:rPr>
        <w:t>p=</w:t>
      </w:r>
      <w:r w:rsidR="00A578EE" w:rsidRPr="002F687D">
        <w:rPr>
          <w:b/>
        </w:rPr>
        <w:t>0.48</w:t>
      </w:r>
      <w:r w:rsidR="00A578EE">
        <w:t xml:space="preserve">). The </w:t>
      </w:r>
      <w:r w:rsidR="00A578EE">
        <w:rPr>
          <w:i/>
        </w:rPr>
        <w:t>95% CI</w:t>
      </w:r>
      <w:r w:rsidR="00A578EE">
        <w:t xml:space="preserve"> for the odds ratio is that the odds of relapse </w:t>
      </w:r>
      <w:r w:rsidR="002F687D">
        <w:t xml:space="preserve">among men with hormonally treated prostate cancer </w:t>
      </w:r>
      <w:r w:rsidR="009958CF">
        <w:t>with</w:t>
      </w:r>
      <w:r w:rsidR="002F687D">
        <w:t xml:space="preserve"> 1 </w:t>
      </w:r>
      <w:proofErr w:type="spellStart"/>
      <w:r w:rsidR="002F687D">
        <w:t>ng</w:t>
      </w:r>
      <w:proofErr w:type="spellEnd"/>
      <w:r w:rsidR="002F687D">
        <w:t>/mL</w:t>
      </w:r>
      <w:r w:rsidR="009958CF">
        <w:t xml:space="preserve"> higher</w:t>
      </w:r>
      <w:r w:rsidR="002F687D">
        <w:t xml:space="preserve"> nadir PSA is </w:t>
      </w:r>
      <w:r w:rsidR="002F687D" w:rsidRPr="002F687D">
        <w:rPr>
          <w:b/>
        </w:rPr>
        <w:t>between 0.95 and 1.13</w:t>
      </w:r>
      <w:r w:rsidR="002F687D">
        <w:t xml:space="preserve"> times</w:t>
      </w:r>
      <w:r w:rsidR="005E2C50">
        <w:t xml:space="preserve"> that of the group of </w:t>
      </w:r>
      <w:r w:rsidR="002F687D">
        <w:t xml:space="preserve">men with </w:t>
      </w:r>
      <w:r w:rsidR="005E2C50">
        <w:t>lower</w:t>
      </w:r>
      <w:r w:rsidR="002F687D">
        <w:t xml:space="preserve"> nadir PSA (robust SE 0.046).</w:t>
      </w:r>
    </w:p>
    <w:p w:rsidR="002F687D" w:rsidRDefault="00FA3871">
      <w:r>
        <w:t xml:space="preserve"> </w:t>
      </w:r>
      <w:r w:rsidR="002F687D">
        <w:t xml:space="preserve">  </w:t>
      </w:r>
      <w:commentRangeStart w:id="6"/>
      <w:r w:rsidR="002F687D">
        <w:t>b.</w:t>
      </w:r>
      <w:commentRangeEnd w:id="6"/>
      <w:r w:rsidR="009300E6">
        <w:rPr>
          <w:rStyle w:val="CommentReference"/>
        </w:rPr>
        <w:commentReference w:id="6"/>
      </w:r>
      <w:r w:rsidR="002F687D">
        <w:t xml:space="preserve"> On average, the odds ratio for relapse between subjects with varying levels of log nadir PSA is estimated to be </w:t>
      </w:r>
      <w:r w:rsidR="005E2C50">
        <w:rPr>
          <w:b/>
        </w:rPr>
        <w:t>2.95</w:t>
      </w:r>
      <w:r w:rsidR="002F687D">
        <w:t xml:space="preserve">, when adjusting for bone scan score and performance status. This odds ratio represents the ratio of the odds of relapse comparing subjects that differ by </w:t>
      </w:r>
      <w:commentRangeStart w:id="7"/>
      <w:r w:rsidR="002F687D">
        <w:t>1 unit in log nadir PSA</w:t>
      </w:r>
      <w:r w:rsidR="005E2C50">
        <w:t xml:space="preserve"> (i.e. 2.72 </w:t>
      </w:r>
      <w:proofErr w:type="spellStart"/>
      <w:r w:rsidR="005E2C50">
        <w:t>ng</w:t>
      </w:r>
      <w:proofErr w:type="spellEnd"/>
      <w:r w:rsidR="005E2C50">
        <w:t>/mL)</w:t>
      </w:r>
      <w:commentRangeEnd w:id="7"/>
      <w:r w:rsidR="009300E6">
        <w:rPr>
          <w:rStyle w:val="CommentReference"/>
        </w:rPr>
        <w:commentReference w:id="7"/>
      </w:r>
      <w:r w:rsidR="002F687D">
        <w:t xml:space="preserve">, with subjects with a higher </w:t>
      </w:r>
      <w:r w:rsidR="005E2C50">
        <w:t xml:space="preserve">log </w:t>
      </w:r>
      <w:r w:rsidR="002F687D">
        <w:t xml:space="preserve">nadir PSA having higher odds of relapse when holding bone scan score and performance status constant. This observation is </w:t>
      </w:r>
      <w:r w:rsidR="005E2C50">
        <w:t>beyond</w:t>
      </w:r>
      <w:r w:rsidR="002F687D">
        <w:t xml:space="preserve"> that which might be expected </w:t>
      </w:r>
      <w:r w:rsidR="002F687D">
        <w:lastRenderedPageBreak/>
        <w:t>to occur by chance in the absence of a true difference (</w:t>
      </w:r>
      <w:r w:rsidR="002F687D" w:rsidRPr="002F687D">
        <w:rPr>
          <w:b/>
          <w:i/>
        </w:rPr>
        <w:t>p=</w:t>
      </w:r>
      <w:r w:rsidR="002F687D" w:rsidRPr="002F687D">
        <w:rPr>
          <w:b/>
        </w:rPr>
        <w:t>0.</w:t>
      </w:r>
      <w:r w:rsidR="005E2C50">
        <w:rPr>
          <w:b/>
        </w:rPr>
        <w:t>02</w:t>
      </w:r>
      <w:r w:rsidR="002F687D">
        <w:t xml:space="preserve">). </w:t>
      </w:r>
      <w:r w:rsidR="009958CF">
        <w:t xml:space="preserve">The </w:t>
      </w:r>
      <w:r w:rsidR="009958CF">
        <w:rPr>
          <w:i/>
        </w:rPr>
        <w:t>95% CI</w:t>
      </w:r>
      <w:r w:rsidR="009958CF">
        <w:t xml:space="preserve"> for the odds ratio is that the odds of relapse among men with hormonally treated prostate cancer with 1 unit higher log nadir PSA is</w:t>
      </w:r>
      <w:r w:rsidR="002F687D">
        <w:t xml:space="preserve"> </w:t>
      </w:r>
      <w:r w:rsidR="002F687D" w:rsidRPr="00A50C8C">
        <w:rPr>
          <w:b/>
        </w:rPr>
        <w:t xml:space="preserve">between </w:t>
      </w:r>
      <w:r w:rsidR="005E2C50" w:rsidRPr="00A50C8C">
        <w:rPr>
          <w:b/>
        </w:rPr>
        <w:t>1.17</w:t>
      </w:r>
      <w:r w:rsidR="002F687D" w:rsidRPr="00A50C8C">
        <w:rPr>
          <w:b/>
        </w:rPr>
        <w:t xml:space="preserve"> and </w:t>
      </w:r>
      <w:r w:rsidR="005E2C50" w:rsidRPr="00A50C8C">
        <w:rPr>
          <w:b/>
        </w:rPr>
        <w:t>7.44</w:t>
      </w:r>
      <w:r w:rsidR="002F687D" w:rsidRPr="00A50C8C">
        <w:rPr>
          <w:b/>
        </w:rPr>
        <w:t xml:space="preserve"> </w:t>
      </w:r>
      <w:r w:rsidR="009958CF" w:rsidRPr="00A50C8C">
        <w:rPr>
          <w:b/>
        </w:rPr>
        <w:t>times</w:t>
      </w:r>
      <w:r w:rsidR="009958CF">
        <w:t xml:space="preserve"> that of the group of men with lower </w:t>
      </w:r>
      <w:r w:rsidR="00A50C8C">
        <w:t xml:space="preserve">log </w:t>
      </w:r>
      <w:r w:rsidR="009958CF">
        <w:t>nadir PSA (</w:t>
      </w:r>
      <w:commentRangeStart w:id="8"/>
      <w:r w:rsidR="009958CF">
        <w:t>robust SE</w:t>
      </w:r>
      <w:commentRangeEnd w:id="8"/>
      <w:r w:rsidR="009300E6">
        <w:rPr>
          <w:rStyle w:val="CommentReference"/>
        </w:rPr>
        <w:commentReference w:id="8"/>
      </w:r>
      <w:r w:rsidR="009958CF">
        <w:t xml:space="preserve"> </w:t>
      </w:r>
      <w:r w:rsidR="00A50C8C">
        <w:t>1.39</w:t>
      </w:r>
      <w:r w:rsidR="009958CF">
        <w:t>).</w:t>
      </w:r>
    </w:p>
    <w:p w:rsidR="00A50C8C" w:rsidRDefault="00A50C8C">
      <w:commentRangeStart w:id="9"/>
      <w:r>
        <w:t xml:space="preserve"> </w:t>
      </w:r>
      <w:r w:rsidR="00FA3871">
        <w:t xml:space="preserve"> </w:t>
      </w:r>
      <w:r>
        <w:t xml:space="preserve"> c. </w:t>
      </w:r>
      <w:commentRangeEnd w:id="9"/>
      <w:r w:rsidR="009300E6">
        <w:rPr>
          <w:rStyle w:val="CommentReference"/>
        </w:rPr>
        <w:commentReference w:id="9"/>
      </w:r>
      <w:r w:rsidR="005A4A53">
        <w:t xml:space="preserve">This analysis is a bit difficult to interpret based on coefficient values as it would not be appropriate to </w:t>
      </w:r>
      <w:commentRangeStart w:id="10"/>
      <w:r w:rsidR="005A4A53">
        <w:t>interpret each spline component individually based on the modeled position of knots</w:t>
      </w:r>
      <w:commentRangeEnd w:id="10"/>
      <w:r w:rsidR="009300E6">
        <w:rPr>
          <w:rStyle w:val="CommentReference"/>
        </w:rPr>
        <w:commentReference w:id="10"/>
      </w:r>
      <w:r w:rsidR="005A4A53">
        <w:t xml:space="preserve">. None of the p-values for the splines </w:t>
      </w:r>
      <w:commentRangeStart w:id="11"/>
      <w:r w:rsidR="005A4A53">
        <w:t>were statistically significant</w:t>
      </w:r>
      <w:commentRangeEnd w:id="11"/>
      <w:r w:rsidR="009300E6">
        <w:rPr>
          <w:rStyle w:val="CommentReference"/>
        </w:rPr>
        <w:commentReference w:id="11"/>
      </w:r>
      <w:r w:rsidR="005A4A53">
        <w:t xml:space="preserve">, suggesting that when tested together any association between nadir PSA level when modeled as linear splines with knots at 1, 4 and 16 </w:t>
      </w:r>
      <w:proofErr w:type="spellStart"/>
      <w:r w:rsidR="005A4A53">
        <w:t>ng</w:t>
      </w:r>
      <w:proofErr w:type="spellEnd"/>
      <w:r w:rsidR="005A4A53">
        <w:t>/mL would not be significant.</w:t>
      </w:r>
    </w:p>
    <w:p w:rsidR="005A4A53" w:rsidRDefault="00FA3871">
      <w:r>
        <w:t xml:space="preserve"> </w:t>
      </w:r>
      <w:r w:rsidR="005A4A53">
        <w:t xml:space="preserve">  </w:t>
      </w:r>
      <w:commentRangeStart w:id="12"/>
      <w:r w:rsidR="005A4A53">
        <w:t xml:space="preserve">d. </w:t>
      </w:r>
      <w:commentRangeEnd w:id="12"/>
      <w:r w:rsidR="00E13A20">
        <w:rPr>
          <w:rStyle w:val="CommentReference"/>
        </w:rPr>
        <w:commentReference w:id="12"/>
      </w:r>
      <w:r w:rsidR="005A4A53">
        <w:t>For each of the analyses above the intercept represents the odds of relapse among subjects with a bone scan score of 1 and performance status of 50</w:t>
      </w:r>
      <w:r w:rsidR="002C0541">
        <w:t xml:space="preserve"> when nadir PSA is </w:t>
      </w:r>
      <w:proofErr w:type="gramStart"/>
      <w:r w:rsidR="002C0541">
        <w:t xml:space="preserve">0 </w:t>
      </w:r>
      <w:proofErr w:type="spellStart"/>
      <w:r w:rsidR="002C0541">
        <w:t>ng</w:t>
      </w:r>
      <w:proofErr w:type="spellEnd"/>
      <w:r w:rsidR="002C0541">
        <w:t>/</w:t>
      </w:r>
      <w:proofErr w:type="spellStart"/>
      <w:r w:rsidR="002C0541">
        <w:t>mL</w:t>
      </w:r>
      <w:proofErr w:type="gramEnd"/>
      <w:r w:rsidR="002C0541">
        <w:t>.</w:t>
      </w:r>
      <w:proofErr w:type="spellEnd"/>
      <w:r w:rsidR="002C0541">
        <w:t xml:space="preserve"> This is not scientifically interesting as we are combining measures representative of low disease severity (low bone scan score and low nadir PSA) with a measure that represents poor performance status. Nonetheless, the intercept approximates 0 in all of the above models. (Of note, I used bone scan score and performance status as categorical rather than linear variables as we do know</w:t>
      </w:r>
      <w:r>
        <w:t xml:space="preserve"> exactly</w:t>
      </w:r>
      <w:r w:rsidR="002C0541">
        <w:t xml:space="preserve"> how to interpret values that fall between reported ones for these measures).</w:t>
      </w:r>
    </w:p>
    <w:p w:rsidR="00FA3871" w:rsidRDefault="008C42F5">
      <w:proofErr w:type="gramStart"/>
      <w:r>
        <w:t>3.</w:t>
      </w:r>
      <w:commentRangeStart w:id="13"/>
      <w:r>
        <w:t>a</w:t>
      </w:r>
      <w:proofErr w:type="gramEnd"/>
      <w:r>
        <w:t xml:space="preserve">. I </w:t>
      </w:r>
      <w:commentRangeEnd w:id="13"/>
      <w:r w:rsidR="00E13A20">
        <w:rPr>
          <w:rStyle w:val="CommentReference"/>
        </w:rPr>
        <w:commentReference w:id="13"/>
      </w:r>
      <w:r>
        <w:t xml:space="preserve">used linear regression with robust standard errors: outcome—nadir PSA as a continuous, untransformed variable; predictor of interest—relapse within 24 months as a binary variable; potential confounders—bone scan score and performance status as categorical variables (same categories presented in table 1). </w:t>
      </w:r>
    </w:p>
    <w:p w:rsidR="002C0541" w:rsidRDefault="008C42F5">
      <w:r>
        <w:t xml:space="preserve">On average, subjects who relapsed had an estimated mean nadir PSA that was </w:t>
      </w:r>
      <w:proofErr w:type="gramStart"/>
      <w:r w:rsidRPr="008C42F5">
        <w:rPr>
          <w:b/>
        </w:rPr>
        <w:t xml:space="preserve">16.6 </w:t>
      </w:r>
      <w:proofErr w:type="spellStart"/>
      <w:r w:rsidRPr="008C42F5">
        <w:rPr>
          <w:b/>
        </w:rPr>
        <w:t>ng</w:t>
      </w:r>
      <w:proofErr w:type="spellEnd"/>
      <w:r w:rsidRPr="008C42F5">
        <w:rPr>
          <w:b/>
        </w:rPr>
        <w:t>/mL higher</w:t>
      </w:r>
      <w:r>
        <w:t xml:space="preserve"> than that among subjects who did not relapse when holding bone scan score and performance status constant</w:t>
      </w:r>
      <w:proofErr w:type="gramEnd"/>
      <w:r>
        <w:t>. This observation is within that which might be expected to occur by chance in the absence of a true difference (</w:t>
      </w:r>
      <w:r w:rsidRPr="002F687D">
        <w:rPr>
          <w:b/>
          <w:i/>
        </w:rPr>
        <w:t>p=</w:t>
      </w:r>
      <w:r w:rsidRPr="002F687D">
        <w:rPr>
          <w:b/>
        </w:rPr>
        <w:t>0.</w:t>
      </w:r>
      <w:r>
        <w:rPr>
          <w:b/>
        </w:rPr>
        <w:t>20</w:t>
      </w:r>
      <w:r>
        <w:t xml:space="preserve">). The </w:t>
      </w:r>
      <w:r>
        <w:rPr>
          <w:i/>
        </w:rPr>
        <w:t>95% CI</w:t>
      </w:r>
      <w:r>
        <w:t xml:space="preserve"> for the</w:t>
      </w:r>
      <w:r w:rsidR="00FA3871">
        <w:t xml:space="preserve"> difference in nadir PSA among men who did and did not relapse</w:t>
      </w:r>
      <w:r>
        <w:t xml:space="preserve"> </w:t>
      </w:r>
      <w:r w:rsidR="00FA3871">
        <w:t xml:space="preserve">suggests that the observed results were not unusual if the true difference in estimated mean nadir PSA were anywhere </w:t>
      </w:r>
      <w:r w:rsidRPr="002F687D">
        <w:rPr>
          <w:b/>
        </w:rPr>
        <w:t xml:space="preserve">between </w:t>
      </w:r>
      <w:r w:rsidR="00FA3871">
        <w:rPr>
          <w:b/>
        </w:rPr>
        <w:t>-9.05</w:t>
      </w:r>
      <w:r w:rsidRPr="002F687D">
        <w:rPr>
          <w:b/>
        </w:rPr>
        <w:t xml:space="preserve"> and </w:t>
      </w:r>
      <w:r w:rsidR="00FA3871">
        <w:rPr>
          <w:b/>
        </w:rPr>
        <w:t>42.3</w:t>
      </w:r>
      <w:r w:rsidR="00FA3871">
        <w:t>.</w:t>
      </w:r>
    </w:p>
    <w:p w:rsidR="00FA3871" w:rsidRDefault="00FA3871">
      <w:r>
        <w:t xml:space="preserve">   </w:t>
      </w:r>
      <w:commentRangeStart w:id="14"/>
      <w:proofErr w:type="gramStart"/>
      <w:r>
        <w:t>b</w:t>
      </w:r>
      <w:commentRangeEnd w:id="14"/>
      <w:proofErr w:type="gramEnd"/>
      <w:r w:rsidR="00E13A20">
        <w:rPr>
          <w:rStyle w:val="CommentReference"/>
        </w:rPr>
        <w:commentReference w:id="14"/>
      </w:r>
      <w:r>
        <w:t xml:space="preserve">. </w:t>
      </w:r>
      <w:r w:rsidR="00047461">
        <w:t>As above, I used linear regression with robust standard errors, but this time I use the log-transformed outcome variable to perform inference on the geometric mean of nadir PSA: outcome—nadir PSA as a continuous, log-transformed variable; predictor of interest—relapse within 24 months as a binary variable; potential confounders—bone scan score and performance status as categorical variables (same categories presented in table 1).</w:t>
      </w:r>
    </w:p>
    <w:p w:rsidR="000E1071" w:rsidRDefault="000E1071" w:rsidP="000E1071">
      <w:r>
        <w:t xml:space="preserve">On average, subjects who relapsed had an estimated geometric mean nadir PSA that was </w:t>
      </w:r>
      <w:proofErr w:type="gramStart"/>
      <w:r>
        <w:rPr>
          <w:b/>
        </w:rPr>
        <w:t>12.3</w:t>
      </w:r>
      <w:r w:rsidRPr="008C42F5">
        <w:rPr>
          <w:b/>
        </w:rPr>
        <w:t xml:space="preserve"> </w:t>
      </w:r>
      <w:commentRangeStart w:id="15"/>
      <w:proofErr w:type="spellStart"/>
      <w:r w:rsidRPr="008C42F5">
        <w:rPr>
          <w:b/>
        </w:rPr>
        <w:t>ng</w:t>
      </w:r>
      <w:proofErr w:type="spellEnd"/>
      <w:r w:rsidRPr="008C42F5">
        <w:rPr>
          <w:b/>
        </w:rPr>
        <w:t xml:space="preserve">/mL </w:t>
      </w:r>
      <w:commentRangeEnd w:id="15"/>
      <w:r w:rsidR="00E13A20">
        <w:rPr>
          <w:rStyle w:val="CommentReference"/>
        </w:rPr>
        <w:commentReference w:id="15"/>
      </w:r>
      <w:r w:rsidRPr="008C42F5">
        <w:rPr>
          <w:b/>
        </w:rPr>
        <w:t>higher</w:t>
      </w:r>
      <w:r>
        <w:t xml:space="preserve"> than that among subjects who did not relapse when holding bone scan score and performance status constant</w:t>
      </w:r>
      <w:proofErr w:type="gramEnd"/>
      <w:r>
        <w:t>. This observation is within that which might be expected to occur by chance in the absence of a true difference in geometric mean nadir PSA between these two groups (</w:t>
      </w:r>
      <w:r w:rsidRPr="002F687D">
        <w:rPr>
          <w:b/>
          <w:i/>
        </w:rPr>
        <w:t>p</w:t>
      </w:r>
      <w:r>
        <w:rPr>
          <w:b/>
          <w:i/>
        </w:rPr>
        <w:t xml:space="preserve"> </w:t>
      </w:r>
      <w:r w:rsidRPr="000E1071">
        <w:rPr>
          <w:b/>
        </w:rPr>
        <w:t>&lt;0.001</w:t>
      </w:r>
      <w:r>
        <w:t xml:space="preserve">). The </w:t>
      </w:r>
      <w:r>
        <w:rPr>
          <w:i/>
        </w:rPr>
        <w:t>95% CI</w:t>
      </w:r>
      <w:r>
        <w:t xml:space="preserve"> for the difference in geometric mean nadir PSA among men who did and did not relapse suggests that the observed results were not unusual if the true </w:t>
      </w:r>
      <w:commentRangeStart w:id="16"/>
      <w:r>
        <w:t xml:space="preserve">difference </w:t>
      </w:r>
      <w:commentRangeEnd w:id="16"/>
      <w:r w:rsidR="00E13A20">
        <w:rPr>
          <w:rStyle w:val="CommentReference"/>
        </w:rPr>
        <w:commentReference w:id="16"/>
      </w:r>
      <w:r>
        <w:t xml:space="preserve">in estimated geometric mean nadir PSA were anywhere </w:t>
      </w:r>
      <w:r w:rsidRPr="002F687D">
        <w:rPr>
          <w:b/>
        </w:rPr>
        <w:t xml:space="preserve">between </w:t>
      </w:r>
      <w:r>
        <w:rPr>
          <w:b/>
        </w:rPr>
        <w:t>3.70</w:t>
      </w:r>
      <w:r w:rsidRPr="002F687D">
        <w:rPr>
          <w:b/>
        </w:rPr>
        <w:t xml:space="preserve"> and </w:t>
      </w:r>
      <w:r>
        <w:rPr>
          <w:b/>
        </w:rPr>
        <w:t>41.0</w:t>
      </w:r>
      <w:r>
        <w:t>.</w:t>
      </w:r>
    </w:p>
    <w:p w:rsidR="00FA3871" w:rsidRDefault="000F201D">
      <w:proofErr w:type="gramStart"/>
      <w:r>
        <w:lastRenderedPageBreak/>
        <w:t>4</w:t>
      </w:r>
      <w:commentRangeStart w:id="17"/>
      <w:r>
        <w:t>.a</w:t>
      </w:r>
      <w:proofErr w:type="gramEnd"/>
      <w:r>
        <w:t xml:space="preserve">. </w:t>
      </w:r>
      <w:commentRangeEnd w:id="17"/>
      <w:r w:rsidR="00E13A20">
        <w:rPr>
          <w:rStyle w:val="CommentReference"/>
        </w:rPr>
        <w:commentReference w:id="17"/>
      </w:r>
      <w:r>
        <w:t xml:space="preserve">The </w:t>
      </w:r>
      <w:r w:rsidR="00144733">
        <w:t xml:space="preserve">major </w:t>
      </w:r>
      <w:r>
        <w:t>merit o</w:t>
      </w:r>
      <w:r w:rsidR="00144733">
        <w:t xml:space="preserve">f the analyses in question 2 is </w:t>
      </w:r>
      <w:r>
        <w:t>that the response variable is a future eve</w:t>
      </w:r>
      <w:r w:rsidR="00144733">
        <w:t xml:space="preserve">nt with PSA measures being somewhat “real-time” which can be used to assess risk for future relapse and may impact treatment choices. This seems to be less directly interpretable from the analyses performed in question 3. </w:t>
      </w:r>
    </w:p>
    <w:p w:rsidR="00144733" w:rsidRPr="00144733" w:rsidRDefault="00144733">
      <w:r>
        <w:rPr>
          <w:i/>
        </w:rPr>
        <w:t xml:space="preserve">A priori, </w:t>
      </w:r>
      <w:r>
        <w:t>I woul</w:t>
      </w:r>
      <w:r w:rsidR="003B3BAD">
        <w:t xml:space="preserve">d choose to perform the analysis in 2.a. using log-transformed PSA because of the way PSA is measured and the way values </w:t>
      </w:r>
      <w:commentRangeStart w:id="18"/>
      <w:r w:rsidR="003B3BAD">
        <w:t>are usually distributed in a population</w:t>
      </w:r>
      <w:commentRangeEnd w:id="18"/>
      <w:r w:rsidR="00E13A20">
        <w:rPr>
          <w:rStyle w:val="CommentReference"/>
        </w:rPr>
        <w:commentReference w:id="18"/>
      </w:r>
      <w:r w:rsidR="003B3BAD">
        <w:t>.</w:t>
      </w:r>
    </w:p>
    <w:p w:rsidR="00FA3871" w:rsidRPr="00A578EE" w:rsidRDefault="00FA3871">
      <w:commentRangeStart w:id="19"/>
      <w:r>
        <w:t xml:space="preserve">   b. </w:t>
      </w:r>
      <w:commentRangeEnd w:id="19"/>
      <w:r w:rsidR="00E13A20">
        <w:rPr>
          <w:rStyle w:val="CommentReference"/>
        </w:rPr>
        <w:commentReference w:id="19"/>
      </w:r>
      <w:r w:rsidR="007024DE">
        <w:t xml:space="preserve">This study is restricted to men who have already undergone and survived beyond hormonal therapy for prostate cancer. </w:t>
      </w:r>
      <w:r w:rsidR="00047461">
        <w:t xml:space="preserve">An inherent problem here stems from the </w:t>
      </w:r>
      <w:r w:rsidR="000E1071">
        <w:t>survivorship bias imposed. The only way to address this would have been to change the study recruitment strategy.</w:t>
      </w:r>
    </w:p>
    <w:sectPr w:rsidR="00FA3871" w:rsidRPr="00A578EE" w:rsidSect="00D35E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5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E13A20" w:rsidRDefault="00E13A20">
      <w:pPr>
        <w:pStyle w:val="CommentText"/>
      </w:pPr>
      <w:r>
        <w:rPr>
          <w:rStyle w:val="CommentReference"/>
        </w:rPr>
        <w:annotationRef/>
      </w:r>
      <w:r>
        <w:t xml:space="preserve">Total Score: 40/50 </w:t>
      </w:r>
    </w:p>
  </w:comment>
  <w:comment w:id="2" w:author="Author" w:initials="A">
    <w:p w:rsidR="009300E6" w:rsidRDefault="009300E6">
      <w:pPr>
        <w:pStyle w:val="CommentText"/>
      </w:pPr>
      <w:r>
        <w:rPr>
          <w:rStyle w:val="CommentReference"/>
        </w:rPr>
        <w:annotationRef/>
      </w:r>
      <w:r>
        <w:t>5/5</w:t>
      </w:r>
    </w:p>
  </w:comment>
  <w:comment w:id="3" w:author="Author" w:initials="A">
    <w:p w:rsidR="009300E6" w:rsidRDefault="009300E6">
      <w:pPr>
        <w:pStyle w:val="CommentText"/>
      </w:pPr>
      <w:r>
        <w:rPr>
          <w:rStyle w:val="CommentReference"/>
        </w:rPr>
        <w:annotationRef/>
      </w:r>
      <w:r>
        <w:t xml:space="preserve">May want to consider including column for all subjects. </w:t>
      </w:r>
    </w:p>
  </w:comment>
  <w:comment w:id="4" w:author="Author" w:initials="A">
    <w:p w:rsidR="009300E6" w:rsidRDefault="009300E6">
      <w:pPr>
        <w:pStyle w:val="CommentText"/>
      </w:pPr>
      <w:r>
        <w:rPr>
          <w:rStyle w:val="CommentReference"/>
        </w:rPr>
        <w:annotationRef/>
      </w:r>
      <w:r>
        <w:t>4/5</w:t>
      </w:r>
    </w:p>
  </w:comment>
  <w:comment w:id="5" w:author="Author" w:initials="A">
    <w:p w:rsidR="009300E6" w:rsidRDefault="009300E6">
      <w:pPr>
        <w:pStyle w:val="CommentText"/>
      </w:pPr>
      <w:r>
        <w:rPr>
          <w:rStyle w:val="CommentReference"/>
        </w:rPr>
        <w:annotationRef/>
      </w:r>
      <w:r>
        <w:t>How were these modeled?</w:t>
      </w:r>
    </w:p>
  </w:comment>
  <w:comment w:id="6" w:author="Author" w:initials="A">
    <w:p w:rsidR="009300E6" w:rsidRDefault="009300E6">
      <w:pPr>
        <w:pStyle w:val="CommentText"/>
      </w:pPr>
      <w:r>
        <w:rPr>
          <w:rStyle w:val="CommentReference"/>
        </w:rPr>
        <w:annotationRef/>
      </w:r>
      <w:r>
        <w:t>4/5</w:t>
      </w:r>
    </w:p>
  </w:comment>
  <w:comment w:id="7" w:author="Author" w:initials="A">
    <w:p w:rsidR="009300E6" w:rsidRDefault="009300E6">
      <w:pPr>
        <w:pStyle w:val="CommentText"/>
      </w:pPr>
      <w:r>
        <w:rPr>
          <w:rStyle w:val="CommentReference"/>
        </w:rPr>
        <w:annotationRef/>
      </w:r>
      <w:r>
        <w:t xml:space="preserve">Not quite, 1 unit in log nadir PSA corresponds to a 2.72 fold difference in PSA. </w:t>
      </w:r>
    </w:p>
  </w:comment>
  <w:comment w:id="8" w:author="Author" w:initials="A">
    <w:p w:rsidR="009300E6" w:rsidRDefault="009300E6">
      <w:pPr>
        <w:pStyle w:val="CommentText"/>
      </w:pPr>
      <w:r>
        <w:rPr>
          <w:rStyle w:val="CommentReference"/>
        </w:rPr>
        <w:annotationRef/>
      </w:r>
      <w:r>
        <w:t>Unnecessary since you already present CI</w:t>
      </w:r>
    </w:p>
  </w:comment>
  <w:comment w:id="9" w:author="Author" w:initials="A">
    <w:p w:rsidR="009300E6" w:rsidRDefault="009300E6">
      <w:pPr>
        <w:pStyle w:val="CommentText"/>
      </w:pPr>
      <w:r>
        <w:rPr>
          <w:rStyle w:val="CommentReference"/>
        </w:rPr>
        <w:annotationRef/>
      </w:r>
      <w:r>
        <w:t>1/5</w:t>
      </w:r>
    </w:p>
  </w:comment>
  <w:comment w:id="10" w:author="Author" w:initials="A">
    <w:p w:rsidR="009300E6" w:rsidRDefault="009300E6">
      <w:pPr>
        <w:pStyle w:val="CommentText"/>
      </w:pPr>
      <w:r>
        <w:rPr>
          <w:rStyle w:val="CommentReference"/>
        </w:rPr>
        <w:annotationRef/>
      </w:r>
      <w:r>
        <w:t xml:space="preserve">You could still interpret each piece component-wise. A graphical display would be nice. </w:t>
      </w:r>
    </w:p>
  </w:comment>
  <w:comment w:id="11" w:author="Author" w:initials="A">
    <w:p w:rsidR="009300E6" w:rsidRDefault="009300E6">
      <w:pPr>
        <w:pStyle w:val="CommentText"/>
      </w:pPr>
      <w:r>
        <w:rPr>
          <w:rStyle w:val="CommentReference"/>
        </w:rPr>
        <w:annotationRef/>
      </w:r>
      <w:r>
        <w:t xml:space="preserve">This isn’t necessarily true. You need to test them together. </w:t>
      </w:r>
    </w:p>
  </w:comment>
  <w:comment w:id="12" w:author="Author" w:initials="A">
    <w:p w:rsidR="00E13A20" w:rsidRDefault="00E13A20">
      <w:pPr>
        <w:pStyle w:val="CommentText"/>
      </w:pPr>
      <w:r>
        <w:rPr>
          <w:rStyle w:val="CommentReference"/>
        </w:rPr>
        <w:annotationRef/>
      </w:r>
      <w:r>
        <w:t>5/5</w:t>
      </w:r>
    </w:p>
  </w:comment>
  <w:comment w:id="13" w:author="Author" w:initials="A">
    <w:p w:rsidR="00E13A20" w:rsidRDefault="00E13A20">
      <w:pPr>
        <w:pStyle w:val="CommentText"/>
      </w:pPr>
      <w:r>
        <w:rPr>
          <w:rStyle w:val="CommentReference"/>
        </w:rPr>
        <w:annotationRef/>
      </w:r>
      <w:r>
        <w:t>5/5</w:t>
      </w:r>
    </w:p>
  </w:comment>
  <w:comment w:id="14" w:author="Author" w:initials="A">
    <w:p w:rsidR="00E13A20" w:rsidRDefault="00E13A20">
      <w:pPr>
        <w:pStyle w:val="CommentText"/>
      </w:pPr>
      <w:r>
        <w:rPr>
          <w:rStyle w:val="CommentReference"/>
        </w:rPr>
        <w:annotationRef/>
      </w:r>
      <w:r>
        <w:t>3/5</w:t>
      </w:r>
    </w:p>
  </w:comment>
  <w:comment w:id="15" w:author="Author" w:initials="A">
    <w:p w:rsidR="00E13A20" w:rsidRDefault="00E13A20">
      <w:pPr>
        <w:pStyle w:val="CommentText"/>
      </w:pPr>
      <w:r>
        <w:rPr>
          <w:rStyle w:val="CommentReference"/>
        </w:rPr>
        <w:annotationRef/>
      </w:r>
      <w:r>
        <w:t>12.3 times. This is a multiplicative difference (i.e. ratio of geometric means)</w:t>
      </w:r>
    </w:p>
  </w:comment>
  <w:comment w:id="16" w:author="Author" w:initials="A">
    <w:p w:rsidR="00E13A20" w:rsidRDefault="00E13A20">
      <w:pPr>
        <w:pStyle w:val="CommentText"/>
      </w:pPr>
      <w:r>
        <w:rPr>
          <w:rStyle w:val="CommentReference"/>
        </w:rPr>
        <w:annotationRef/>
      </w:r>
      <w:proofErr w:type="gramStart"/>
      <w:r>
        <w:t>ratio</w:t>
      </w:r>
      <w:proofErr w:type="gramEnd"/>
    </w:p>
  </w:comment>
  <w:comment w:id="17" w:author="Author" w:initials="A">
    <w:p w:rsidR="00E13A20" w:rsidRDefault="00E13A20">
      <w:pPr>
        <w:pStyle w:val="CommentText"/>
      </w:pPr>
      <w:r>
        <w:rPr>
          <w:rStyle w:val="CommentReference"/>
        </w:rPr>
        <w:annotationRef/>
      </w:r>
      <w:r>
        <w:t>8/10</w:t>
      </w:r>
    </w:p>
  </w:comment>
  <w:comment w:id="18" w:author="Author" w:initials="A">
    <w:p w:rsidR="00E13A20" w:rsidRDefault="00E13A20">
      <w:pPr>
        <w:pStyle w:val="CommentText"/>
      </w:pPr>
      <w:r>
        <w:rPr>
          <w:rStyle w:val="CommentReference"/>
        </w:rPr>
        <w:annotationRef/>
      </w:r>
      <w:r>
        <w:t xml:space="preserve">We don’t usually care about the distribution of the predictor except for the possibility of influential cases. It is a question of biology which version to use. </w:t>
      </w:r>
    </w:p>
  </w:comment>
  <w:comment w:id="19" w:author="Author" w:initials="A">
    <w:p w:rsidR="00E13A20" w:rsidRDefault="00E13A20">
      <w:pPr>
        <w:pStyle w:val="CommentText"/>
      </w:pPr>
      <w:r>
        <w:rPr>
          <w:rStyle w:val="CommentReference"/>
        </w:rPr>
        <w:annotationRef/>
      </w:r>
      <w:r>
        <w:t>5/5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FA" w:rsidRDefault="00E123FA" w:rsidP="00D35EB9">
      <w:pPr>
        <w:spacing w:after="0" w:line="240" w:lineRule="auto"/>
      </w:pPr>
      <w:r>
        <w:separator/>
      </w:r>
    </w:p>
  </w:endnote>
  <w:endnote w:type="continuationSeparator" w:id="0">
    <w:p w:rsidR="00E123FA" w:rsidRDefault="00E123FA" w:rsidP="00D3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5F" w:rsidRDefault="00C96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5F" w:rsidRDefault="00C960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5F" w:rsidRDefault="00C96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FA" w:rsidRDefault="00E123FA" w:rsidP="00D35EB9">
      <w:pPr>
        <w:spacing w:after="0" w:line="240" w:lineRule="auto"/>
      </w:pPr>
      <w:r>
        <w:separator/>
      </w:r>
    </w:p>
  </w:footnote>
  <w:footnote w:type="continuationSeparator" w:id="0">
    <w:p w:rsidR="00E123FA" w:rsidRDefault="00E123FA" w:rsidP="00D35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5F" w:rsidRDefault="00C96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B9" w:rsidRPr="00C9605F" w:rsidRDefault="00D35EB9" w:rsidP="00C96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5F" w:rsidRDefault="00C96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B9"/>
    <w:rsid w:val="00047461"/>
    <w:rsid w:val="000E1071"/>
    <w:rsid w:val="000F201D"/>
    <w:rsid w:val="00144733"/>
    <w:rsid w:val="001D6112"/>
    <w:rsid w:val="002C0541"/>
    <w:rsid w:val="002F687D"/>
    <w:rsid w:val="003B3BAD"/>
    <w:rsid w:val="005A4A53"/>
    <w:rsid w:val="005E2C50"/>
    <w:rsid w:val="007024DE"/>
    <w:rsid w:val="007D69C5"/>
    <w:rsid w:val="008C42F5"/>
    <w:rsid w:val="009300E6"/>
    <w:rsid w:val="009958CF"/>
    <w:rsid w:val="00A1728C"/>
    <w:rsid w:val="00A50C8C"/>
    <w:rsid w:val="00A578EE"/>
    <w:rsid w:val="00B812C0"/>
    <w:rsid w:val="00C02923"/>
    <w:rsid w:val="00C9605F"/>
    <w:rsid w:val="00D27041"/>
    <w:rsid w:val="00D35EB9"/>
    <w:rsid w:val="00D83FEF"/>
    <w:rsid w:val="00E123FA"/>
    <w:rsid w:val="00E13A20"/>
    <w:rsid w:val="00E51E3C"/>
    <w:rsid w:val="00FA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B9"/>
  </w:style>
  <w:style w:type="paragraph" w:styleId="Footer">
    <w:name w:val="footer"/>
    <w:basedOn w:val="Normal"/>
    <w:link w:val="FooterChar"/>
    <w:uiPriority w:val="99"/>
    <w:semiHidden/>
    <w:unhideWhenUsed/>
    <w:rsid w:val="00D35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5EB9"/>
  </w:style>
  <w:style w:type="paragraph" w:styleId="BalloonText">
    <w:name w:val="Balloon Text"/>
    <w:basedOn w:val="Normal"/>
    <w:link w:val="BalloonTextChar"/>
    <w:uiPriority w:val="99"/>
    <w:semiHidden/>
    <w:unhideWhenUsed/>
    <w:rsid w:val="00D35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EB9"/>
    <w:rPr>
      <w:rFonts w:ascii="Tahoma" w:hAnsi="Tahoma" w:cs="Tahoma"/>
      <w:sz w:val="16"/>
      <w:szCs w:val="16"/>
    </w:rPr>
  </w:style>
  <w:style w:type="paragraph" w:styleId="ListParagraph">
    <w:name w:val="List Paragraph"/>
    <w:basedOn w:val="Normal"/>
    <w:uiPriority w:val="34"/>
    <w:qFormat/>
    <w:rsid w:val="00D35EB9"/>
    <w:pPr>
      <w:ind w:left="720"/>
      <w:contextualSpacing/>
    </w:pPr>
  </w:style>
  <w:style w:type="table" w:styleId="TableGrid">
    <w:name w:val="Table Grid"/>
    <w:basedOn w:val="TableNormal"/>
    <w:uiPriority w:val="59"/>
    <w:rsid w:val="00D35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00E6"/>
    <w:rPr>
      <w:sz w:val="16"/>
      <w:szCs w:val="16"/>
    </w:rPr>
  </w:style>
  <w:style w:type="paragraph" w:styleId="CommentText">
    <w:name w:val="annotation text"/>
    <w:basedOn w:val="Normal"/>
    <w:link w:val="CommentTextChar"/>
    <w:uiPriority w:val="99"/>
    <w:semiHidden/>
    <w:unhideWhenUsed/>
    <w:rsid w:val="009300E6"/>
    <w:pPr>
      <w:spacing w:line="240" w:lineRule="auto"/>
    </w:pPr>
    <w:rPr>
      <w:sz w:val="20"/>
      <w:szCs w:val="20"/>
    </w:rPr>
  </w:style>
  <w:style w:type="character" w:customStyle="1" w:styleId="CommentTextChar">
    <w:name w:val="Comment Text Char"/>
    <w:basedOn w:val="DefaultParagraphFont"/>
    <w:link w:val="CommentText"/>
    <w:uiPriority w:val="99"/>
    <w:semiHidden/>
    <w:rsid w:val="009300E6"/>
    <w:rPr>
      <w:sz w:val="20"/>
      <w:szCs w:val="20"/>
    </w:rPr>
  </w:style>
  <w:style w:type="paragraph" w:styleId="CommentSubject">
    <w:name w:val="annotation subject"/>
    <w:basedOn w:val="CommentText"/>
    <w:next w:val="CommentText"/>
    <w:link w:val="CommentSubjectChar"/>
    <w:uiPriority w:val="99"/>
    <w:semiHidden/>
    <w:unhideWhenUsed/>
    <w:rsid w:val="009300E6"/>
    <w:rPr>
      <w:b/>
      <w:bCs/>
    </w:rPr>
  </w:style>
  <w:style w:type="character" w:customStyle="1" w:styleId="CommentSubjectChar">
    <w:name w:val="Comment Subject Char"/>
    <w:basedOn w:val="CommentTextChar"/>
    <w:link w:val="CommentSubject"/>
    <w:uiPriority w:val="99"/>
    <w:semiHidden/>
    <w:rsid w:val="009300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B9"/>
  </w:style>
  <w:style w:type="paragraph" w:styleId="Footer">
    <w:name w:val="footer"/>
    <w:basedOn w:val="Normal"/>
    <w:link w:val="FooterChar"/>
    <w:uiPriority w:val="99"/>
    <w:semiHidden/>
    <w:unhideWhenUsed/>
    <w:rsid w:val="00D35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5EB9"/>
  </w:style>
  <w:style w:type="paragraph" w:styleId="BalloonText">
    <w:name w:val="Balloon Text"/>
    <w:basedOn w:val="Normal"/>
    <w:link w:val="BalloonTextChar"/>
    <w:uiPriority w:val="99"/>
    <w:semiHidden/>
    <w:unhideWhenUsed/>
    <w:rsid w:val="00D35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EB9"/>
    <w:rPr>
      <w:rFonts w:ascii="Tahoma" w:hAnsi="Tahoma" w:cs="Tahoma"/>
      <w:sz w:val="16"/>
      <w:szCs w:val="16"/>
    </w:rPr>
  </w:style>
  <w:style w:type="paragraph" w:styleId="ListParagraph">
    <w:name w:val="List Paragraph"/>
    <w:basedOn w:val="Normal"/>
    <w:uiPriority w:val="34"/>
    <w:qFormat/>
    <w:rsid w:val="00D35EB9"/>
    <w:pPr>
      <w:ind w:left="720"/>
      <w:contextualSpacing/>
    </w:pPr>
  </w:style>
  <w:style w:type="table" w:styleId="TableGrid">
    <w:name w:val="Table Grid"/>
    <w:basedOn w:val="TableNormal"/>
    <w:uiPriority w:val="59"/>
    <w:rsid w:val="00D35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00E6"/>
    <w:rPr>
      <w:sz w:val="16"/>
      <w:szCs w:val="16"/>
    </w:rPr>
  </w:style>
  <w:style w:type="paragraph" w:styleId="CommentText">
    <w:name w:val="annotation text"/>
    <w:basedOn w:val="Normal"/>
    <w:link w:val="CommentTextChar"/>
    <w:uiPriority w:val="99"/>
    <w:semiHidden/>
    <w:unhideWhenUsed/>
    <w:rsid w:val="009300E6"/>
    <w:pPr>
      <w:spacing w:line="240" w:lineRule="auto"/>
    </w:pPr>
    <w:rPr>
      <w:sz w:val="20"/>
      <w:szCs w:val="20"/>
    </w:rPr>
  </w:style>
  <w:style w:type="character" w:customStyle="1" w:styleId="CommentTextChar">
    <w:name w:val="Comment Text Char"/>
    <w:basedOn w:val="DefaultParagraphFont"/>
    <w:link w:val="CommentText"/>
    <w:uiPriority w:val="99"/>
    <w:semiHidden/>
    <w:rsid w:val="009300E6"/>
    <w:rPr>
      <w:sz w:val="20"/>
      <w:szCs w:val="20"/>
    </w:rPr>
  </w:style>
  <w:style w:type="paragraph" w:styleId="CommentSubject">
    <w:name w:val="annotation subject"/>
    <w:basedOn w:val="CommentText"/>
    <w:next w:val="CommentText"/>
    <w:link w:val="CommentSubjectChar"/>
    <w:uiPriority w:val="99"/>
    <w:semiHidden/>
    <w:unhideWhenUsed/>
    <w:rsid w:val="009300E6"/>
    <w:rPr>
      <w:b/>
      <w:bCs/>
    </w:rPr>
  </w:style>
  <w:style w:type="character" w:customStyle="1" w:styleId="CommentSubjectChar">
    <w:name w:val="Comment Subject Char"/>
    <w:basedOn w:val="CommentTextChar"/>
    <w:link w:val="CommentSubject"/>
    <w:uiPriority w:val="99"/>
    <w:semiHidden/>
    <w:rsid w:val="00930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2013-12-16T18:09:00Z</dcterms:created>
  <dcterms:modified xsi:type="dcterms:W3CDTF">2013-12-16T18:09:00Z</dcterms:modified>
</cp:coreProperties>
</file>