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10" w:rsidRDefault="00832FC5">
      <w:pPr>
        <w:rPr>
          <w:b/>
          <w:sz w:val="24"/>
          <w:szCs w:val="24"/>
        </w:rPr>
      </w:pPr>
      <w:r>
        <w:rPr>
          <w:b/>
          <w:sz w:val="24"/>
          <w:szCs w:val="24"/>
        </w:rPr>
        <w:t xml:space="preserve">Biost/Epi 536, </w:t>
      </w:r>
      <w:commentRangeStart w:id="0"/>
      <w:r w:rsidR="001171FE">
        <w:rPr>
          <w:b/>
          <w:sz w:val="24"/>
          <w:szCs w:val="24"/>
        </w:rPr>
        <w:t>Homework</w:t>
      </w:r>
      <w:commentRangeEnd w:id="0"/>
      <w:r w:rsidR="00850929">
        <w:rPr>
          <w:rStyle w:val="CommentReference"/>
        </w:rPr>
        <w:commentReference w:id="0"/>
      </w:r>
      <w:r w:rsidR="001171FE">
        <w:rPr>
          <w:b/>
          <w:sz w:val="24"/>
          <w:szCs w:val="24"/>
        </w:rPr>
        <w:t xml:space="preserve"> # 3</w:t>
      </w:r>
      <w:r w:rsidR="00936A89" w:rsidRPr="00AB4B50">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ID # </w:t>
      </w:r>
      <w:r w:rsidR="00AD090D" w:rsidRPr="00AD090D">
        <w:rPr>
          <w:b/>
          <w:sz w:val="24"/>
          <w:szCs w:val="24"/>
        </w:rPr>
        <w:t>3318</w:t>
      </w:r>
    </w:p>
    <w:p w:rsidR="003543E1" w:rsidRDefault="003543E1" w:rsidP="007732D6">
      <w:pPr>
        <w:autoSpaceDE w:val="0"/>
        <w:autoSpaceDN w:val="0"/>
        <w:adjustRightInd w:val="0"/>
        <w:rPr>
          <w:sz w:val="24"/>
          <w:szCs w:val="24"/>
        </w:rPr>
      </w:pPr>
    </w:p>
    <w:p w:rsidR="00653AB5" w:rsidRPr="001171FE" w:rsidRDefault="004941DE" w:rsidP="000B7878">
      <w:pPr>
        <w:numPr>
          <w:ilvl w:val="0"/>
          <w:numId w:val="1"/>
        </w:numPr>
        <w:tabs>
          <w:tab w:val="clear" w:pos="720"/>
          <w:tab w:val="num" w:pos="540"/>
        </w:tabs>
        <w:autoSpaceDE w:val="0"/>
        <w:autoSpaceDN w:val="0"/>
        <w:adjustRightInd w:val="0"/>
        <w:spacing w:after="0" w:line="240" w:lineRule="auto"/>
        <w:ind w:left="360"/>
      </w:pPr>
      <w:commentRangeStart w:id="2"/>
      <w:r>
        <w:t>T</w:t>
      </w:r>
      <w:r w:rsidR="00653AB5" w:rsidRPr="001171FE">
        <w:t>able</w:t>
      </w:r>
      <w:commentRangeEnd w:id="2"/>
      <w:r w:rsidR="00850929">
        <w:rPr>
          <w:rStyle w:val="CommentReference"/>
        </w:rPr>
        <w:commentReference w:id="2"/>
      </w:r>
      <w:r w:rsidR="00653AB5" w:rsidRPr="001171FE">
        <w:t xml:space="preserve"> </w:t>
      </w:r>
      <w:r>
        <w:t xml:space="preserve">1 </w:t>
      </w:r>
      <w:r w:rsidR="00653AB5" w:rsidRPr="001171FE">
        <w:t xml:space="preserve">presents descriptive statistics of </w:t>
      </w:r>
      <w:r>
        <w:t xml:space="preserve">the 50 </w:t>
      </w:r>
      <w:r w:rsidR="00653AB5" w:rsidRPr="001171FE">
        <w:t xml:space="preserve">patients enrolled in </w:t>
      </w:r>
      <w:r>
        <w:t>the PSA</w:t>
      </w:r>
      <w:r w:rsidR="00653AB5" w:rsidRPr="001171FE">
        <w:t xml:space="preserve"> study. </w:t>
      </w:r>
      <w:r w:rsidR="001171FE" w:rsidRPr="001171FE">
        <w:t>Statistics are presented for p</w:t>
      </w:r>
      <w:r w:rsidR="00653AB5" w:rsidRPr="001171FE">
        <w:t xml:space="preserve">atients dichotomized based on lowest values of prostate specific antigen observed post treatment (PSA Nadir) </w:t>
      </w:r>
      <w:r w:rsidR="000C6E91" w:rsidRPr="001171FE">
        <w:t>above or below</w:t>
      </w:r>
      <w:r w:rsidR="00836581">
        <w:t xml:space="preserve"> 4.0 ng/ml, as n</w:t>
      </w:r>
      <w:r w:rsidR="00653AB5" w:rsidRPr="001171FE">
        <w:t xml:space="preserve">ormally healthy men tend to have PSA values below 4.0 ng/ml. </w:t>
      </w:r>
    </w:p>
    <w:p w:rsidR="000C6E91" w:rsidRDefault="000C6E91" w:rsidP="000C6E91">
      <w:pPr>
        <w:autoSpaceDE w:val="0"/>
        <w:autoSpaceDN w:val="0"/>
        <w:adjustRightInd w:val="0"/>
        <w:spacing w:after="0" w:line="240" w:lineRule="auto"/>
      </w:pPr>
    </w:p>
    <w:p w:rsidR="004941DE" w:rsidRPr="004941DE" w:rsidRDefault="004941DE" w:rsidP="004941DE">
      <w:pPr>
        <w:pStyle w:val="Caption"/>
      </w:pPr>
      <w:r w:rsidRPr="004941DE">
        <w:t xml:space="preserve">Table </w:t>
      </w:r>
      <w:r w:rsidR="00AA3855">
        <w:fldChar w:fldCharType="begin"/>
      </w:r>
      <w:r w:rsidR="005218E2">
        <w:instrText xml:space="preserve"> SEQ Table \* ARABIC </w:instrText>
      </w:r>
      <w:r w:rsidR="00AA3855">
        <w:fldChar w:fldCharType="separate"/>
      </w:r>
      <w:r w:rsidR="006C682D">
        <w:rPr>
          <w:noProof/>
        </w:rPr>
        <w:t>1</w:t>
      </w:r>
      <w:r w:rsidR="00AA3855">
        <w:rPr>
          <w:noProof/>
        </w:rPr>
        <w:fldChar w:fldCharType="end"/>
      </w:r>
      <w:r w:rsidRPr="004941DE">
        <w:t>: Descriptive statistics of PSA study population</w:t>
      </w:r>
    </w:p>
    <w:tbl>
      <w:tblPr>
        <w:tblStyle w:val="TableGrid"/>
        <w:tblW w:w="0" w:type="auto"/>
        <w:tblInd w:w="468" w:type="dxa"/>
        <w:tblLook w:val="04A0" w:firstRow="1" w:lastRow="0" w:firstColumn="1" w:lastColumn="0" w:noHBand="0" w:noVBand="1"/>
      </w:tblPr>
      <w:tblGrid>
        <w:gridCol w:w="2059"/>
        <w:gridCol w:w="639"/>
        <w:gridCol w:w="774"/>
        <w:gridCol w:w="875"/>
        <w:gridCol w:w="1019"/>
        <w:gridCol w:w="639"/>
        <w:gridCol w:w="774"/>
        <w:gridCol w:w="875"/>
        <w:gridCol w:w="1070"/>
      </w:tblGrid>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p>
        </w:tc>
        <w:tc>
          <w:tcPr>
            <w:tcW w:w="3307" w:type="dxa"/>
            <w:gridSpan w:val="4"/>
            <w:tcBorders>
              <w:bottom w:val="double" w:sz="4" w:space="0" w:color="auto"/>
            </w:tcBorders>
            <w:noWrap/>
            <w:hideMark/>
          </w:tcPr>
          <w:p w:rsidR="000C6E91" w:rsidRPr="000C6E91" w:rsidRDefault="001171FE" w:rsidP="000C6E91">
            <w:pPr>
              <w:autoSpaceDE w:val="0"/>
              <w:autoSpaceDN w:val="0"/>
              <w:adjustRightInd w:val="0"/>
              <w:jc w:val="center"/>
              <w:rPr>
                <w:sz w:val="20"/>
                <w:szCs w:val="20"/>
              </w:rPr>
            </w:pPr>
            <w:r>
              <w:rPr>
                <w:sz w:val="20"/>
                <w:szCs w:val="20"/>
              </w:rPr>
              <w:t>PSA nadir &gt;= 4.0</w:t>
            </w:r>
            <w:r w:rsidR="000C6E91" w:rsidRPr="000C6E91">
              <w:rPr>
                <w:sz w:val="20"/>
                <w:szCs w:val="20"/>
              </w:rPr>
              <w:t xml:space="preserve"> (n=17)</w:t>
            </w:r>
          </w:p>
        </w:tc>
        <w:tc>
          <w:tcPr>
            <w:tcW w:w="3358" w:type="dxa"/>
            <w:gridSpan w:val="4"/>
            <w:tcBorders>
              <w:bottom w:val="double" w:sz="4" w:space="0" w:color="auto"/>
            </w:tcBorders>
            <w:noWrap/>
            <w:hideMark/>
          </w:tcPr>
          <w:p w:rsidR="000C6E91" w:rsidRPr="000C6E91" w:rsidRDefault="001171FE" w:rsidP="000C6E91">
            <w:pPr>
              <w:autoSpaceDE w:val="0"/>
              <w:autoSpaceDN w:val="0"/>
              <w:adjustRightInd w:val="0"/>
              <w:jc w:val="center"/>
              <w:rPr>
                <w:sz w:val="20"/>
                <w:szCs w:val="20"/>
              </w:rPr>
            </w:pPr>
            <w:r>
              <w:rPr>
                <w:sz w:val="20"/>
                <w:szCs w:val="20"/>
              </w:rPr>
              <w:t>PSA nadir &lt; 4.0</w:t>
            </w:r>
            <w:r w:rsidRPr="000C6E91">
              <w:rPr>
                <w:sz w:val="20"/>
                <w:szCs w:val="20"/>
              </w:rPr>
              <w:t xml:space="preserve"> </w:t>
            </w:r>
            <w:r w:rsidR="000C6E91" w:rsidRPr="000C6E91">
              <w:rPr>
                <w:sz w:val="20"/>
                <w:szCs w:val="20"/>
              </w:rPr>
              <w:t xml:space="preserve"> (n=33)</w:t>
            </w:r>
          </w:p>
        </w:tc>
      </w:tr>
      <w:tr w:rsidR="000C6E91" w:rsidRPr="000C6E91" w:rsidTr="000C6E91">
        <w:tc>
          <w:tcPr>
            <w:tcW w:w="2059" w:type="dxa"/>
            <w:tcBorders>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Mean</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SD</w:t>
            </w:r>
          </w:p>
        </w:tc>
        <w:tc>
          <w:tcPr>
            <w:tcW w:w="101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Range</w:t>
            </w: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Mean</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SD</w:t>
            </w:r>
          </w:p>
        </w:tc>
        <w:tc>
          <w:tcPr>
            <w:tcW w:w="1070"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Range</w:t>
            </w:r>
          </w:p>
        </w:tc>
      </w:tr>
      <w:tr w:rsidR="000C6E91" w:rsidRPr="000C6E91" w:rsidTr="000C6E91">
        <w:tc>
          <w:tcPr>
            <w:tcW w:w="205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Pre-treatment PSA</w:t>
            </w:r>
          </w:p>
        </w:tc>
        <w:tc>
          <w:tcPr>
            <w:tcW w:w="63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15</w:t>
            </w:r>
          </w:p>
        </w:tc>
        <w:tc>
          <w:tcPr>
            <w:tcW w:w="774"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938.40</w:t>
            </w:r>
          </w:p>
        </w:tc>
        <w:tc>
          <w:tcPr>
            <w:tcW w:w="875"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1597.99</w:t>
            </w:r>
          </w:p>
        </w:tc>
        <w:tc>
          <w:tcPr>
            <w:tcW w:w="101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25, 4797</w:t>
            </w:r>
          </w:p>
        </w:tc>
        <w:tc>
          <w:tcPr>
            <w:tcW w:w="63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28</w:t>
            </w:r>
          </w:p>
        </w:tc>
        <w:tc>
          <w:tcPr>
            <w:tcW w:w="774"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527.37</w:t>
            </w:r>
          </w:p>
        </w:tc>
        <w:tc>
          <w:tcPr>
            <w:tcW w:w="875"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1092.68</w:t>
            </w:r>
          </w:p>
        </w:tc>
        <w:tc>
          <w:tcPr>
            <w:tcW w:w="1070"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4.8, 3946</w:t>
            </w: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Performance score</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16</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77.50</w:t>
            </w:r>
          </w:p>
        </w:tc>
        <w:tc>
          <w:tcPr>
            <w:tcW w:w="875" w:type="dxa"/>
            <w:noWrap/>
            <w:hideMark/>
          </w:tcPr>
          <w:p w:rsidR="000C6E91" w:rsidRPr="000C6E91" w:rsidRDefault="000C6E91" w:rsidP="000C6E91">
            <w:pPr>
              <w:autoSpaceDE w:val="0"/>
              <w:autoSpaceDN w:val="0"/>
              <w:adjustRightInd w:val="0"/>
              <w:rPr>
                <w:sz w:val="20"/>
                <w:szCs w:val="20"/>
              </w:rPr>
            </w:pPr>
            <w:r w:rsidRPr="000C6E91">
              <w:rPr>
                <w:sz w:val="20"/>
                <w:szCs w:val="20"/>
              </w:rPr>
              <w:t>9.31</w:t>
            </w:r>
          </w:p>
        </w:tc>
        <w:tc>
          <w:tcPr>
            <w:tcW w:w="1019" w:type="dxa"/>
            <w:noWrap/>
            <w:hideMark/>
          </w:tcPr>
          <w:p w:rsidR="000C6E91" w:rsidRPr="000C6E91" w:rsidRDefault="000C6E91" w:rsidP="000C6E91">
            <w:pPr>
              <w:autoSpaceDE w:val="0"/>
              <w:autoSpaceDN w:val="0"/>
              <w:adjustRightInd w:val="0"/>
              <w:rPr>
                <w:sz w:val="20"/>
                <w:szCs w:val="20"/>
              </w:rPr>
            </w:pPr>
            <w:r w:rsidRPr="000C6E91">
              <w:rPr>
                <w:sz w:val="20"/>
                <w:szCs w:val="20"/>
              </w:rPr>
              <w:t>60, 90</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32</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82.50</w:t>
            </w:r>
          </w:p>
        </w:tc>
        <w:tc>
          <w:tcPr>
            <w:tcW w:w="875" w:type="dxa"/>
            <w:noWrap/>
            <w:hideMark/>
          </w:tcPr>
          <w:p w:rsidR="000C6E91" w:rsidRPr="000C6E91" w:rsidRDefault="000C6E91" w:rsidP="000C6E91">
            <w:pPr>
              <w:autoSpaceDE w:val="0"/>
              <w:autoSpaceDN w:val="0"/>
              <w:adjustRightInd w:val="0"/>
              <w:rPr>
                <w:sz w:val="20"/>
                <w:szCs w:val="20"/>
              </w:rPr>
            </w:pPr>
            <w:r w:rsidRPr="000C6E91">
              <w:rPr>
                <w:sz w:val="20"/>
                <w:szCs w:val="20"/>
              </w:rPr>
              <w:t>11.64</w:t>
            </w:r>
          </w:p>
        </w:tc>
        <w:tc>
          <w:tcPr>
            <w:tcW w:w="1070" w:type="dxa"/>
            <w:noWrap/>
            <w:hideMark/>
          </w:tcPr>
          <w:p w:rsidR="000C6E91" w:rsidRPr="000C6E91" w:rsidRDefault="000C6E91" w:rsidP="000C6E91">
            <w:pPr>
              <w:autoSpaceDE w:val="0"/>
              <w:autoSpaceDN w:val="0"/>
              <w:adjustRightInd w:val="0"/>
              <w:rPr>
                <w:sz w:val="20"/>
                <w:szCs w:val="20"/>
              </w:rPr>
            </w:pPr>
            <w:r w:rsidRPr="000C6E91">
              <w:rPr>
                <w:sz w:val="20"/>
                <w:szCs w:val="20"/>
              </w:rPr>
              <w:t>50, 100</w:t>
            </w:r>
          </w:p>
        </w:tc>
      </w:tr>
      <w:tr w:rsidR="000C6E91" w:rsidRPr="000C6E91" w:rsidTr="000C6E91">
        <w:tc>
          <w:tcPr>
            <w:tcW w:w="205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Age</w:t>
            </w:r>
          </w:p>
        </w:tc>
        <w:tc>
          <w:tcPr>
            <w:tcW w:w="63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17</w:t>
            </w:r>
          </w:p>
        </w:tc>
        <w:tc>
          <w:tcPr>
            <w:tcW w:w="774"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68.71</w:t>
            </w:r>
          </w:p>
        </w:tc>
        <w:tc>
          <w:tcPr>
            <w:tcW w:w="875"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6.19</w:t>
            </w:r>
          </w:p>
        </w:tc>
        <w:tc>
          <w:tcPr>
            <w:tcW w:w="101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61, 86</w:t>
            </w:r>
          </w:p>
        </w:tc>
        <w:tc>
          <w:tcPr>
            <w:tcW w:w="63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33</w:t>
            </w:r>
          </w:p>
        </w:tc>
        <w:tc>
          <w:tcPr>
            <w:tcW w:w="774"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66.79</w:t>
            </w:r>
          </w:p>
        </w:tc>
        <w:tc>
          <w:tcPr>
            <w:tcW w:w="875"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5.53</w:t>
            </w:r>
          </w:p>
        </w:tc>
        <w:tc>
          <w:tcPr>
            <w:tcW w:w="1070"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58, 81</w:t>
            </w:r>
          </w:p>
        </w:tc>
      </w:tr>
      <w:tr w:rsidR="000C6E91" w:rsidRPr="000C6E91" w:rsidTr="000C6E91">
        <w:tc>
          <w:tcPr>
            <w:tcW w:w="205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101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1070"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Bone scan score</w:t>
            </w:r>
          </w:p>
        </w:tc>
        <w:tc>
          <w:tcPr>
            <w:tcW w:w="63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774"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875"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101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63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774"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875"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1070" w:type="dxa"/>
            <w:tcBorders>
              <w:top w:val="double" w:sz="4" w:space="0" w:color="auto"/>
            </w:tcBorders>
            <w:noWrap/>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tcPr>
          <w:p w:rsidR="000C6E91" w:rsidRPr="000C6E91" w:rsidRDefault="000C6E91" w:rsidP="00944BF2">
            <w:pPr>
              <w:autoSpaceDE w:val="0"/>
              <w:autoSpaceDN w:val="0"/>
              <w:adjustRightInd w:val="0"/>
              <w:rPr>
                <w:sz w:val="20"/>
                <w:szCs w:val="20"/>
              </w:rPr>
            </w:pPr>
            <w:r w:rsidRPr="000C6E91">
              <w:rPr>
                <w:sz w:val="20"/>
                <w:szCs w:val="20"/>
              </w:rPr>
              <w:t>1</w:t>
            </w: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0</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0.0%</w:t>
            </w:r>
          </w:p>
        </w:tc>
        <w:tc>
          <w:tcPr>
            <w:tcW w:w="875" w:type="dxa"/>
            <w:noWrap/>
          </w:tcPr>
          <w:p w:rsidR="000C6E91" w:rsidRPr="000C6E91" w:rsidRDefault="000C6E91" w:rsidP="00944BF2">
            <w:pPr>
              <w:autoSpaceDE w:val="0"/>
              <w:autoSpaceDN w:val="0"/>
              <w:adjustRightInd w:val="0"/>
              <w:rPr>
                <w:sz w:val="20"/>
                <w:szCs w:val="20"/>
              </w:rPr>
            </w:pPr>
          </w:p>
        </w:tc>
        <w:tc>
          <w:tcPr>
            <w:tcW w:w="1019" w:type="dxa"/>
            <w:noWrap/>
          </w:tcPr>
          <w:p w:rsidR="000C6E91" w:rsidRPr="000C6E91" w:rsidRDefault="000C6E91" w:rsidP="00944BF2">
            <w:pPr>
              <w:autoSpaceDE w:val="0"/>
              <w:autoSpaceDN w:val="0"/>
              <w:adjustRightInd w:val="0"/>
              <w:rPr>
                <w:sz w:val="20"/>
                <w:szCs w:val="20"/>
              </w:rPr>
            </w:pP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5</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15.6%</w:t>
            </w:r>
          </w:p>
        </w:tc>
        <w:tc>
          <w:tcPr>
            <w:tcW w:w="875" w:type="dxa"/>
            <w:noWrap/>
          </w:tcPr>
          <w:p w:rsidR="000C6E91" w:rsidRPr="000C6E91" w:rsidRDefault="000C6E91" w:rsidP="00944BF2">
            <w:pPr>
              <w:autoSpaceDE w:val="0"/>
              <w:autoSpaceDN w:val="0"/>
              <w:adjustRightInd w:val="0"/>
              <w:rPr>
                <w:sz w:val="20"/>
                <w:szCs w:val="20"/>
              </w:rPr>
            </w:pPr>
          </w:p>
        </w:tc>
        <w:tc>
          <w:tcPr>
            <w:tcW w:w="1070" w:type="dxa"/>
            <w:noWrap/>
          </w:tcPr>
          <w:p w:rsidR="000C6E91" w:rsidRPr="000C6E91" w:rsidRDefault="000C6E91" w:rsidP="00944BF2">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2</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18.8%</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10</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31.3%</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13</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81.3%</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17</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53.1%</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Tumor grade</w:t>
            </w:r>
          </w:p>
        </w:tc>
        <w:tc>
          <w:tcPr>
            <w:tcW w:w="639" w:type="dxa"/>
            <w:noWrap/>
          </w:tcPr>
          <w:p w:rsidR="000C6E91" w:rsidRPr="000C6E91" w:rsidRDefault="000C6E91" w:rsidP="000C6E91">
            <w:pPr>
              <w:autoSpaceDE w:val="0"/>
              <w:autoSpaceDN w:val="0"/>
              <w:adjustRightInd w:val="0"/>
              <w:rPr>
                <w:sz w:val="20"/>
                <w:szCs w:val="20"/>
              </w:rPr>
            </w:pPr>
          </w:p>
        </w:tc>
        <w:tc>
          <w:tcPr>
            <w:tcW w:w="774" w:type="dxa"/>
            <w:noWrap/>
          </w:tcPr>
          <w:p w:rsidR="000C6E91" w:rsidRPr="000C6E91" w:rsidRDefault="000C6E91" w:rsidP="000C6E91">
            <w:pPr>
              <w:autoSpaceDE w:val="0"/>
              <w:autoSpaceDN w:val="0"/>
              <w:adjustRightInd w:val="0"/>
              <w:rPr>
                <w:sz w:val="20"/>
                <w:szCs w:val="20"/>
              </w:rPr>
            </w:pPr>
          </w:p>
        </w:tc>
        <w:tc>
          <w:tcPr>
            <w:tcW w:w="875" w:type="dxa"/>
            <w:noWrap/>
          </w:tcPr>
          <w:p w:rsidR="000C6E91" w:rsidRPr="000C6E91" w:rsidRDefault="000C6E91" w:rsidP="000C6E91">
            <w:pPr>
              <w:autoSpaceDE w:val="0"/>
              <w:autoSpaceDN w:val="0"/>
              <w:adjustRightInd w:val="0"/>
              <w:rPr>
                <w:sz w:val="20"/>
                <w:szCs w:val="20"/>
              </w:rPr>
            </w:pPr>
          </w:p>
        </w:tc>
        <w:tc>
          <w:tcPr>
            <w:tcW w:w="1019" w:type="dxa"/>
            <w:noWrap/>
          </w:tcPr>
          <w:p w:rsidR="000C6E91" w:rsidRPr="000C6E91" w:rsidRDefault="000C6E91" w:rsidP="000C6E91">
            <w:pPr>
              <w:autoSpaceDE w:val="0"/>
              <w:autoSpaceDN w:val="0"/>
              <w:adjustRightInd w:val="0"/>
              <w:rPr>
                <w:sz w:val="20"/>
                <w:szCs w:val="20"/>
              </w:rPr>
            </w:pPr>
          </w:p>
        </w:tc>
        <w:tc>
          <w:tcPr>
            <w:tcW w:w="639" w:type="dxa"/>
            <w:noWrap/>
          </w:tcPr>
          <w:p w:rsidR="000C6E91" w:rsidRPr="000C6E91" w:rsidRDefault="000C6E91" w:rsidP="000C6E91">
            <w:pPr>
              <w:autoSpaceDE w:val="0"/>
              <w:autoSpaceDN w:val="0"/>
              <w:adjustRightInd w:val="0"/>
              <w:rPr>
                <w:sz w:val="20"/>
                <w:szCs w:val="20"/>
              </w:rPr>
            </w:pPr>
          </w:p>
        </w:tc>
        <w:tc>
          <w:tcPr>
            <w:tcW w:w="774" w:type="dxa"/>
            <w:noWrap/>
          </w:tcPr>
          <w:p w:rsidR="000C6E91" w:rsidRPr="000C6E91" w:rsidRDefault="000C6E91" w:rsidP="000C6E91">
            <w:pPr>
              <w:autoSpaceDE w:val="0"/>
              <w:autoSpaceDN w:val="0"/>
              <w:adjustRightInd w:val="0"/>
              <w:rPr>
                <w:sz w:val="20"/>
                <w:szCs w:val="20"/>
              </w:rPr>
            </w:pPr>
          </w:p>
        </w:tc>
        <w:tc>
          <w:tcPr>
            <w:tcW w:w="875" w:type="dxa"/>
            <w:noWrap/>
          </w:tcPr>
          <w:p w:rsidR="000C6E91" w:rsidRPr="000C6E91" w:rsidRDefault="000C6E91" w:rsidP="000C6E91">
            <w:pPr>
              <w:autoSpaceDE w:val="0"/>
              <w:autoSpaceDN w:val="0"/>
              <w:adjustRightInd w:val="0"/>
              <w:rPr>
                <w:sz w:val="20"/>
                <w:szCs w:val="20"/>
              </w:rPr>
            </w:pPr>
          </w:p>
        </w:tc>
        <w:tc>
          <w:tcPr>
            <w:tcW w:w="1070" w:type="dxa"/>
            <w:noWrap/>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tcPr>
          <w:p w:rsidR="000C6E91" w:rsidRPr="000C6E91" w:rsidRDefault="000C6E91" w:rsidP="00944BF2">
            <w:pPr>
              <w:autoSpaceDE w:val="0"/>
              <w:autoSpaceDN w:val="0"/>
              <w:adjustRightInd w:val="0"/>
              <w:rPr>
                <w:sz w:val="20"/>
                <w:szCs w:val="20"/>
              </w:rPr>
            </w:pPr>
            <w:r w:rsidRPr="000C6E91">
              <w:rPr>
                <w:sz w:val="20"/>
                <w:szCs w:val="20"/>
              </w:rPr>
              <w:t>1</w:t>
            </w: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3</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25.0%</w:t>
            </w:r>
          </w:p>
        </w:tc>
        <w:tc>
          <w:tcPr>
            <w:tcW w:w="875" w:type="dxa"/>
            <w:noWrap/>
          </w:tcPr>
          <w:p w:rsidR="000C6E91" w:rsidRPr="000C6E91" w:rsidRDefault="000C6E91" w:rsidP="00944BF2">
            <w:pPr>
              <w:autoSpaceDE w:val="0"/>
              <w:autoSpaceDN w:val="0"/>
              <w:adjustRightInd w:val="0"/>
              <w:rPr>
                <w:sz w:val="20"/>
                <w:szCs w:val="20"/>
              </w:rPr>
            </w:pPr>
          </w:p>
        </w:tc>
        <w:tc>
          <w:tcPr>
            <w:tcW w:w="1019" w:type="dxa"/>
            <w:noWrap/>
          </w:tcPr>
          <w:p w:rsidR="000C6E91" w:rsidRPr="000C6E91" w:rsidRDefault="000C6E91" w:rsidP="00944BF2">
            <w:pPr>
              <w:autoSpaceDE w:val="0"/>
              <w:autoSpaceDN w:val="0"/>
              <w:adjustRightInd w:val="0"/>
              <w:rPr>
                <w:sz w:val="20"/>
                <w:szCs w:val="20"/>
              </w:rPr>
            </w:pP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7</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24.1%</w:t>
            </w:r>
          </w:p>
        </w:tc>
        <w:tc>
          <w:tcPr>
            <w:tcW w:w="875" w:type="dxa"/>
            <w:noWrap/>
          </w:tcPr>
          <w:p w:rsidR="000C6E91" w:rsidRPr="000C6E91" w:rsidRDefault="000C6E91" w:rsidP="00944BF2">
            <w:pPr>
              <w:autoSpaceDE w:val="0"/>
              <w:autoSpaceDN w:val="0"/>
              <w:adjustRightInd w:val="0"/>
              <w:rPr>
                <w:sz w:val="20"/>
                <w:szCs w:val="20"/>
              </w:rPr>
            </w:pPr>
          </w:p>
        </w:tc>
        <w:tc>
          <w:tcPr>
            <w:tcW w:w="1070" w:type="dxa"/>
            <w:noWrap/>
          </w:tcPr>
          <w:p w:rsidR="000C6E91" w:rsidRPr="000C6E91" w:rsidRDefault="000C6E91" w:rsidP="00944BF2">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2</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5</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41.7%</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10</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34.5%</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4</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33.3%</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12</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41.4%</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Relapse in 24 months</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15</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88.2%</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7</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21.2%</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bl>
    <w:p w:rsidR="002D5CE5" w:rsidRDefault="002D5CE5" w:rsidP="005218E2">
      <w:pPr>
        <w:autoSpaceDE w:val="0"/>
        <w:autoSpaceDN w:val="0"/>
        <w:adjustRightInd w:val="0"/>
        <w:spacing w:after="0" w:line="240" w:lineRule="auto"/>
      </w:pPr>
    </w:p>
    <w:p w:rsidR="00E721C5" w:rsidRPr="001171FE" w:rsidRDefault="00E721C5" w:rsidP="002C6E5A">
      <w:pPr>
        <w:autoSpaceDE w:val="0"/>
        <w:autoSpaceDN w:val="0"/>
        <w:adjustRightInd w:val="0"/>
        <w:spacing w:after="0" w:line="240" w:lineRule="auto"/>
        <w:ind w:left="360"/>
      </w:pPr>
    </w:p>
    <w:p w:rsidR="004941DE" w:rsidRPr="004941DE" w:rsidRDefault="005D5500" w:rsidP="0067672B">
      <w:pPr>
        <w:numPr>
          <w:ilvl w:val="0"/>
          <w:numId w:val="1"/>
        </w:numPr>
        <w:tabs>
          <w:tab w:val="clear" w:pos="720"/>
          <w:tab w:val="num" w:pos="540"/>
        </w:tabs>
        <w:autoSpaceDE w:val="0"/>
        <w:autoSpaceDN w:val="0"/>
        <w:adjustRightInd w:val="0"/>
        <w:spacing w:after="0" w:line="240" w:lineRule="auto"/>
        <w:ind w:left="360"/>
        <w:rPr>
          <w:rFonts w:cstheme="minorHAnsi"/>
        </w:rPr>
      </w:pPr>
      <w:r w:rsidRPr="001171FE">
        <w:rPr>
          <w:b/>
        </w:rPr>
        <w:t>A)</w:t>
      </w:r>
      <w:r w:rsidRPr="001171FE">
        <w:t xml:space="preserve"> </w:t>
      </w:r>
      <w:r w:rsidR="0067672B" w:rsidRPr="004941DE">
        <w:rPr>
          <w:rFonts w:eastAsia="Times New Roman" w:cstheme="minorHAnsi"/>
        </w:rPr>
        <w:t xml:space="preserve">When comparing two groups with the same performance and bone scan scores but different </w:t>
      </w:r>
      <w:r w:rsidR="002A0A06">
        <w:rPr>
          <w:rFonts w:cstheme="minorHAnsi"/>
        </w:rPr>
        <w:t>PSA n</w:t>
      </w:r>
      <w:r w:rsidR="0067672B" w:rsidRPr="004941DE">
        <w:rPr>
          <w:rFonts w:cstheme="minorHAnsi"/>
        </w:rPr>
        <w:t>adir</w:t>
      </w:r>
      <w:r w:rsidR="0067672B" w:rsidRPr="004941DE">
        <w:rPr>
          <w:rFonts w:eastAsia="Times New Roman" w:cstheme="minorHAnsi"/>
        </w:rPr>
        <w:t xml:space="preserve"> </w:t>
      </w:r>
      <w:commentRangeStart w:id="3"/>
      <w:r w:rsidR="0067672B" w:rsidRPr="004941DE">
        <w:rPr>
          <w:rFonts w:eastAsia="Times New Roman" w:cstheme="minorHAnsi"/>
        </w:rPr>
        <w:t>levels</w:t>
      </w:r>
      <w:commentRangeEnd w:id="3"/>
      <w:r w:rsidR="00850929">
        <w:rPr>
          <w:rStyle w:val="CommentReference"/>
        </w:rPr>
        <w:commentReference w:id="3"/>
      </w:r>
      <w:r w:rsidR="0067672B" w:rsidRPr="004941DE">
        <w:rPr>
          <w:rFonts w:eastAsia="Times New Roman" w:cstheme="minorHAnsi"/>
        </w:rPr>
        <w:t xml:space="preserve">, the odds of relapse within 24 months is estimated to be 3.3% higher (odds ratio 1.033) for each 1 </w:t>
      </w:r>
      <w:r w:rsidR="0067672B" w:rsidRPr="004941DE">
        <w:rPr>
          <w:rFonts w:cstheme="minorHAnsi"/>
        </w:rPr>
        <w:t>ng/ml</w:t>
      </w:r>
      <w:r w:rsidR="0067672B" w:rsidRPr="004941DE">
        <w:rPr>
          <w:rFonts w:eastAsia="Times New Roman" w:cstheme="minorHAnsi"/>
        </w:rPr>
        <w:t xml:space="preserve"> difference in </w:t>
      </w:r>
      <w:r w:rsidR="0067672B" w:rsidRPr="004941DE">
        <w:rPr>
          <w:rFonts w:cstheme="minorHAnsi"/>
        </w:rPr>
        <w:t>PSA Nadir</w:t>
      </w:r>
      <w:r w:rsidR="0067672B" w:rsidRPr="004941DE">
        <w:rPr>
          <w:rFonts w:eastAsia="Times New Roman" w:cstheme="minorHAnsi"/>
        </w:rPr>
        <w:t xml:space="preserve">, with the group having the higher </w:t>
      </w:r>
      <w:r w:rsidR="002A0A06">
        <w:rPr>
          <w:rFonts w:cstheme="minorHAnsi"/>
        </w:rPr>
        <w:t>PSA n</w:t>
      </w:r>
      <w:r w:rsidR="0067672B" w:rsidRPr="004941DE">
        <w:rPr>
          <w:rFonts w:cstheme="minorHAnsi"/>
        </w:rPr>
        <w:t>adir level</w:t>
      </w:r>
      <w:r w:rsidR="0067672B" w:rsidRPr="004941DE">
        <w:rPr>
          <w:rFonts w:eastAsia="Times New Roman" w:cstheme="minorHAnsi"/>
        </w:rPr>
        <w:t xml:space="preserve"> tending toward an increased odds of relapse within 24 months. This observed difference is not statistically different from an odds ratio of 1 (P =0.445), with a 95% confidence interval suggesting that the observed odds ratio is what might be typically observed if the true odds of relapse within 24 months was anywhere between 5.0% lower and 12.5% higher for each 1 ng/dl higher </w:t>
      </w:r>
      <w:r w:rsidR="002A0A06">
        <w:rPr>
          <w:rFonts w:eastAsia="Times New Roman" w:cstheme="minorHAnsi"/>
        </w:rPr>
        <w:t>PSA nadir</w:t>
      </w:r>
      <w:r w:rsidR="0067672B" w:rsidRPr="004941DE">
        <w:rPr>
          <w:rFonts w:eastAsia="Times New Roman" w:cstheme="minorHAnsi"/>
        </w:rPr>
        <w:t xml:space="preserve"> level. We </w:t>
      </w:r>
      <w:r w:rsidR="00944BF2" w:rsidRPr="004941DE">
        <w:rPr>
          <w:rFonts w:eastAsia="Times New Roman" w:cstheme="minorHAnsi"/>
        </w:rPr>
        <w:t>therefore lack the evidence to claim an association</w:t>
      </w:r>
      <w:r w:rsidR="0067672B" w:rsidRPr="004941DE">
        <w:rPr>
          <w:rFonts w:eastAsia="Times New Roman" w:cstheme="minorHAnsi"/>
        </w:rPr>
        <w:t xml:space="preserve"> between</w:t>
      </w:r>
      <w:r w:rsidR="00944BF2" w:rsidRPr="004941DE">
        <w:rPr>
          <w:rFonts w:cstheme="minorHAnsi"/>
        </w:rPr>
        <w:t xml:space="preserve"> PSA </w:t>
      </w:r>
      <w:r w:rsidR="002A0A06">
        <w:rPr>
          <w:rFonts w:cstheme="minorHAnsi"/>
        </w:rPr>
        <w:t>n</w:t>
      </w:r>
      <w:r w:rsidR="00944BF2" w:rsidRPr="004941DE">
        <w:rPr>
          <w:rFonts w:cstheme="minorHAnsi"/>
        </w:rPr>
        <w:t>adir</w:t>
      </w:r>
      <w:r w:rsidR="0067672B" w:rsidRPr="004941DE">
        <w:rPr>
          <w:rFonts w:eastAsia="Times New Roman" w:cstheme="minorHAnsi"/>
        </w:rPr>
        <w:t xml:space="preserve"> and </w:t>
      </w:r>
      <w:r w:rsidR="00944BF2" w:rsidRPr="004941DE">
        <w:rPr>
          <w:rFonts w:eastAsia="Times New Roman" w:cstheme="minorHAnsi"/>
        </w:rPr>
        <w:t>relapse within 24 months</w:t>
      </w:r>
      <w:r w:rsidR="0067672B" w:rsidRPr="004941DE">
        <w:rPr>
          <w:rFonts w:eastAsia="Times New Roman" w:cstheme="minorHAnsi"/>
        </w:rPr>
        <w:t>.</w:t>
      </w:r>
      <w:r w:rsidR="00944BF2" w:rsidRPr="004941DE">
        <w:rPr>
          <w:rFonts w:eastAsia="Times New Roman" w:cstheme="minorHAnsi"/>
        </w:rPr>
        <w:t xml:space="preserve"> </w:t>
      </w:r>
    </w:p>
    <w:p w:rsidR="004941DE" w:rsidRPr="004941DE" w:rsidRDefault="004941DE" w:rsidP="0067672B">
      <w:pPr>
        <w:spacing w:after="0" w:line="240" w:lineRule="auto"/>
        <w:rPr>
          <w:rFonts w:eastAsia="Times New Roman" w:cstheme="minorHAnsi"/>
        </w:rPr>
      </w:pPr>
    </w:p>
    <w:p w:rsidR="0067672B" w:rsidRPr="004941DE" w:rsidRDefault="00944BF2" w:rsidP="004941DE">
      <w:pPr>
        <w:spacing w:after="0" w:line="240" w:lineRule="auto"/>
        <w:ind w:left="360"/>
        <w:rPr>
          <w:rFonts w:cstheme="minorHAnsi"/>
        </w:rPr>
      </w:pPr>
      <w:r w:rsidRPr="004941DE">
        <w:rPr>
          <w:rFonts w:eastAsia="Times New Roman" w:cstheme="minorHAnsi"/>
        </w:rPr>
        <w:t>This estimate was obtained from a robust logistic regression model of relapse within 24 month on PSA nadir values adjusting for performance</w:t>
      </w:r>
      <w:r w:rsidR="006C682D">
        <w:rPr>
          <w:rFonts w:eastAsia="Times New Roman" w:cstheme="minorHAnsi"/>
        </w:rPr>
        <w:t xml:space="preserve"> score and bone scan score </w:t>
      </w:r>
      <w:r w:rsidR="006C682D" w:rsidRPr="004941DE">
        <w:rPr>
          <w:rFonts w:eastAsia="Times New Roman" w:cstheme="minorHAnsi"/>
        </w:rPr>
        <w:t>(Table 2)</w:t>
      </w:r>
      <w:r w:rsidRPr="004941DE">
        <w:rPr>
          <w:rFonts w:eastAsia="Times New Roman" w:cstheme="minorHAnsi"/>
        </w:rPr>
        <w:t>. Because a BSS of one predicted relapse perfectly (i.e., all patients with a BSS = 1 relapsed), these 5 patients were omitted from the model, along with</w:t>
      </w:r>
      <w:r w:rsidR="004941DE" w:rsidRPr="004941DE">
        <w:rPr>
          <w:rFonts w:eastAsia="Times New Roman" w:cstheme="minorHAnsi"/>
        </w:rPr>
        <w:t xml:space="preserve"> 2 other patients with other missing data</w:t>
      </w:r>
      <w:r w:rsidR="004941DE">
        <w:rPr>
          <w:rFonts w:eastAsia="Times New Roman" w:cstheme="minorHAnsi"/>
        </w:rPr>
        <w:t>.</w:t>
      </w:r>
      <w:r w:rsidR="00836581">
        <w:rPr>
          <w:rFonts w:eastAsia="Times New Roman" w:cstheme="minorHAnsi"/>
        </w:rPr>
        <w:t xml:space="preserve"> The omission of all patients with a BSS=1 may result in an estimate biased toward the square of the true OR. </w:t>
      </w:r>
    </w:p>
    <w:p w:rsidR="00DC273B" w:rsidRDefault="00DC273B" w:rsidP="00DC273B">
      <w:pPr>
        <w:autoSpaceDE w:val="0"/>
        <w:autoSpaceDN w:val="0"/>
        <w:adjustRightInd w:val="0"/>
        <w:spacing w:after="0" w:line="240" w:lineRule="auto"/>
        <w:ind w:left="360"/>
        <w:rPr>
          <w:b/>
        </w:rPr>
      </w:pPr>
    </w:p>
    <w:p w:rsidR="004941DE" w:rsidRDefault="004941DE" w:rsidP="004941DE">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2</w:t>
      </w:r>
      <w:r w:rsidR="00AA3855">
        <w:rPr>
          <w:noProof/>
        </w:rPr>
        <w:fldChar w:fldCharType="end"/>
      </w:r>
      <w:r>
        <w:t>: Robust logistic regression model estimates (n=43)</w:t>
      </w:r>
    </w:p>
    <w:tbl>
      <w:tblPr>
        <w:tblStyle w:val="TableGrid"/>
        <w:tblW w:w="0" w:type="auto"/>
        <w:tblInd w:w="360" w:type="dxa"/>
        <w:tblLook w:val="04A0" w:firstRow="1" w:lastRow="0" w:firstColumn="1" w:lastColumn="0" w:noHBand="0" w:noVBand="1"/>
      </w:tblPr>
      <w:tblGrid>
        <w:gridCol w:w="4035"/>
        <w:gridCol w:w="2452"/>
        <w:gridCol w:w="901"/>
      </w:tblGrid>
      <w:tr w:rsidR="00426628" w:rsidRPr="00DC273B" w:rsidTr="00426628">
        <w:tc>
          <w:tcPr>
            <w:tcW w:w="4035" w:type="dxa"/>
            <w:tcBorders>
              <w:bottom w:val="double" w:sz="4" w:space="0" w:color="auto"/>
            </w:tcBorders>
          </w:tcPr>
          <w:p w:rsidR="00426628" w:rsidRPr="00DC273B" w:rsidRDefault="00426628" w:rsidP="00DC273B">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P value</w:t>
            </w:r>
          </w:p>
        </w:tc>
      </w:tr>
      <w:tr w:rsidR="00426628" w:rsidRPr="00DC273B" w:rsidTr="00426628">
        <w:tc>
          <w:tcPr>
            <w:tcW w:w="4035" w:type="dxa"/>
            <w:tcBorders>
              <w:top w:val="double" w:sz="4" w:space="0" w:color="auto"/>
            </w:tcBorders>
          </w:tcPr>
          <w:p w:rsidR="00426628" w:rsidRPr="00DC273B" w:rsidRDefault="00426628" w:rsidP="00DC273B">
            <w:pPr>
              <w:autoSpaceDE w:val="0"/>
              <w:autoSpaceDN w:val="0"/>
              <w:adjustRightInd w:val="0"/>
              <w:rPr>
                <w:sz w:val="20"/>
                <w:szCs w:val="20"/>
              </w:rPr>
            </w:pPr>
            <w:r>
              <w:rPr>
                <w:sz w:val="20"/>
                <w:szCs w:val="20"/>
              </w:rPr>
              <w:t>PSA nadir</w:t>
            </w:r>
          </w:p>
        </w:tc>
        <w:tc>
          <w:tcPr>
            <w:tcW w:w="2452" w:type="dxa"/>
            <w:tcBorders>
              <w:top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1.033 (0.950, 1.125)</w:t>
            </w:r>
          </w:p>
        </w:tc>
        <w:tc>
          <w:tcPr>
            <w:tcW w:w="901" w:type="dxa"/>
            <w:tcBorders>
              <w:top w:val="double" w:sz="4" w:space="0" w:color="auto"/>
            </w:tcBorders>
          </w:tcPr>
          <w:p w:rsidR="00426628" w:rsidRPr="00426628" w:rsidRDefault="00426628" w:rsidP="00426628">
            <w:pPr>
              <w:autoSpaceDE w:val="0"/>
              <w:autoSpaceDN w:val="0"/>
              <w:adjustRightInd w:val="0"/>
              <w:jc w:val="right"/>
              <w:rPr>
                <w:sz w:val="20"/>
                <w:szCs w:val="20"/>
              </w:rPr>
            </w:pPr>
            <w:r w:rsidRPr="00426628">
              <w:rPr>
                <w:sz w:val="20"/>
                <w:szCs w:val="20"/>
              </w:rPr>
              <w:t>0.445</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t>Performance Score</w:t>
            </w:r>
          </w:p>
        </w:tc>
        <w:tc>
          <w:tcPr>
            <w:tcW w:w="2452" w:type="dxa"/>
          </w:tcPr>
          <w:p w:rsidR="00426628" w:rsidRPr="00DC273B" w:rsidRDefault="00426628" w:rsidP="00426628">
            <w:pPr>
              <w:autoSpaceDE w:val="0"/>
              <w:autoSpaceDN w:val="0"/>
              <w:adjustRightInd w:val="0"/>
              <w:jc w:val="right"/>
              <w:rPr>
                <w:sz w:val="20"/>
                <w:szCs w:val="20"/>
              </w:rPr>
            </w:pPr>
            <w:r>
              <w:rPr>
                <w:sz w:val="20"/>
                <w:szCs w:val="20"/>
              </w:rPr>
              <w:t>0.956 (0.888, 1.029)</w:t>
            </w:r>
          </w:p>
        </w:tc>
        <w:tc>
          <w:tcPr>
            <w:tcW w:w="901" w:type="dxa"/>
          </w:tcPr>
          <w:p w:rsidR="00426628" w:rsidRPr="00426628" w:rsidRDefault="00426628" w:rsidP="00426628">
            <w:pPr>
              <w:autoSpaceDE w:val="0"/>
              <w:autoSpaceDN w:val="0"/>
              <w:adjustRightInd w:val="0"/>
              <w:jc w:val="right"/>
              <w:rPr>
                <w:sz w:val="20"/>
                <w:szCs w:val="20"/>
              </w:rPr>
            </w:pPr>
            <w:r w:rsidRPr="00426628">
              <w:rPr>
                <w:sz w:val="20"/>
                <w:szCs w:val="20"/>
              </w:rPr>
              <w:t>0.228</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lastRenderedPageBreak/>
              <w:t>Bone Scan Score of 2 (reference category is 3)</w:t>
            </w:r>
          </w:p>
        </w:tc>
        <w:tc>
          <w:tcPr>
            <w:tcW w:w="2452" w:type="dxa"/>
          </w:tcPr>
          <w:p w:rsidR="00426628" w:rsidRPr="00DC273B" w:rsidRDefault="00426628" w:rsidP="00426628">
            <w:pPr>
              <w:autoSpaceDE w:val="0"/>
              <w:autoSpaceDN w:val="0"/>
              <w:adjustRightInd w:val="0"/>
              <w:jc w:val="right"/>
              <w:rPr>
                <w:sz w:val="20"/>
                <w:szCs w:val="20"/>
              </w:rPr>
            </w:pPr>
            <w:r w:rsidRPr="00E24770">
              <w:rPr>
                <w:sz w:val="20"/>
                <w:szCs w:val="20"/>
              </w:rPr>
              <w:t>0.524</w:t>
            </w:r>
            <w:r>
              <w:rPr>
                <w:sz w:val="20"/>
                <w:szCs w:val="20"/>
              </w:rPr>
              <w:t xml:space="preserve"> (0.137, 1.999)</w:t>
            </w:r>
          </w:p>
        </w:tc>
        <w:tc>
          <w:tcPr>
            <w:tcW w:w="901" w:type="dxa"/>
            <w:vAlign w:val="bottom"/>
          </w:tcPr>
          <w:p w:rsidR="00426628" w:rsidRPr="00426628" w:rsidRDefault="00426628" w:rsidP="00426628">
            <w:pPr>
              <w:jc w:val="right"/>
              <w:rPr>
                <w:rFonts w:ascii="Calibri" w:hAnsi="Calibri"/>
                <w:color w:val="000000"/>
                <w:sz w:val="20"/>
                <w:szCs w:val="20"/>
              </w:rPr>
            </w:pPr>
            <w:r w:rsidRPr="00426628">
              <w:rPr>
                <w:rFonts w:ascii="Calibri" w:hAnsi="Calibri"/>
                <w:color w:val="000000"/>
                <w:sz w:val="20"/>
                <w:szCs w:val="20"/>
              </w:rPr>
              <w:t>0.344</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t>Intercept</w:t>
            </w:r>
          </w:p>
        </w:tc>
        <w:tc>
          <w:tcPr>
            <w:tcW w:w="2452" w:type="dxa"/>
          </w:tcPr>
          <w:p w:rsidR="00426628" w:rsidRPr="00DC273B" w:rsidRDefault="00426628" w:rsidP="00426628">
            <w:pPr>
              <w:autoSpaceDE w:val="0"/>
              <w:autoSpaceDN w:val="0"/>
              <w:adjustRightInd w:val="0"/>
              <w:jc w:val="right"/>
              <w:rPr>
                <w:sz w:val="20"/>
                <w:szCs w:val="20"/>
              </w:rPr>
            </w:pPr>
            <w:r>
              <w:rPr>
                <w:sz w:val="20"/>
                <w:szCs w:val="20"/>
              </w:rPr>
              <w:t>26.241 (0.059, 11613.750)</w:t>
            </w:r>
          </w:p>
        </w:tc>
        <w:tc>
          <w:tcPr>
            <w:tcW w:w="901" w:type="dxa"/>
          </w:tcPr>
          <w:p w:rsidR="00426628" w:rsidRPr="00426628" w:rsidRDefault="00426628" w:rsidP="00426628">
            <w:pPr>
              <w:autoSpaceDE w:val="0"/>
              <w:autoSpaceDN w:val="0"/>
              <w:adjustRightInd w:val="0"/>
              <w:jc w:val="right"/>
              <w:rPr>
                <w:sz w:val="20"/>
                <w:szCs w:val="20"/>
              </w:rPr>
            </w:pPr>
            <w:r w:rsidRPr="00426628">
              <w:rPr>
                <w:sz w:val="20"/>
                <w:szCs w:val="20"/>
              </w:rPr>
              <w:t>0.293</w:t>
            </w:r>
          </w:p>
        </w:tc>
      </w:tr>
    </w:tbl>
    <w:p w:rsidR="00DC273B" w:rsidRPr="00DC273B" w:rsidRDefault="00DC273B" w:rsidP="00DC273B">
      <w:pPr>
        <w:autoSpaceDE w:val="0"/>
        <w:autoSpaceDN w:val="0"/>
        <w:adjustRightInd w:val="0"/>
        <w:spacing w:after="0" w:line="240" w:lineRule="auto"/>
        <w:ind w:left="360"/>
      </w:pPr>
    </w:p>
    <w:p w:rsidR="005D5500" w:rsidRPr="001171FE" w:rsidRDefault="005D5500" w:rsidP="005D5500">
      <w:pPr>
        <w:autoSpaceDE w:val="0"/>
        <w:autoSpaceDN w:val="0"/>
        <w:adjustRightInd w:val="0"/>
        <w:spacing w:after="0" w:line="240" w:lineRule="auto"/>
        <w:ind w:left="360"/>
      </w:pPr>
    </w:p>
    <w:p w:rsidR="004941DE" w:rsidRPr="004941DE" w:rsidRDefault="0028105E" w:rsidP="00A02218">
      <w:pPr>
        <w:autoSpaceDE w:val="0"/>
        <w:autoSpaceDN w:val="0"/>
        <w:adjustRightInd w:val="0"/>
        <w:spacing w:after="0" w:line="240" w:lineRule="auto"/>
        <w:ind w:left="360"/>
        <w:rPr>
          <w:rFonts w:cstheme="minorHAnsi"/>
        </w:rPr>
      </w:pPr>
      <w:r w:rsidRPr="001171FE">
        <w:rPr>
          <w:b/>
        </w:rPr>
        <w:t>B)</w:t>
      </w:r>
      <w:r w:rsidR="00426628">
        <w:t xml:space="preserve"> </w:t>
      </w:r>
      <w:r w:rsidR="004941DE" w:rsidRPr="004941DE">
        <w:rPr>
          <w:rFonts w:eastAsia="Times New Roman" w:cstheme="minorHAnsi"/>
        </w:rPr>
        <w:t xml:space="preserve">When comparing two groups with the same performance and bone scan scores but different </w:t>
      </w:r>
      <w:r w:rsidR="004941DE" w:rsidRPr="004941DE">
        <w:rPr>
          <w:rFonts w:cstheme="minorHAnsi"/>
        </w:rPr>
        <w:t>PSA Nadir</w:t>
      </w:r>
      <w:r w:rsidR="004941DE" w:rsidRPr="004941DE">
        <w:rPr>
          <w:rFonts w:eastAsia="Times New Roman" w:cstheme="minorHAnsi"/>
        </w:rPr>
        <w:t xml:space="preserve"> levels, the odds of relapse within 24 months is estimated to be </w:t>
      </w:r>
      <w:r w:rsidR="004941DE">
        <w:rPr>
          <w:rFonts w:eastAsia="Times New Roman" w:cstheme="minorHAnsi"/>
        </w:rPr>
        <w:t>8.4</w:t>
      </w:r>
      <w:r w:rsidR="004941DE" w:rsidRPr="004941DE">
        <w:rPr>
          <w:rFonts w:eastAsia="Times New Roman" w:cstheme="minorHAnsi"/>
        </w:rPr>
        <w:t>% higher (odds ratio 1.0</w:t>
      </w:r>
      <w:r w:rsidR="004941DE">
        <w:rPr>
          <w:rFonts w:eastAsia="Times New Roman" w:cstheme="minorHAnsi"/>
        </w:rPr>
        <w:t>84</w:t>
      </w:r>
      <w:r w:rsidR="004941DE" w:rsidRPr="004941DE">
        <w:rPr>
          <w:rFonts w:eastAsia="Times New Roman" w:cstheme="minorHAnsi"/>
        </w:rPr>
        <w:t xml:space="preserve">) for each </w:t>
      </w:r>
      <w:r w:rsidR="004941DE">
        <w:rPr>
          <w:rFonts w:eastAsia="Times New Roman" w:cstheme="minorHAnsi"/>
        </w:rPr>
        <w:t>10%</w:t>
      </w:r>
      <w:r w:rsidR="004941DE" w:rsidRPr="004941DE">
        <w:rPr>
          <w:rFonts w:eastAsia="Times New Roman" w:cstheme="minorHAnsi"/>
        </w:rPr>
        <w:t xml:space="preserve"> difference in </w:t>
      </w:r>
      <w:r w:rsidR="002A0A06">
        <w:rPr>
          <w:rFonts w:cstheme="minorHAnsi"/>
        </w:rPr>
        <w:t>PSA n</w:t>
      </w:r>
      <w:r w:rsidR="004941DE" w:rsidRPr="004941DE">
        <w:rPr>
          <w:rFonts w:cstheme="minorHAnsi"/>
        </w:rPr>
        <w:t>adir</w:t>
      </w:r>
      <w:r w:rsidR="004941DE" w:rsidRPr="004941DE">
        <w:rPr>
          <w:rFonts w:eastAsia="Times New Roman" w:cstheme="minorHAnsi"/>
        </w:rPr>
        <w:t xml:space="preserve">, with the group having the higher </w:t>
      </w:r>
      <w:r w:rsidR="004941DE" w:rsidRPr="004941DE">
        <w:rPr>
          <w:rFonts w:cstheme="minorHAnsi"/>
        </w:rPr>
        <w:t>PSA Nadir level</w:t>
      </w:r>
      <w:r w:rsidR="004941DE" w:rsidRPr="004941DE">
        <w:rPr>
          <w:rFonts w:eastAsia="Times New Roman" w:cstheme="minorHAnsi"/>
        </w:rPr>
        <w:t xml:space="preserve"> tending toward an increased odds of relapse within 24 months. This observed difference is statistically different from an odds ratio of 1 (P </w:t>
      </w:r>
      <w:r w:rsidR="002A0A06">
        <w:rPr>
          <w:rFonts w:eastAsia="Times New Roman" w:cstheme="minorHAnsi"/>
        </w:rPr>
        <w:t>=0.008</w:t>
      </w:r>
      <w:r w:rsidR="004941DE" w:rsidRPr="004941DE">
        <w:rPr>
          <w:rFonts w:eastAsia="Times New Roman" w:cstheme="minorHAnsi"/>
        </w:rPr>
        <w:t xml:space="preserve">), with a 95% confidence interval suggesting that the observed odds ratio is what might be typically observed if the true odds of relapse within 24 months was anywhere between </w:t>
      </w:r>
      <w:r w:rsidR="002A0A06">
        <w:rPr>
          <w:rFonts w:eastAsia="Times New Roman" w:cstheme="minorHAnsi"/>
        </w:rPr>
        <w:t>2.1</w:t>
      </w:r>
      <w:r w:rsidR="004941DE" w:rsidRPr="004941DE">
        <w:rPr>
          <w:rFonts w:eastAsia="Times New Roman" w:cstheme="minorHAnsi"/>
        </w:rPr>
        <w:t xml:space="preserve">% and </w:t>
      </w:r>
      <w:r w:rsidR="002A0A06">
        <w:rPr>
          <w:rFonts w:eastAsia="Times New Roman" w:cstheme="minorHAnsi"/>
        </w:rPr>
        <w:t>15.0</w:t>
      </w:r>
      <w:r w:rsidR="004941DE" w:rsidRPr="004941DE">
        <w:rPr>
          <w:rFonts w:eastAsia="Times New Roman" w:cstheme="minorHAnsi"/>
        </w:rPr>
        <w:t xml:space="preserve">% higher for each </w:t>
      </w:r>
      <w:r w:rsidR="002A0A06">
        <w:rPr>
          <w:rFonts w:eastAsia="Times New Roman" w:cstheme="minorHAnsi"/>
        </w:rPr>
        <w:t>10%</w:t>
      </w:r>
      <w:r w:rsidR="004941DE" w:rsidRPr="004941DE">
        <w:rPr>
          <w:rFonts w:eastAsia="Times New Roman" w:cstheme="minorHAnsi"/>
        </w:rPr>
        <w:t xml:space="preserve"> higher </w:t>
      </w:r>
      <w:r w:rsidR="002A0A06">
        <w:rPr>
          <w:rFonts w:eastAsia="Times New Roman" w:cstheme="minorHAnsi"/>
        </w:rPr>
        <w:t>PSA nadir</w:t>
      </w:r>
      <w:r w:rsidR="004941DE" w:rsidRPr="004941DE">
        <w:rPr>
          <w:rFonts w:eastAsia="Times New Roman" w:cstheme="minorHAnsi"/>
        </w:rPr>
        <w:t xml:space="preserve"> level. We therefore </w:t>
      </w:r>
      <w:r w:rsidR="002A0A06">
        <w:rPr>
          <w:rFonts w:eastAsia="Times New Roman" w:cstheme="minorHAnsi"/>
        </w:rPr>
        <w:t>reject the null hypothesis of no</w:t>
      </w:r>
      <w:r w:rsidR="004941DE" w:rsidRPr="004941DE">
        <w:rPr>
          <w:rFonts w:eastAsia="Times New Roman" w:cstheme="minorHAnsi"/>
        </w:rPr>
        <w:t xml:space="preserve"> association between</w:t>
      </w:r>
      <w:r w:rsidR="004941DE" w:rsidRPr="004941DE">
        <w:rPr>
          <w:rFonts w:cstheme="minorHAnsi"/>
        </w:rPr>
        <w:t xml:space="preserve"> </w:t>
      </w:r>
      <w:r w:rsidR="002A0A06">
        <w:rPr>
          <w:rFonts w:cstheme="minorHAnsi"/>
        </w:rPr>
        <w:t>PSA n</w:t>
      </w:r>
      <w:r w:rsidR="004941DE" w:rsidRPr="004941DE">
        <w:rPr>
          <w:rFonts w:cstheme="minorHAnsi"/>
        </w:rPr>
        <w:t>adir</w:t>
      </w:r>
      <w:r w:rsidR="004941DE" w:rsidRPr="004941DE">
        <w:rPr>
          <w:rFonts w:eastAsia="Times New Roman" w:cstheme="minorHAnsi"/>
        </w:rPr>
        <w:t xml:space="preserve"> and relapse within 24 months. </w:t>
      </w:r>
    </w:p>
    <w:p w:rsidR="004941DE" w:rsidRPr="004941DE" w:rsidRDefault="004941DE" w:rsidP="004941DE">
      <w:pPr>
        <w:spacing w:after="0" w:line="240" w:lineRule="auto"/>
        <w:rPr>
          <w:rFonts w:eastAsia="Times New Roman" w:cstheme="minorHAnsi"/>
        </w:rPr>
      </w:pPr>
    </w:p>
    <w:p w:rsidR="005D5500" w:rsidRDefault="004941DE" w:rsidP="004941DE">
      <w:pPr>
        <w:autoSpaceDE w:val="0"/>
        <w:autoSpaceDN w:val="0"/>
        <w:adjustRightInd w:val="0"/>
        <w:spacing w:after="0" w:line="240" w:lineRule="auto"/>
        <w:ind w:left="360"/>
      </w:pPr>
      <w:r w:rsidRPr="004941DE">
        <w:rPr>
          <w:rFonts w:eastAsia="Times New Roman" w:cstheme="minorHAnsi"/>
        </w:rPr>
        <w:t xml:space="preserve">This estimate was obtained from a robust logistic regression model of relapse within 24 month on </w:t>
      </w:r>
      <w:r w:rsidR="002A0A06">
        <w:rPr>
          <w:rFonts w:eastAsia="Times New Roman" w:cstheme="minorHAnsi"/>
        </w:rPr>
        <w:t xml:space="preserve">log-transformed </w:t>
      </w:r>
      <w:r w:rsidRPr="004941DE">
        <w:rPr>
          <w:rFonts w:eastAsia="Times New Roman" w:cstheme="minorHAnsi"/>
        </w:rPr>
        <w:t>PSA nadir values adjusting for perform</w:t>
      </w:r>
      <w:r w:rsidR="006C682D">
        <w:rPr>
          <w:rFonts w:eastAsia="Times New Roman" w:cstheme="minorHAnsi"/>
        </w:rPr>
        <w:t xml:space="preserve">ance score and bone scan score </w:t>
      </w:r>
      <w:r w:rsidR="006C682D" w:rsidRPr="004941DE">
        <w:rPr>
          <w:rFonts w:eastAsia="Times New Roman" w:cstheme="minorHAnsi"/>
        </w:rPr>
        <w:t xml:space="preserve">(Table </w:t>
      </w:r>
      <w:r w:rsidR="006C682D">
        <w:rPr>
          <w:rFonts w:eastAsia="Times New Roman" w:cstheme="minorHAnsi"/>
        </w:rPr>
        <w:t>3</w:t>
      </w:r>
      <w:r w:rsidR="006C682D" w:rsidRPr="004941DE">
        <w:rPr>
          <w:rFonts w:eastAsia="Times New Roman" w:cstheme="minorHAnsi"/>
        </w:rPr>
        <w:t>)</w:t>
      </w:r>
      <w:r w:rsidRPr="004941DE">
        <w:rPr>
          <w:rFonts w:eastAsia="Times New Roman" w:cstheme="minorHAnsi"/>
        </w:rPr>
        <w:t xml:space="preserve">. Because a BSS of one predicted relapse perfectly (i.e., all patients with a BSS = 1 relapsed), these 5 patients </w:t>
      </w:r>
      <w:r w:rsidR="00037167">
        <w:rPr>
          <w:rFonts w:eastAsia="Times New Roman" w:cstheme="minorHAnsi"/>
        </w:rPr>
        <w:t xml:space="preserve">with a BSS=1 </w:t>
      </w:r>
      <w:r w:rsidRPr="004941DE">
        <w:rPr>
          <w:rFonts w:eastAsia="Times New Roman" w:cstheme="minorHAnsi"/>
        </w:rPr>
        <w:t>were omitted from the model, along with 2 other patients with other missing data</w:t>
      </w:r>
      <w:r>
        <w:rPr>
          <w:rFonts w:eastAsia="Times New Roman" w:cstheme="minorHAnsi"/>
        </w:rPr>
        <w:t>.</w:t>
      </w:r>
      <w:r w:rsidR="00836581">
        <w:rPr>
          <w:rFonts w:eastAsia="Times New Roman" w:cstheme="minorHAnsi"/>
        </w:rPr>
        <w:t xml:space="preserve"> The omission of all patients with a BSS=1 may result in an estimate biased toward the square of the true OR.</w:t>
      </w:r>
    </w:p>
    <w:p w:rsidR="00426628" w:rsidRDefault="00426628" w:rsidP="005D5500">
      <w:pPr>
        <w:autoSpaceDE w:val="0"/>
        <w:autoSpaceDN w:val="0"/>
        <w:adjustRightInd w:val="0"/>
        <w:spacing w:after="0" w:line="240" w:lineRule="auto"/>
        <w:ind w:left="360"/>
      </w:pPr>
    </w:p>
    <w:p w:rsidR="002A0A06" w:rsidRDefault="002A0A06" w:rsidP="002A0A06">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3</w:t>
      </w:r>
      <w:r w:rsidR="00AA3855">
        <w:rPr>
          <w:noProof/>
        </w:rPr>
        <w:fldChar w:fldCharType="end"/>
      </w:r>
      <w:r>
        <w:t>: Robust logistic regression model estimates (n=43)</w:t>
      </w:r>
    </w:p>
    <w:tbl>
      <w:tblPr>
        <w:tblStyle w:val="TableGrid"/>
        <w:tblW w:w="0" w:type="auto"/>
        <w:tblInd w:w="360" w:type="dxa"/>
        <w:tblLook w:val="04A0" w:firstRow="1" w:lastRow="0" w:firstColumn="1" w:lastColumn="0" w:noHBand="0" w:noVBand="1"/>
      </w:tblPr>
      <w:tblGrid>
        <w:gridCol w:w="4035"/>
        <w:gridCol w:w="2452"/>
        <w:gridCol w:w="901"/>
      </w:tblGrid>
      <w:tr w:rsidR="00111C3A" w:rsidRPr="00DC273B" w:rsidTr="00944BF2">
        <w:tc>
          <w:tcPr>
            <w:tcW w:w="4035" w:type="dxa"/>
            <w:tcBorders>
              <w:bottom w:val="double" w:sz="4" w:space="0" w:color="auto"/>
            </w:tcBorders>
          </w:tcPr>
          <w:p w:rsidR="00111C3A" w:rsidRPr="00DC273B" w:rsidRDefault="00111C3A"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P value</w:t>
            </w:r>
          </w:p>
        </w:tc>
      </w:tr>
      <w:tr w:rsidR="00111C3A" w:rsidRPr="00DC273B" w:rsidTr="00944BF2">
        <w:tc>
          <w:tcPr>
            <w:tcW w:w="4035" w:type="dxa"/>
            <w:tcBorders>
              <w:top w:val="double" w:sz="4" w:space="0" w:color="auto"/>
            </w:tcBorders>
          </w:tcPr>
          <w:p w:rsidR="00111C3A" w:rsidRPr="00DC273B" w:rsidRDefault="00111C3A" w:rsidP="00944BF2">
            <w:pPr>
              <w:autoSpaceDE w:val="0"/>
              <w:autoSpaceDN w:val="0"/>
              <w:adjustRightInd w:val="0"/>
              <w:rPr>
                <w:sz w:val="20"/>
                <w:szCs w:val="20"/>
              </w:rPr>
            </w:pPr>
            <w:r>
              <w:rPr>
                <w:sz w:val="20"/>
                <w:szCs w:val="20"/>
              </w:rPr>
              <w:t>Log PSA nadir</w:t>
            </w:r>
          </w:p>
        </w:tc>
        <w:tc>
          <w:tcPr>
            <w:tcW w:w="2452" w:type="dxa"/>
            <w:tcBorders>
              <w:top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2.325 (1.244, 4.348)</w:t>
            </w:r>
          </w:p>
        </w:tc>
        <w:tc>
          <w:tcPr>
            <w:tcW w:w="901" w:type="dxa"/>
            <w:tcBorders>
              <w:top w:val="double" w:sz="4" w:space="0" w:color="auto"/>
            </w:tcBorders>
          </w:tcPr>
          <w:p w:rsidR="00111C3A" w:rsidRPr="00426628" w:rsidRDefault="00111C3A" w:rsidP="00944BF2">
            <w:pPr>
              <w:autoSpaceDE w:val="0"/>
              <w:autoSpaceDN w:val="0"/>
              <w:adjustRightInd w:val="0"/>
              <w:jc w:val="right"/>
              <w:rPr>
                <w:sz w:val="20"/>
                <w:szCs w:val="20"/>
              </w:rPr>
            </w:pPr>
            <w:r>
              <w:rPr>
                <w:sz w:val="20"/>
                <w:szCs w:val="20"/>
              </w:rPr>
              <w:t>0.008</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Performance Score</w:t>
            </w:r>
          </w:p>
        </w:tc>
        <w:tc>
          <w:tcPr>
            <w:tcW w:w="2452" w:type="dxa"/>
          </w:tcPr>
          <w:p w:rsidR="00111C3A" w:rsidRPr="00DC273B" w:rsidRDefault="00111C3A" w:rsidP="00944BF2">
            <w:pPr>
              <w:autoSpaceDE w:val="0"/>
              <w:autoSpaceDN w:val="0"/>
              <w:adjustRightInd w:val="0"/>
              <w:jc w:val="right"/>
              <w:rPr>
                <w:sz w:val="20"/>
                <w:szCs w:val="20"/>
              </w:rPr>
            </w:pPr>
            <w:r>
              <w:rPr>
                <w:sz w:val="20"/>
                <w:szCs w:val="20"/>
              </w:rPr>
              <w:t>0.950 (0.881, 1.024)</w:t>
            </w:r>
          </w:p>
        </w:tc>
        <w:tc>
          <w:tcPr>
            <w:tcW w:w="901" w:type="dxa"/>
          </w:tcPr>
          <w:p w:rsidR="00111C3A" w:rsidRPr="00426628" w:rsidRDefault="00111C3A" w:rsidP="00944BF2">
            <w:pPr>
              <w:autoSpaceDE w:val="0"/>
              <w:autoSpaceDN w:val="0"/>
              <w:adjustRightInd w:val="0"/>
              <w:jc w:val="right"/>
              <w:rPr>
                <w:sz w:val="20"/>
                <w:szCs w:val="20"/>
              </w:rPr>
            </w:pPr>
            <w:r>
              <w:rPr>
                <w:sz w:val="20"/>
                <w:szCs w:val="20"/>
              </w:rPr>
              <w:t>0.182</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Bone Scan Score of 2 (reference category is 3)</w:t>
            </w:r>
          </w:p>
        </w:tc>
        <w:tc>
          <w:tcPr>
            <w:tcW w:w="2452" w:type="dxa"/>
          </w:tcPr>
          <w:p w:rsidR="00111C3A" w:rsidRPr="00DC273B" w:rsidRDefault="00111C3A" w:rsidP="00944BF2">
            <w:pPr>
              <w:autoSpaceDE w:val="0"/>
              <w:autoSpaceDN w:val="0"/>
              <w:adjustRightInd w:val="0"/>
              <w:jc w:val="right"/>
              <w:rPr>
                <w:sz w:val="20"/>
                <w:szCs w:val="20"/>
              </w:rPr>
            </w:pPr>
            <w:r>
              <w:rPr>
                <w:sz w:val="20"/>
                <w:szCs w:val="20"/>
              </w:rPr>
              <w:t>0.478 (0.102, 2.237)</w:t>
            </w:r>
          </w:p>
        </w:tc>
        <w:tc>
          <w:tcPr>
            <w:tcW w:w="901" w:type="dxa"/>
            <w:vAlign w:val="bottom"/>
          </w:tcPr>
          <w:p w:rsidR="00111C3A" w:rsidRPr="00426628" w:rsidRDefault="00111C3A" w:rsidP="00944BF2">
            <w:pPr>
              <w:jc w:val="right"/>
              <w:rPr>
                <w:rFonts w:ascii="Calibri" w:hAnsi="Calibri"/>
                <w:color w:val="000000"/>
                <w:sz w:val="20"/>
                <w:szCs w:val="20"/>
              </w:rPr>
            </w:pPr>
            <w:r>
              <w:rPr>
                <w:rFonts w:ascii="Calibri" w:hAnsi="Calibri"/>
                <w:color w:val="000000"/>
                <w:sz w:val="20"/>
                <w:szCs w:val="20"/>
              </w:rPr>
              <w:t>0.348</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Intercept</w:t>
            </w:r>
          </w:p>
        </w:tc>
        <w:tc>
          <w:tcPr>
            <w:tcW w:w="2452" w:type="dxa"/>
          </w:tcPr>
          <w:p w:rsidR="00111C3A" w:rsidRPr="00DC273B" w:rsidRDefault="00111C3A" w:rsidP="00944BF2">
            <w:pPr>
              <w:autoSpaceDE w:val="0"/>
              <w:autoSpaceDN w:val="0"/>
              <w:adjustRightInd w:val="0"/>
              <w:jc w:val="right"/>
              <w:rPr>
                <w:sz w:val="20"/>
                <w:szCs w:val="20"/>
              </w:rPr>
            </w:pPr>
            <w:r>
              <w:rPr>
                <w:sz w:val="20"/>
                <w:szCs w:val="20"/>
              </w:rPr>
              <w:t>35.415 (0.130, 9624.005)</w:t>
            </w:r>
          </w:p>
        </w:tc>
        <w:tc>
          <w:tcPr>
            <w:tcW w:w="901" w:type="dxa"/>
          </w:tcPr>
          <w:p w:rsidR="00111C3A" w:rsidRPr="00426628" w:rsidRDefault="00111C3A" w:rsidP="00944BF2">
            <w:pPr>
              <w:autoSpaceDE w:val="0"/>
              <w:autoSpaceDN w:val="0"/>
              <w:adjustRightInd w:val="0"/>
              <w:jc w:val="right"/>
              <w:rPr>
                <w:sz w:val="20"/>
                <w:szCs w:val="20"/>
              </w:rPr>
            </w:pPr>
            <w:r>
              <w:rPr>
                <w:sz w:val="20"/>
                <w:szCs w:val="20"/>
              </w:rPr>
              <w:t>0.212</w:t>
            </w:r>
          </w:p>
        </w:tc>
      </w:tr>
    </w:tbl>
    <w:p w:rsidR="00426628" w:rsidRPr="001171FE" w:rsidRDefault="00426628" w:rsidP="005D5500">
      <w:pPr>
        <w:autoSpaceDE w:val="0"/>
        <w:autoSpaceDN w:val="0"/>
        <w:adjustRightInd w:val="0"/>
        <w:spacing w:after="0" w:line="240" w:lineRule="auto"/>
        <w:ind w:left="360"/>
      </w:pPr>
    </w:p>
    <w:p w:rsidR="005D5500" w:rsidRPr="001171FE" w:rsidRDefault="005D5500" w:rsidP="005D5500">
      <w:pPr>
        <w:autoSpaceDE w:val="0"/>
        <w:autoSpaceDN w:val="0"/>
        <w:adjustRightInd w:val="0"/>
        <w:spacing w:after="0" w:line="240" w:lineRule="auto"/>
        <w:ind w:left="360"/>
      </w:pPr>
    </w:p>
    <w:p w:rsidR="002A0A06" w:rsidRPr="004941DE" w:rsidRDefault="005D7E34" w:rsidP="00A02218">
      <w:pPr>
        <w:autoSpaceDE w:val="0"/>
        <w:autoSpaceDN w:val="0"/>
        <w:adjustRightInd w:val="0"/>
        <w:spacing w:after="0" w:line="240" w:lineRule="auto"/>
        <w:ind w:left="360"/>
        <w:rPr>
          <w:rFonts w:cstheme="minorHAnsi"/>
        </w:rPr>
      </w:pPr>
      <w:r w:rsidRPr="001171FE">
        <w:rPr>
          <w:b/>
        </w:rPr>
        <w:t>C)</w:t>
      </w:r>
      <w:r w:rsidRPr="001171FE">
        <w:t xml:space="preserve"> </w:t>
      </w:r>
      <w:r w:rsidR="002A0A06" w:rsidRPr="004941DE">
        <w:rPr>
          <w:rFonts w:eastAsia="Times New Roman" w:cstheme="minorHAnsi"/>
        </w:rPr>
        <w:t xml:space="preserve">When comparing two groups with the same performance and bone scan scores but different </w:t>
      </w:r>
      <w:r w:rsidR="000472DF">
        <w:rPr>
          <w:rFonts w:cstheme="minorHAnsi"/>
        </w:rPr>
        <w:t>PSA n</w:t>
      </w:r>
      <w:r w:rsidR="002A0A06" w:rsidRPr="004941DE">
        <w:rPr>
          <w:rFonts w:cstheme="minorHAnsi"/>
        </w:rPr>
        <w:t>adir</w:t>
      </w:r>
      <w:r w:rsidR="002A0A06" w:rsidRPr="004941DE">
        <w:rPr>
          <w:rFonts w:eastAsia="Times New Roman" w:cstheme="minorHAnsi"/>
        </w:rPr>
        <w:t xml:space="preserve"> levels, </w:t>
      </w:r>
      <w:r w:rsidR="000D42A5">
        <w:rPr>
          <w:rFonts w:eastAsia="Times New Roman" w:cstheme="minorHAnsi"/>
        </w:rPr>
        <w:t xml:space="preserve">the odds of </w:t>
      </w:r>
      <w:r w:rsidR="002A0A06" w:rsidRPr="004941DE">
        <w:rPr>
          <w:rFonts w:eastAsia="Times New Roman" w:cstheme="minorHAnsi"/>
        </w:rPr>
        <w:t xml:space="preserve">relapse within 24 months is estimated to </w:t>
      </w:r>
      <w:r w:rsidR="000D42A5">
        <w:rPr>
          <w:rFonts w:eastAsia="Times New Roman" w:cstheme="minorHAnsi"/>
        </w:rPr>
        <w:t xml:space="preserve">be 2589.3% </w:t>
      </w:r>
      <w:r w:rsidR="000472DF">
        <w:rPr>
          <w:rFonts w:eastAsia="Times New Roman" w:cstheme="minorHAnsi"/>
        </w:rPr>
        <w:t xml:space="preserve">higher (95% CI: 17.8% higher, 61306.9% higher) for each 1 ng/dl increase in </w:t>
      </w:r>
      <w:r w:rsidR="002A0A06">
        <w:rPr>
          <w:rFonts w:cstheme="minorHAnsi"/>
        </w:rPr>
        <w:t>PSA n</w:t>
      </w:r>
      <w:r w:rsidR="002A0A06" w:rsidRPr="004941DE">
        <w:rPr>
          <w:rFonts w:cstheme="minorHAnsi"/>
        </w:rPr>
        <w:t>adir</w:t>
      </w:r>
      <w:r w:rsidR="000472DF">
        <w:rPr>
          <w:rFonts w:cstheme="minorHAnsi"/>
        </w:rPr>
        <w:t xml:space="preserve"> between the values of 0 and 1</w:t>
      </w:r>
      <w:r w:rsidR="000472DF">
        <w:rPr>
          <w:rFonts w:eastAsia="Times New Roman" w:cstheme="minorHAnsi"/>
        </w:rPr>
        <w:t>;</w:t>
      </w:r>
      <w:r w:rsidR="00836581">
        <w:rPr>
          <w:rFonts w:eastAsia="Times New Roman" w:cstheme="minorHAnsi"/>
        </w:rPr>
        <w:t xml:space="preserve"> after which the odd</w:t>
      </w:r>
      <w:r w:rsidR="006E1512">
        <w:rPr>
          <w:rFonts w:eastAsia="Times New Roman" w:cstheme="minorHAnsi"/>
        </w:rPr>
        <w:t xml:space="preserve">s of </w:t>
      </w:r>
      <w:r w:rsidR="006E1512" w:rsidRPr="004941DE">
        <w:rPr>
          <w:rFonts w:eastAsia="Times New Roman" w:cstheme="minorHAnsi"/>
        </w:rPr>
        <w:t xml:space="preserve">relapse within 24 months is estimated to </w:t>
      </w:r>
      <w:r w:rsidR="006E1512">
        <w:rPr>
          <w:rFonts w:eastAsia="Times New Roman" w:cstheme="minorHAnsi"/>
        </w:rPr>
        <w:t xml:space="preserve">be </w:t>
      </w:r>
      <w:r w:rsidR="000472DF">
        <w:rPr>
          <w:rFonts w:eastAsia="Times New Roman" w:cstheme="minorHAnsi"/>
        </w:rPr>
        <w:t xml:space="preserve">9.2% lower (95% CI: 66.9% lower, 148.9% higher) for each 1 ng/dl increase in </w:t>
      </w:r>
      <w:r w:rsidR="000472DF">
        <w:rPr>
          <w:rFonts w:cstheme="minorHAnsi"/>
        </w:rPr>
        <w:t>PSA n</w:t>
      </w:r>
      <w:r w:rsidR="000472DF" w:rsidRPr="004941DE">
        <w:rPr>
          <w:rFonts w:cstheme="minorHAnsi"/>
        </w:rPr>
        <w:t>adir</w:t>
      </w:r>
      <w:r w:rsidR="000472DF">
        <w:rPr>
          <w:rFonts w:cstheme="minorHAnsi"/>
        </w:rPr>
        <w:t xml:space="preserve"> between the values of 1 and 4; </w:t>
      </w:r>
      <w:r w:rsidR="006E1512">
        <w:rPr>
          <w:rFonts w:cstheme="minorHAnsi"/>
        </w:rPr>
        <w:t xml:space="preserve">then </w:t>
      </w:r>
      <w:r w:rsidR="000472DF">
        <w:rPr>
          <w:rFonts w:eastAsia="Times New Roman" w:cstheme="minorHAnsi"/>
        </w:rPr>
        <w:t xml:space="preserve">37.9% higher (95% CI: 5.5% lower,  101.1% higher) for each 1 ng/dl increase in </w:t>
      </w:r>
      <w:r w:rsidR="000472DF">
        <w:rPr>
          <w:rFonts w:cstheme="minorHAnsi"/>
        </w:rPr>
        <w:t>PSA n</w:t>
      </w:r>
      <w:r w:rsidR="000472DF" w:rsidRPr="004941DE">
        <w:rPr>
          <w:rFonts w:cstheme="minorHAnsi"/>
        </w:rPr>
        <w:t>adir</w:t>
      </w:r>
      <w:r w:rsidR="000472DF">
        <w:rPr>
          <w:rFonts w:cstheme="minorHAnsi"/>
        </w:rPr>
        <w:t xml:space="preserve"> between the values of 4 and 16; and </w:t>
      </w:r>
      <w:r w:rsidR="006E1512">
        <w:rPr>
          <w:rFonts w:cstheme="minorHAnsi"/>
        </w:rPr>
        <w:t xml:space="preserve">finally </w:t>
      </w:r>
      <w:r w:rsidR="000472DF">
        <w:rPr>
          <w:rFonts w:eastAsia="Times New Roman" w:cstheme="minorHAnsi"/>
        </w:rPr>
        <w:t xml:space="preserve">1.8% lower (95% CI: 14.2% lower, 2.5% higher) for each 1 ng/dl increase in </w:t>
      </w:r>
      <w:r w:rsidR="000472DF">
        <w:rPr>
          <w:rFonts w:cstheme="minorHAnsi"/>
        </w:rPr>
        <w:t>PSA n</w:t>
      </w:r>
      <w:r w:rsidR="000472DF" w:rsidRPr="004941DE">
        <w:rPr>
          <w:rFonts w:cstheme="minorHAnsi"/>
        </w:rPr>
        <w:t>adir</w:t>
      </w:r>
      <w:r w:rsidR="000472DF">
        <w:rPr>
          <w:rFonts w:cstheme="minorHAnsi"/>
        </w:rPr>
        <w:t xml:space="preserve"> for values greater than 16.</w:t>
      </w:r>
      <w:r w:rsidR="002A0A06" w:rsidRPr="004941DE">
        <w:rPr>
          <w:rFonts w:eastAsia="Times New Roman" w:cstheme="minorHAnsi"/>
        </w:rPr>
        <w:t xml:space="preserve"> This observed difference is statistically different from </w:t>
      </w:r>
      <w:r w:rsidR="006E1512">
        <w:rPr>
          <w:rFonts w:eastAsia="Times New Roman" w:cstheme="minorHAnsi"/>
        </w:rPr>
        <w:t>equal</w:t>
      </w:r>
      <w:r w:rsidR="002A0A06" w:rsidRPr="004941DE">
        <w:rPr>
          <w:rFonts w:eastAsia="Times New Roman" w:cstheme="minorHAnsi"/>
        </w:rPr>
        <w:t xml:space="preserve"> odds (P </w:t>
      </w:r>
      <w:r w:rsidR="002A0A06">
        <w:rPr>
          <w:rFonts w:eastAsia="Times New Roman" w:cstheme="minorHAnsi"/>
        </w:rPr>
        <w:t>=0.0</w:t>
      </w:r>
      <w:r w:rsidR="000472DF">
        <w:rPr>
          <w:rFonts w:eastAsia="Times New Roman" w:cstheme="minorHAnsi"/>
        </w:rPr>
        <w:t xml:space="preserve">19). </w:t>
      </w:r>
      <w:r w:rsidR="002A0A06" w:rsidRPr="004941DE">
        <w:rPr>
          <w:rFonts w:eastAsia="Times New Roman" w:cstheme="minorHAnsi"/>
        </w:rPr>
        <w:t xml:space="preserve">We therefore </w:t>
      </w:r>
      <w:r w:rsidR="002A0A06">
        <w:rPr>
          <w:rFonts w:eastAsia="Times New Roman" w:cstheme="minorHAnsi"/>
        </w:rPr>
        <w:t>reject the null hypothesis of no</w:t>
      </w:r>
      <w:r w:rsidR="002A0A06" w:rsidRPr="004941DE">
        <w:rPr>
          <w:rFonts w:eastAsia="Times New Roman" w:cstheme="minorHAnsi"/>
        </w:rPr>
        <w:t xml:space="preserve"> association between</w:t>
      </w:r>
      <w:r w:rsidR="002A0A06" w:rsidRPr="004941DE">
        <w:rPr>
          <w:rFonts w:cstheme="minorHAnsi"/>
        </w:rPr>
        <w:t xml:space="preserve"> </w:t>
      </w:r>
      <w:r w:rsidR="002A0A06">
        <w:rPr>
          <w:rFonts w:cstheme="minorHAnsi"/>
        </w:rPr>
        <w:t>PSA n</w:t>
      </w:r>
      <w:r w:rsidR="002A0A06" w:rsidRPr="004941DE">
        <w:rPr>
          <w:rFonts w:cstheme="minorHAnsi"/>
        </w:rPr>
        <w:t>adir</w:t>
      </w:r>
      <w:r w:rsidR="002A0A06" w:rsidRPr="004941DE">
        <w:rPr>
          <w:rFonts w:eastAsia="Times New Roman" w:cstheme="minorHAnsi"/>
        </w:rPr>
        <w:t xml:space="preserve"> and relapse within 24 months. </w:t>
      </w:r>
    </w:p>
    <w:p w:rsidR="002A0A06" w:rsidRPr="004941DE" w:rsidRDefault="002A0A06" w:rsidP="002A0A06">
      <w:pPr>
        <w:spacing w:after="0" w:line="240" w:lineRule="auto"/>
        <w:rPr>
          <w:rFonts w:eastAsia="Times New Roman" w:cstheme="minorHAnsi"/>
        </w:rPr>
      </w:pPr>
    </w:p>
    <w:p w:rsidR="005D7E34" w:rsidRDefault="002A0A06" w:rsidP="002A0A06">
      <w:pPr>
        <w:autoSpaceDE w:val="0"/>
        <w:autoSpaceDN w:val="0"/>
        <w:adjustRightInd w:val="0"/>
        <w:spacing w:after="0" w:line="240" w:lineRule="auto"/>
        <w:ind w:left="360"/>
      </w:pPr>
      <w:r w:rsidRPr="004941DE">
        <w:rPr>
          <w:rFonts w:eastAsia="Times New Roman" w:cstheme="minorHAnsi"/>
        </w:rPr>
        <w:t xml:space="preserve">This estimate was obtained from a robust logistic regression model of relapse within 24 month on </w:t>
      </w:r>
      <w:r w:rsidR="00037167">
        <w:rPr>
          <w:rFonts w:eastAsia="Times New Roman" w:cstheme="minorHAnsi"/>
        </w:rPr>
        <w:t xml:space="preserve">linear spline </w:t>
      </w:r>
      <w:r w:rsidRPr="004941DE">
        <w:rPr>
          <w:rFonts w:eastAsia="Times New Roman" w:cstheme="minorHAnsi"/>
        </w:rPr>
        <w:t>PSA nadir values adjusting for performance</w:t>
      </w:r>
      <w:r w:rsidR="006C682D">
        <w:rPr>
          <w:rFonts w:eastAsia="Times New Roman" w:cstheme="minorHAnsi"/>
        </w:rPr>
        <w:t xml:space="preserve"> score and bone scan score </w:t>
      </w:r>
      <w:r w:rsidR="006C682D" w:rsidRPr="004941DE">
        <w:rPr>
          <w:rFonts w:eastAsia="Times New Roman" w:cstheme="minorHAnsi"/>
        </w:rPr>
        <w:t xml:space="preserve">(Table </w:t>
      </w:r>
      <w:r w:rsidR="006C682D">
        <w:rPr>
          <w:rFonts w:eastAsia="Times New Roman" w:cstheme="minorHAnsi"/>
        </w:rPr>
        <w:t>4</w:t>
      </w:r>
      <w:r w:rsidR="006C682D" w:rsidRPr="004941DE">
        <w:rPr>
          <w:rFonts w:eastAsia="Times New Roman" w:cstheme="minorHAnsi"/>
        </w:rPr>
        <w:t>)</w:t>
      </w:r>
      <w:r w:rsidRPr="004941DE">
        <w:rPr>
          <w:rFonts w:eastAsia="Times New Roman" w:cstheme="minorHAnsi"/>
        </w:rPr>
        <w:t>. Because a BSS of one predicted relapse perfectly (i.e., all patients</w:t>
      </w:r>
      <w:r w:rsidR="00037167">
        <w:rPr>
          <w:rFonts w:eastAsia="Times New Roman" w:cstheme="minorHAnsi"/>
        </w:rPr>
        <w:t xml:space="preserve"> with a BSS = 1 relapsed), the</w:t>
      </w:r>
      <w:r w:rsidRPr="004941DE">
        <w:rPr>
          <w:rFonts w:eastAsia="Times New Roman" w:cstheme="minorHAnsi"/>
        </w:rPr>
        <w:t xml:space="preserve"> 5 patients </w:t>
      </w:r>
      <w:r w:rsidR="00037167">
        <w:rPr>
          <w:rFonts w:eastAsia="Times New Roman" w:cstheme="minorHAnsi"/>
        </w:rPr>
        <w:t xml:space="preserve">with a BSS of one </w:t>
      </w:r>
      <w:r w:rsidRPr="004941DE">
        <w:rPr>
          <w:rFonts w:eastAsia="Times New Roman" w:cstheme="minorHAnsi"/>
        </w:rPr>
        <w:t>were omitted from the model, along with 2 other patients with other missing data</w:t>
      </w:r>
      <w:r>
        <w:rPr>
          <w:rFonts w:eastAsia="Times New Roman" w:cstheme="minorHAnsi"/>
        </w:rPr>
        <w:t>.</w:t>
      </w:r>
      <w:r w:rsidR="00836581">
        <w:rPr>
          <w:rFonts w:eastAsia="Times New Roman" w:cstheme="minorHAnsi"/>
        </w:rPr>
        <w:t xml:space="preserve"> The omission of all patients with a BSS=1 may result in an estimate biased toward the square of the true OR.</w:t>
      </w:r>
    </w:p>
    <w:p w:rsidR="00426628" w:rsidRDefault="00426628" w:rsidP="005D5500">
      <w:pPr>
        <w:autoSpaceDE w:val="0"/>
        <w:autoSpaceDN w:val="0"/>
        <w:adjustRightInd w:val="0"/>
        <w:spacing w:after="0" w:line="240" w:lineRule="auto"/>
        <w:ind w:left="360"/>
      </w:pPr>
    </w:p>
    <w:p w:rsidR="002A0A06" w:rsidRDefault="002A0A06" w:rsidP="002A0A06">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4</w:t>
      </w:r>
      <w:r w:rsidR="00AA3855">
        <w:rPr>
          <w:noProof/>
        </w:rPr>
        <w:fldChar w:fldCharType="end"/>
      </w:r>
      <w:r>
        <w:t>: Robust logistic regression model estimates (n=43)</w:t>
      </w:r>
    </w:p>
    <w:tbl>
      <w:tblPr>
        <w:tblStyle w:val="TableGrid"/>
        <w:tblW w:w="0" w:type="auto"/>
        <w:tblInd w:w="360" w:type="dxa"/>
        <w:tblLook w:val="04A0" w:firstRow="1" w:lastRow="0" w:firstColumn="1" w:lastColumn="0" w:noHBand="0" w:noVBand="1"/>
      </w:tblPr>
      <w:tblGrid>
        <w:gridCol w:w="4035"/>
        <w:gridCol w:w="2452"/>
        <w:gridCol w:w="901"/>
      </w:tblGrid>
      <w:tr w:rsidR="00426628" w:rsidRPr="00DC273B" w:rsidTr="00944BF2">
        <w:tc>
          <w:tcPr>
            <w:tcW w:w="4035" w:type="dxa"/>
            <w:tcBorders>
              <w:bottom w:val="double" w:sz="4" w:space="0" w:color="auto"/>
            </w:tcBorders>
          </w:tcPr>
          <w:p w:rsidR="00426628" w:rsidRPr="00DC273B" w:rsidRDefault="00426628"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426628" w:rsidRPr="00DC273B" w:rsidRDefault="00426628" w:rsidP="00944BF2">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426628" w:rsidRPr="00DC273B" w:rsidRDefault="00426628" w:rsidP="00944BF2">
            <w:pPr>
              <w:autoSpaceDE w:val="0"/>
              <w:autoSpaceDN w:val="0"/>
              <w:adjustRightInd w:val="0"/>
              <w:jc w:val="right"/>
              <w:rPr>
                <w:sz w:val="20"/>
                <w:szCs w:val="20"/>
              </w:rPr>
            </w:pPr>
            <w:r>
              <w:rPr>
                <w:sz w:val="20"/>
                <w:szCs w:val="20"/>
              </w:rPr>
              <w:t>P value</w:t>
            </w:r>
          </w:p>
        </w:tc>
      </w:tr>
      <w:tr w:rsidR="00426628" w:rsidRPr="00DC273B" w:rsidTr="00944BF2">
        <w:tc>
          <w:tcPr>
            <w:tcW w:w="4035" w:type="dxa"/>
            <w:tcBorders>
              <w:top w:val="double" w:sz="4" w:space="0" w:color="auto"/>
            </w:tcBorders>
          </w:tcPr>
          <w:p w:rsidR="00426628" w:rsidRPr="00DC273B" w:rsidRDefault="00426628" w:rsidP="00944BF2">
            <w:pPr>
              <w:autoSpaceDE w:val="0"/>
              <w:autoSpaceDN w:val="0"/>
              <w:adjustRightInd w:val="0"/>
              <w:rPr>
                <w:sz w:val="20"/>
                <w:szCs w:val="20"/>
              </w:rPr>
            </w:pPr>
            <w:r>
              <w:rPr>
                <w:sz w:val="20"/>
                <w:szCs w:val="20"/>
              </w:rPr>
              <w:t>PSA nadir</w:t>
            </w:r>
            <w:r w:rsidR="00111C3A">
              <w:rPr>
                <w:sz w:val="20"/>
                <w:szCs w:val="20"/>
              </w:rPr>
              <w:t>, linear splines</w:t>
            </w:r>
          </w:p>
        </w:tc>
        <w:tc>
          <w:tcPr>
            <w:tcW w:w="2452" w:type="dxa"/>
            <w:tcBorders>
              <w:top w:val="double" w:sz="4" w:space="0" w:color="auto"/>
            </w:tcBorders>
          </w:tcPr>
          <w:p w:rsidR="00426628" w:rsidRPr="00DC273B" w:rsidRDefault="00426628" w:rsidP="00944BF2">
            <w:pPr>
              <w:autoSpaceDE w:val="0"/>
              <w:autoSpaceDN w:val="0"/>
              <w:adjustRightInd w:val="0"/>
              <w:jc w:val="right"/>
              <w:rPr>
                <w:sz w:val="20"/>
                <w:szCs w:val="20"/>
              </w:rPr>
            </w:pPr>
          </w:p>
        </w:tc>
        <w:tc>
          <w:tcPr>
            <w:tcW w:w="901" w:type="dxa"/>
            <w:tcBorders>
              <w:top w:val="double" w:sz="4" w:space="0" w:color="auto"/>
            </w:tcBorders>
          </w:tcPr>
          <w:p w:rsidR="00426628" w:rsidRPr="00426628" w:rsidRDefault="00111C3A" w:rsidP="00944BF2">
            <w:pPr>
              <w:autoSpaceDE w:val="0"/>
              <w:autoSpaceDN w:val="0"/>
              <w:adjustRightInd w:val="0"/>
              <w:jc w:val="right"/>
              <w:rPr>
                <w:sz w:val="20"/>
                <w:szCs w:val="20"/>
              </w:rPr>
            </w:pPr>
            <w:r>
              <w:rPr>
                <w:sz w:val="20"/>
                <w:szCs w:val="20"/>
              </w:rPr>
              <w:t>0.019</w:t>
            </w: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0-1</w:t>
            </w:r>
          </w:p>
        </w:tc>
        <w:tc>
          <w:tcPr>
            <w:tcW w:w="2452" w:type="dxa"/>
          </w:tcPr>
          <w:p w:rsidR="00111C3A" w:rsidRDefault="00111C3A" w:rsidP="00111C3A">
            <w:pPr>
              <w:autoSpaceDE w:val="0"/>
              <w:autoSpaceDN w:val="0"/>
              <w:adjustRightInd w:val="0"/>
              <w:jc w:val="right"/>
              <w:rPr>
                <w:sz w:val="20"/>
                <w:szCs w:val="20"/>
              </w:rPr>
            </w:pPr>
            <w:r>
              <w:rPr>
                <w:sz w:val="20"/>
                <w:szCs w:val="20"/>
              </w:rPr>
              <w:t>26.893 (1.178, 614.069)</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1-4</w:t>
            </w:r>
          </w:p>
        </w:tc>
        <w:tc>
          <w:tcPr>
            <w:tcW w:w="2452" w:type="dxa"/>
          </w:tcPr>
          <w:p w:rsidR="00111C3A" w:rsidRDefault="00111C3A" w:rsidP="00944BF2">
            <w:pPr>
              <w:autoSpaceDE w:val="0"/>
              <w:autoSpaceDN w:val="0"/>
              <w:adjustRightInd w:val="0"/>
              <w:jc w:val="right"/>
              <w:rPr>
                <w:sz w:val="20"/>
                <w:szCs w:val="20"/>
              </w:rPr>
            </w:pPr>
            <w:r>
              <w:rPr>
                <w:sz w:val="20"/>
                <w:szCs w:val="20"/>
              </w:rPr>
              <w:t>0.908 (0.331, 2.489)</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4-16</w:t>
            </w:r>
          </w:p>
        </w:tc>
        <w:tc>
          <w:tcPr>
            <w:tcW w:w="2452" w:type="dxa"/>
          </w:tcPr>
          <w:p w:rsidR="00111C3A" w:rsidRDefault="00111C3A" w:rsidP="00944BF2">
            <w:pPr>
              <w:autoSpaceDE w:val="0"/>
              <w:autoSpaceDN w:val="0"/>
              <w:adjustRightInd w:val="0"/>
              <w:jc w:val="right"/>
              <w:rPr>
                <w:sz w:val="20"/>
                <w:szCs w:val="20"/>
              </w:rPr>
            </w:pPr>
            <w:r>
              <w:rPr>
                <w:sz w:val="20"/>
                <w:szCs w:val="20"/>
              </w:rPr>
              <w:t>1.379 (0.945, 2.011)</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16+</w:t>
            </w:r>
          </w:p>
        </w:tc>
        <w:tc>
          <w:tcPr>
            <w:tcW w:w="2452" w:type="dxa"/>
          </w:tcPr>
          <w:p w:rsidR="00111C3A" w:rsidRDefault="00111C3A" w:rsidP="00944BF2">
            <w:pPr>
              <w:autoSpaceDE w:val="0"/>
              <w:autoSpaceDN w:val="0"/>
              <w:adjustRightInd w:val="0"/>
              <w:jc w:val="right"/>
              <w:rPr>
                <w:sz w:val="20"/>
                <w:szCs w:val="20"/>
              </w:rPr>
            </w:pPr>
            <w:r>
              <w:rPr>
                <w:sz w:val="20"/>
                <w:szCs w:val="20"/>
              </w:rPr>
              <w:t>0.982 (0.965, 1.000)</w:t>
            </w:r>
          </w:p>
        </w:tc>
        <w:tc>
          <w:tcPr>
            <w:tcW w:w="901" w:type="dxa"/>
          </w:tcPr>
          <w:p w:rsidR="00111C3A" w:rsidRDefault="00111C3A" w:rsidP="00944BF2">
            <w:pPr>
              <w:autoSpaceDE w:val="0"/>
              <w:autoSpaceDN w:val="0"/>
              <w:adjustRightInd w:val="0"/>
              <w:jc w:val="right"/>
              <w:rPr>
                <w:sz w:val="20"/>
                <w:szCs w:val="20"/>
              </w:rPr>
            </w:pP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Performance Score</w:t>
            </w:r>
          </w:p>
        </w:tc>
        <w:tc>
          <w:tcPr>
            <w:tcW w:w="2452" w:type="dxa"/>
          </w:tcPr>
          <w:p w:rsidR="00426628" w:rsidRPr="00DC273B" w:rsidRDefault="00426628" w:rsidP="00944BF2">
            <w:pPr>
              <w:autoSpaceDE w:val="0"/>
              <w:autoSpaceDN w:val="0"/>
              <w:adjustRightInd w:val="0"/>
              <w:jc w:val="right"/>
              <w:rPr>
                <w:sz w:val="20"/>
                <w:szCs w:val="20"/>
              </w:rPr>
            </w:pPr>
            <w:r>
              <w:rPr>
                <w:sz w:val="20"/>
                <w:szCs w:val="20"/>
              </w:rPr>
              <w:t>0.9</w:t>
            </w:r>
            <w:r w:rsidR="00111C3A">
              <w:rPr>
                <w:sz w:val="20"/>
                <w:szCs w:val="20"/>
              </w:rPr>
              <w:t>38 (0.858</w:t>
            </w:r>
            <w:r>
              <w:rPr>
                <w:sz w:val="20"/>
                <w:szCs w:val="20"/>
              </w:rPr>
              <w:t>, 1.02</w:t>
            </w:r>
            <w:r w:rsidR="00111C3A">
              <w:rPr>
                <w:sz w:val="20"/>
                <w:szCs w:val="20"/>
              </w:rPr>
              <w:t>5</w:t>
            </w:r>
            <w:r>
              <w:rPr>
                <w:sz w:val="20"/>
                <w:szCs w:val="20"/>
              </w:rPr>
              <w:t>)</w:t>
            </w:r>
          </w:p>
        </w:tc>
        <w:tc>
          <w:tcPr>
            <w:tcW w:w="901" w:type="dxa"/>
          </w:tcPr>
          <w:p w:rsidR="00426628" w:rsidRPr="00426628" w:rsidRDefault="00426628" w:rsidP="00944BF2">
            <w:pPr>
              <w:autoSpaceDE w:val="0"/>
              <w:autoSpaceDN w:val="0"/>
              <w:adjustRightInd w:val="0"/>
              <w:jc w:val="right"/>
              <w:rPr>
                <w:sz w:val="20"/>
                <w:szCs w:val="20"/>
              </w:rPr>
            </w:pPr>
            <w:r>
              <w:rPr>
                <w:sz w:val="20"/>
                <w:szCs w:val="20"/>
              </w:rPr>
              <w:t>0.</w:t>
            </w:r>
            <w:r w:rsidR="00111C3A">
              <w:rPr>
                <w:sz w:val="20"/>
                <w:szCs w:val="20"/>
              </w:rPr>
              <w:t>159</w:t>
            </w: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Bone Scan Score of 2 (reference category is 3)</w:t>
            </w:r>
          </w:p>
        </w:tc>
        <w:tc>
          <w:tcPr>
            <w:tcW w:w="2452" w:type="dxa"/>
          </w:tcPr>
          <w:p w:rsidR="00426628" w:rsidRPr="00DC273B" w:rsidRDefault="00426628" w:rsidP="00944BF2">
            <w:pPr>
              <w:autoSpaceDE w:val="0"/>
              <w:autoSpaceDN w:val="0"/>
              <w:adjustRightInd w:val="0"/>
              <w:jc w:val="right"/>
              <w:rPr>
                <w:sz w:val="20"/>
                <w:szCs w:val="20"/>
              </w:rPr>
            </w:pPr>
            <w:r>
              <w:rPr>
                <w:sz w:val="20"/>
                <w:szCs w:val="20"/>
              </w:rPr>
              <w:t>0.</w:t>
            </w:r>
            <w:r w:rsidR="00111C3A">
              <w:rPr>
                <w:sz w:val="20"/>
                <w:szCs w:val="20"/>
              </w:rPr>
              <w:t>423</w:t>
            </w:r>
            <w:r>
              <w:rPr>
                <w:sz w:val="20"/>
                <w:szCs w:val="20"/>
              </w:rPr>
              <w:t xml:space="preserve"> (0.</w:t>
            </w:r>
            <w:r w:rsidR="00111C3A">
              <w:rPr>
                <w:sz w:val="20"/>
                <w:szCs w:val="20"/>
              </w:rPr>
              <w:t>092</w:t>
            </w:r>
            <w:r>
              <w:rPr>
                <w:sz w:val="20"/>
                <w:szCs w:val="20"/>
              </w:rPr>
              <w:t xml:space="preserve">, </w:t>
            </w:r>
            <w:r w:rsidR="00111C3A">
              <w:rPr>
                <w:sz w:val="20"/>
                <w:szCs w:val="20"/>
              </w:rPr>
              <w:t>1.940</w:t>
            </w:r>
            <w:r>
              <w:rPr>
                <w:sz w:val="20"/>
                <w:szCs w:val="20"/>
              </w:rPr>
              <w:t>)</w:t>
            </w:r>
          </w:p>
        </w:tc>
        <w:tc>
          <w:tcPr>
            <w:tcW w:w="901" w:type="dxa"/>
            <w:vAlign w:val="bottom"/>
          </w:tcPr>
          <w:p w:rsidR="00426628" w:rsidRPr="00426628" w:rsidRDefault="00426628" w:rsidP="00111C3A">
            <w:pPr>
              <w:jc w:val="right"/>
              <w:rPr>
                <w:rFonts w:ascii="Calibri" w:hAnsi="Calibri"/>
                <w:color w:val="000000"/>
                <w:sz w:val="20"/>
                <w:szCs w:val="20"/>
              </w:rPr>
            </w:pPr>
            <w:r>
              <w:rPr>
                <w:rFonts w:ascii="Calibri" w:hAnsi="Calibri"/>
                <w:color w:val="000000"/>
                <w:sz w:val="20"/>
                <w:szCs w:val="20"/>
              </w:rPr>
              <w:t>0.</w:t>
            </w:r>
            <w:r w:rsidR="00111C3A">
              <w:rPr>
                <w:rFonts w:ascii="Calibri" w:hAnsi="Calibri"/>
                <w:color w:val="000000"/>
                <w:sz w:val="20"/>
                <w:szCs w:val="20"/>
              </w:rPr>
              <w:t>268</w:t>
            </w: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Intercept</w:t>
            </w:r>
          </w:p>
        </w:tc>
        <w:tc>
          <w:tcPr>
            <w:tcW w:w="2452" w:type="dxa"/>
          </w:tcPr>
          <w:p w:rsidR="00426628" w:rsidRPr="00DC273B" w:rsidRDefault="00111C3A" w:rsidP="00944BF2">
            <w:pPr>
              <w:autoSpaceDE w:val="0"/>
              <w:autoSpaceDN w:val="0"/>
              <w:adjustRightInd w:val="0"/>
              <w:jc w:val="right"/>
              <w:rPr>
                <w:sz w:val="20"/>
                <w:szCs w:val="20"/>
              </w:rPr>
            </w:pPr>
            <w:r>
              <w:rPr>
                <w:sz w:val="20"/>
                <w:szCs w:val="20"/>
              </w:rPr>
              <w:t>7</w:t>
            </w:r>
            <w:r w:rsidR="00426628">
              <w:rPr>
                <w:sz w:val="20"/>
                <w:szCs w:val="20"/>
              </w:rPr>
              <w:t>.</w:t>
            </w:r>
            <w:r>
              <w:rPr>
                <w:sz w:val="20"/>
                <w:szCs w:val="20"/>
              </w:rPr>
              <w:t>880 (0.021, 2900.115</w:t>
            </w:r>
            <w:r w:rsidR="00426628">
              <w:rPr>
                <w:sz w:val="20"/>
                <w:szCs w:val="20"/>
              </w:rPr>
              <w:t>)</w:t>
            </w:r>
          </w:p>
        </w:tc>
        <w:tc>
          <w:tcPr>
            <w:tcW w:w="901" w:type="dxa"/>
          </w:tcPr>
          <w:p w:rsidR="00426628" w:rsidRPr="00426628" w:rsidRDefault="00111C3A" w:rsidP="00944BF2">
            <w:pPr>
              <w:autoSpaceDE w:val="0"/>
              <w:autoSpaceDN w:val="0"/>
              <w:adjustRightInd w:val="0"/>
              <w:jc w:val="right"/>
              <w:rPr>
                <w:sz w:val="20"/>
                <w:szCs w:val="20"/>
              </w:rPr>
            </w:pPr>
            <w:r>
              <w:rPr>
                <w:sz w:val="20"/>
                <w:szCs w:val="20"/>
              </w:rPr>
              <w:t>0.493</w:t>
            </w:r>
          </w:p>
        </w:tc>
      </w:tr>
    </w:tbl>
    <w:p w:rsidR="00426628" w:rsidRPr="001171FE" w:rsidRDefault="00426628" w:rsidP="005D5500">
      <w:pPr>
        <w:autoSpaceDE w:val="0"/>
        <w:autoSpaceDN w:val="0"/>
        <w:adjustRightInd w:val="0"/>
        <w:spacing w:after="0" w:line="240" w:lineRule="auto"/>
        <w:ind w:left="360"/>
      </w:pPr>
    </w:p>
    <w:p w:rsidR="004A0306" w:rsidRPr="001171FE" w:rsidRDefault="004A0306" w:rsidP="005D5500">
      <w:pPr>
        <w:autoSpaceDE w:val="0"/>
        <w:autoSpaceDN w:val="0"/>
        <w:adjustRightInd w:val="0"/>
        <w:spacing w:after="0" w:line="240" w:lineRule="auto"/>
        <w:ind w:left="360"/>
      </w:pPr>
    </w:p>
    <w:p w:rsidR="005D5500" w:rsidRPr="00A02218" w:rsidRDefault="005D5500" w:rsidP="001171FE">
      <w:pPr>
        <w:autoSpaceDE w:val="0"/>
        <w:autoSpaceDN w:val="0"/>
        <w:adjustRightInd w:val="0"/>
        <w:spacing w:after="0" w:line="240" w:lineRule="auto"/>
        <w:ind w:left="360"/>
      </w:pPr>
      <w:r w:rsidRPr="001171FE">
        <w:rPr>
          <w:b/>
        </w:rPr>
        <w:t xml:space="preserve">D) </w:t>
      </w:r>
      <w:r w:rsidR="00037167" w:rsidRPr="00A02218">
        <w:t xml:space="preserve">For </w:t>
      </w:r>
      <w:r w:rsidR="00335C2A" w:rsidRPr="00A02218">
        <w:t xml:space="preserve">the </w:t>
      </w:r>
      <w:r w:rsidR="00037167" w:rsidRPr="00A02218">
        <w:t xml:space="preserve">model </w:t>
      </w:r>
      <w:r w:rsidR="00335C2A" w:rsidRPr="00A02218">
        <w:t xml:space="preserve">in part </w:t>
      </w:r>
      <w:r w:rsidR="00037167" w:rsidRPr="00A02218">
        <w:t>A</w:t>
      </w:r>
      <w:r w:rsidR="00335C2A" w:rsidRPr="00A02218">
        <w:t xml:space="preserve"> (table 2)</w:t>
      </w:r>
      <w:r w:rsidR="00037167" w:rsidRPr="00A02218">
        <w:t>, the intercept is the estimated odds of relapse in 24 months for a group of patients with 0 ng/dl PSA nadir, a 0 performance score, and a BSS=3.</w:t>
      </w:r>
      <w:r w:rsidR="00335C2A" w:rsidRPr="00A02218">
        <w:t>This group of patients is possible, but outside the range of our data.</w:t>
      </w:r>
      <w:r w:rsidR="00037167" w:rsidRPr="00A02218">
        <w:t xml:space="preserve"> For this group the odds translates into a probability of </w:t>
      </w:r>
      <w:r w:rsidR="00335C2A" w:rsidRPr="00A02218">
        <w:t>52.5% relapse within 24 months (26.241/1+26.241=52.482).</w:t>
      </w:r>
    </w:p>
    <w:p w:rsidR="00335C2A" w:rsidRPr="00A02218" w:rsidRDefault="00335C2A" w:rsidP="001171FE">
      <w:pPr>
        <w:autoSpaceDE w:val="0"/>
        <w:autoSpaceDN w:val="0"/>
        <w:adjustRightInd w:val="0"/>
        <w:spacing w:after="0" w:line="240" w:lineRule="auto"/>
        <w:ind w:left="360"/>
      </w:pPr>
    </w:p>
    <w:p w:rsidR="00335C2A" w:rsidRPr="00A02218" w:rsidRDefault="00335C2A" w:rsidP="001171FE">
      <w:pPr>
        <w:autoSpaceDE w:val="0"/>
        <w:autoSpaceDN w:val="0"/>
        <w:adjustRightInd w:val="0"/>
        <w:spacing w:after="0" w:line="240" w:lineRule="auto"/>
        <w:ind w:left="360"/>
      </w:pPr>
      <w:r w:rsidRPr="00A02218">
        <w:t xml:space="preserve">For the model in part B (table </w:t>
      </w:r>
      <w:r w:rsidR="00A02218" w:rsidRPr="00A02218">
        <w:t>3</w:t>
      </w:r>
      <w:r w:rsidRPr="00A02218">
        <w:t>), the intercept is the estimated odds of relapse in 24 months for a group of patients with a log PSA nadir of 0, a 0 performance score, and a BSS=3.This group of patients is not possible, as a log PSA nadir of 0 would mean a patient would have to have a negative infinity PSA nadir value. Nonetheless, the model estimates that for this group the probability of relapse within 24 months is 70.8% (35.415/1+35.415=70.830).</w:t>
      </w:r>
    </w:p>
    <w:p w:rsidR="00A02218" w:rsidRPr="00A02218" w:rsidRDefault="00A02218" w:rsidP="001171FE">
      <w:pPr>
        <w:autoSpaceDE w:val="0"/>
        <w:autoSpaceDN w:val="0"/>
        <w:adjustRightInd w:val="0"/>
        <w:spacing w:after="0" w:line="240" w:lineRule="auto"/>
        <w:ind w:left="360"/>
      </w:pPr>
    </w:p>
    <w:p w:rsidR="00A02218" w:rsidRPr="00A02218" w:rsidRDefault="00A02218" w:rsidP="001171FE">
      <w:pPr>
        <w:autoSpaceDE w:val="0"/>
        <w:autoSpaceDN w:val="0"/>
        <w:adjustRightInd w:val="0"/>
        <w:spacing w:after="0" w:line="240" w:lineRule="auto"/>
        <w:ind w:left="360"/>
      </w:pPr>
      <w:r w:rsidRPr="00A02218">
        <w:t>For the model in part C (table 4), the intercept is the estimated odds of relapse in 24 months for a group of patients with 0 ng/dl PSA nadir, a 0 performance score, and a BSS=3.This group of patients is possible, but outside the range of our data. For this group the odds translates into a probability of 15.8% relapse within 24 months (7.880/1+7.880=15.760).</w:t>
      </w:r>
    </w:p>
    <w:p w:rsidR="005D5500" w:rsidRPr="001171FE" w:rsidRDefault="005D5500" w:rsidP="005D5500">
      <w:pPr>
        <w:autoSpaceDE w:val="0"/>
        <w:autoSpaceDN w:val="0"/>
        <w:adjustRightInd w:val="0"/>
        <w:spacing w:after="0" w:line="240" w:lineRule="auto"/>
        <w:ind w:left="360"/>
      </w:pPr>
    </w:p>
    <w:p w:rsidR="00EC49FF" w:rsidRPr="001171FE" w:rsidRDefault="00EC49FF" w:rsidP="005D5500">
      <w:pPr>
        <w:autoSpaceDE w:val="0"/>
        <w:autoSpaceDN w:val="0"/>
        <w:adjustRightInd w:val="0"/>
        <w:spacing w:after="0" w:line="240" w:lineRule="auto"/>
        <w:ind w:left="360"/>
      </w:pPr>
    </w:p>
    <w:p w:rsidR="00A02218" w:rsidRPr="004941DE" w:rsidRDefault="005D5500" w:rsidP="00A02218">
      <w:pPr>
        <w:numPr>
          <w:ilvl w:val="0"/>
          <w:numId w:val="1"/>
        </w:numPr>
        <w:tabs>
          <w:tab w:val="clear" w:pos="720"/>
          <w:tab w:val="num" w:pos="540"/>
        </w:tabs>
        <w:autoSpaceDE w:val="0"/>
        <w:autoSpaceDN w:val="0"/>
        <w:adjustRightInd w:val="0"/>
        <w:spacing w:after="0" w:line="240" w:lineRule="auto"/>
        <w:ind w:left="360"/>
        <w:rPr>
          <w:rFonts w:cstheme="minorHAnsi"/>
        </w:rPr>
      </w:pPr>
      <w:r w:rsidRPr="001171FE">
        <w:rPr>
          <w:b/>
        </w:rPr>
        <w:t>A)</w:t>
      </w:r>
      <w:r w:rsidR="00DA01E3" w:rsidRPr="001171FE">
        <w:rPr>
          <w:b/>
        </w:rPr>
        <w:t xml:space="preserve"> </w:t>
      </w:r>
      <w:commentRangeStart w:id="4"/>
      <w:r w:rsidR="00A02218" w:rsidRPr="004941DE">
        <w:rPr>
          <w:rFonts w:eastAsia="Times New Roman" w:cstheme="minorHAnsi"/>
        </w:rPr>
        <w:t>When</w:t>
      </w:r>
      <w:commentRangeEnd w:id="4"/>
      <w:r w:rsidR="00E80A0C">
        <w:rPr>
          <w:rStyle w:val="CommentReference"/>
        </w:rPr>
        <w:commentReference w:id="4"/>
      </w:r>
      <w:r w:rsidR="00A02218" w:rsidRPr="004941DE">
        <w:rPr>
          <w:rFonts w:eastAsia="Times New Roman" w:cstheme="minorHAnsi"/>
        </w:rPr>
        <w:t xml:space="preserve"> comparing two groups</w:t>
      </w:r>
      <w:r w:rsidR="00A02218">
        <w:rPr>
          <w:rFonts w:eastAsia="Times New Roman" w:cstheme="minorHAnsi"/>
        </w:rPr>
        <w:t xml:space="preserve"> that did and did not relapse within 24 months but had </w:t>
      </w:r>
      <w:r w:rsidR="00A02218" w:rsidRPr="004941DE">
        <w:rPr>
          <w:rFonts w:eastAsia="Times New Roman" w:cstheme="minorHAnsi"/>
        </w:rPr>
        <w:t>the same performance</w:t>
      </w:r>
      <w:r w:rsidR="00A02218">
        <w:rPr>
          <w:rFonts w:eastAsia="Times New Roman" w:cstheme="minorHAnsi"/>
        </w:rPr>
        <w:t xml:space="preserve"> and bone scan scores</w:t>
      </w:r>
      <w:r w:rsidR="00A02218" w:rsidRPr="004941DE">
        <w:rPr>
          <w:rFonts w:eastAsia="Times New Roman" w:cstheme="minorHAnsi"/>
        </w:rPr>
        <w:t xml:space="preserve">, the </w:t>
      </w:r>
      <w:r w:rsidR="00A02218">
        <w:rPr>
          <w:rFonts w:eastAsia="Times New Roman" w:cstheme="minorHAnsi"/>
        </w:rPr>
        <w:t>estimated mean PSA nadir differs by 23.361 ng/dl, with the group that did relapse tending toward higher mean PSA nadir.</w:t>
      </w:r>
      <w:r w:rsidR="00A02218" w:rsidRPr="004941DE">
        <w:rPr>
          <w:rFonts w:eastAsia="Times New Roman" w:cstheme="minorHAnsi"/>
        </w:rPr>
        <w:t xml:space="preserve"> This observed difference is </w:t>
      </w:r>
      <w:r w:rsidR="00A02218">
        <w:rPr>
          <w:rFonts w:eastAsia="Times New Roman" w:cstheme="minorHAnsi"/>
        </w:rPr>
        <w:t xml:space="preserve">barely </w:t>
      </w:r>
      <w:r w:rsidR="00A02218" w:rsidRPr="004941DE">
        <w:rPr>
          <w:rFonts w:eastAsia="Times New Roman" w:cstheme="minorHAnsi"/>
        </w:rPr>
        <w:t xml:space="preserve">not statistically different from </w:t>
      </w:r>
      <w:r w:rsidR="00A02218">
        <w:rPr>
          <w:rFonts w:eastAsia="Times New Roman" w:cstheme="minorHAnsi"/>
        </w:rPr>
        <w:t>zero (P =0.050</w:t>
      </w:r>
      <w:r w:rsidR="00636B1D">
        <w:rPr>
          <w:rFonts w:eastAsia="Times New Roman" w:cstheme="minorHAnsi"/>
        </w:rPr>
        <w:t xml:space="preserve">). </w:t>
      </w:r>
      <w:r w:rsidR="00636B1D" w:rsidRPr="004941DE">
        <w:rPr>
          <w:rFonts w:eastAsia="Times New Roman" w:cstheme="minorHAnsi"/>
        </w:rPr>
        <w:t xml:space="preserve">We therefore </w:t>
      </w:r>
      <w:r w:rsidR="00636B1D">
        <w:rPr>
          <w:rFonts w:eastAsia="Times New Roman" w:cstheme="minorHAnsi"/>
        </w:rPr>
        <w:t xml:space="preserve">just barely </w:t>
      </w:r>
      <w:r w:rsidR="00636B1D" w:rsidRPr="004941DE">
        <w:rPr>
          <w:rFonts w:eastAsia="Times New Roman" w:cstheme="minorHAnsi"/>
        </w:rPr>
        <w:t>lack the evidence to claim an association between</w:t>
      </w:r>
      <w:r w:rsidR="00636B1D" w:rsidRPr="004941DE">
        <w:rPr>
          <w:rFonts w:cstheme="minorHAnsi"/>
        </w:rPr>
        <w:t xml:space="preserve"> PSA </w:t>
      </w:r>
      <w:r w:rsidR="00636B1D">
        <w:rPr>
          <w:rFonts w:cstheme="minorHAnsi"/>
        </w:rPr>
        <w:t>n</w:t>
      </w:r>
      <w:r w:rsidR="00636B1D" w:rsidRPr="004941DE">
        <w:rPr>
          <w:rFonts w:cstheme="minorHAnsi"/>
        </w:rPr>
        <w:t>adir</w:t>
      </w:r>
      <w:r w:rsidR="00636B1D" w:rsidRPr="004941DE">
        <w:rPr>
          <w:rFonts w:eastAsia="Times New Roman" w:cstheme="minorHAnsi"/>
        </w:rPr>
        <w:t xml:space="preserve"> and relapse within 24 months</w:t>
      </w:r>
      <w:r w:rsidR="00636B1D">
        <w:rPr>
          <w:rFonts w:eastAsia="Times New Roman" w:cstheme="minorHAnsi"/>
        </w:rPr>
        <w:t xml:space="preserve">. The </w:t>
      </w:r>
      <w:r w:rsidR="00A02218" w:rsidRPr="004941DE">
        <w:rPr>
          <w:rFonts w:eastAsia="Times New Roman" w:cstheme="minorHAnsi"/>
        </w:rPr>
        <w:t xml:space="preserve"> 95</w:t>
      </w:r>
      <w:r w:rsidR="00636B1D">
        <w:rPr>
          <w:rFonts w:eastAsia="Times New Roman" w:cstheme="minorHAnsi"/>
        </w:rPr>
        <w:t>% confidence interval suggests</w:t>
      </w:r>
      <w:r w:rsidR="00A02218" w:rsidRPr="004941DE">
        <w:rPr>
          <w:rFonts w:eastAsia="Times New Roman" w:cstheme="minorHAnsi"/>
        </w:rPr>
        <w:t xml:space="preserve"> that the observed </w:t>
      </w:r>
      <w:r w:rsidR="00A02218">
        <w:rPr>
          <w:rFonts w:eastAsia="Times New Roman" w:cstheme="minorHAnsi"/>
        </w:rPr>
        <w:t>difference</w:t>
      </w:r>
      <w:r w:rsidR="00A02218" w:rsidRPr="004941DE">
        <w:rPr>
          <w:rFonts w:eastAsia="Times New Roman" w:cstheme="minorHAnsi"/>
        </w:rPr>
        <w:t xml:space="preserve"> is what might be </w:t>
      </w:r>
      <w:r w:rsidR="00A02218">
        <w:rPr>
          <w:rFonts w:eastAsia="Times New Roman" w:cstheme="minorHAnsi"/>
        </w:rPr>
        <w:t xml:space="preserve">typical </w:t>
      </w:r>
      <w:r w:rsidR="00A02218" w:rsidRPr="004941DE">
        <w:rPr>
          <w:rFonts w:eastAsia="Times New Roman" w:cstheme="minorHAnsi"/>
        </w:rPr>
        <w:t xml:space="preserve">if the true </w:t>
      </w:r>
      <w:r w:rsidR="00A02218">
        <w:rPr>
          <w:rFonts w:eastAsia="Times New Roman" w:cstheme="minorHAnsi"/>
        </w:rPr>
        <w:t>difference in PSA nadir were</w:t>
      </w:r>
      <w:r w:rsidR="00A02218" w:rsidRPr="004941DE">
        <w:rPr>
          <w:rFonts w:eastAsia="Times New Roman" w:cstheme="minorHAnsi"/>
        </w:rPr>
        <w:t xml:space="preserve"> anywhere between</w:t>
      </w:r>
      <w:r w:rsidR="00A02218">
        <w:rPr>
          <w:rFonts w:eastAsia="Times New Roman" w:cstheme="minorHAnsi"/>
        </w:rPr>
        <w:t xml:space="preserve"> </w:t>
      </w:r>
      <w:r w:rsidR="00636B1D">
        <w:rPr>
          <w:rFonts w:eastAsia="Times New Roman" w:cstheme="minorHAnsi"/>
        </w:rPr>
        <w:t>0.020 and 46.702 ng/dl, with the group that relapsed tending to have the higher mean PSA nadir</w:t>
      </w:r>
      <w:r w:rsidR="00A02218" w:rsidRPr="004941DE">
        <w:rPr>
          <w:rFonts w:eastAsia="Times New Roman" w:cstheme="minorHAnsi"/>
        </w:rPr>
        <w:t xml:space="preserve">. </w:t>
      </w:r>
    </w:p>
    <w:p w:rsidR="00A02218" w:rsidRPr="004941DE" w:rsidRDefault="00A02218" w:rsidP="00A02218">
      <w:pPr>
        <w:spacing w:after="0" w:line="240" w:lineRule="auto"/>
        <w:rPr>
          <w:rFonts w:eastAsia="Times New Roman" w:cstheme="minorHAnsi"/>
        </w:rPr>
      </w:pPr>
    </w:p>
    <w:p w:rsidR="00A02218" w:rsidRPr="004941DE" w:rsidRDefault="00A02218" w:rsidP="00A02218">
      <w:pPr>
        <w:spacing w:after="0" w:line="240" w:lineRule="auto"/>
        <w:ind w:left="360"/>
        <w:rPr>
          <w:rFonts w:cstheme="minorHAnsi"/>
        </w:rPr>
      </w:pPr>
      <w:r w:rsidRPr="004941DE">
        <w:rPr>
          <w:rFonts w:eastAsia="Times New Roman" w:cstheme="minorHAnsi"/>
        </w:rPr>
        <w:t xml:space="preserve">This estimate was obtained from a robust </w:t>
      </w:r>
      <w:r w:rsidR="00636B1D">
        <w:rPr>
          <w:rFonts w:eastAsia="Times New Roman" w:cstheme="minorHAnsi"/>
        </w:rPr>
        <w:t>linear</w:t>
      </w:r>
      <w:r w:rsidRPr="004941DE">
        <w:rPr>
          <w:rFonts w:eastAsia="Times New Roman" w:cstheme="minorHAnsi"/>
        </w:rPr>
        <w:t xml:space="preserve"> regression model of </w:t>
      </w:r>
      <w:r w:rsidR="00636B1D" w:rsidRPr="004941DE">
        <w:rPr>
          <w:rFonts w:eastAsia="Times New Roman" w:cstheme="minorHAnsi"/>
        </w:rPr>
        <w:t xml:space="preserve">PSA nadir values </w:t>
      </w:r>
      <w:r w:rsidR="00636B1D">
        <w:rPr>
          <w:rFonts w:eastAsia="Times New Roman" w:cstheme="minorHAnsi"/>
        </w:rPr>
        <w:t xml:space="preserve"> on relapse within 24 months </w:t>
      </w:r>
      <w:r w:rsidRPr="004941DE">
        <w:rPr>
          <w:rFonts w:eastAsia="Times New Roman" w:cstheme="minorHAnsi"/>
        </w:rPr>
        <w:t>adjusting for performance</w:t>
      </w:r>
      <w:r w:rsidR="006C682D">
        <w:rPr>
          <w:rFonts w:eastAsia="Times New Roman" w:cstheme="minorHAnsi"/>
        </w:rPr>
        <w:t xml:space="preserve"> score and bone scan score (Table 5</w:t>
      </w:r>
      <w:r w:rsidR="006C682D" w:rsidRPr="004941DE">
        <w:rPr>
          <w:rFonts w:eastAsia="Times New Roman" w:cstheme="minorHAnsi"/>
        </w:rPr>
        <w:t>)</w:t>
      </w:r>
      <w:r w:rsidRPr="004941DE">
        <w:rPr>
          <w:rFonts w:eastAsia="Times New Roman" w:cstheme="minorHAnsi"/>
        </w:rPr>
        <w:t xml:space="preserve">. </w:t>
      </w:r>
      <w:r w:rsidR="00636B1D">
        <w:rPr>
          <w:rFonts w:eastAsia="Times New Roman" w:cstheme="minorHAnsi"/>
        </w:rPr>
        <w:t>Two</w:t>
      </w:r>
      <w:r w:rsidR="006C682D">
        <w:rPr>
          <w:rFonts w:eastAsia="Times New Roman" w:cstheme="minorHAnsi"/>
        </w:rPr>
        <w:t xml:space="preserve"> </w:t>
      </w:r>
      <w:r w:rsidRPr="004941DE">
        <w:rPr>
          <w:rFonts w:eastAsia="Times New Roman" w:cstheme="minorHAnsi"/>
        </w:rPr>
        <w:t xml:space="preserve">patients with missing data </w:t>
      </w:r>
      <w:r w:rsidR="00636B1D">
        <w:rPr>
          <w:rFonts w:eastAsia="Times New Roman" w:cstheme="minorHAnsi"/>
        </w:rPr>
        <w:t>were omitted from the model</w:t>
      </w:r>
      <w:r>
        <w:rPr>
          <w:rFonts w:eastAsia="Times New Roman" w:cstheme="minorHAnsi"/>
        </w:rPr>
        <w:t>.</w:t>
      </w:r>
    </w:p>
    <w:p w:rsidR="00DF5501" w:rsidRPr="00636B1D" w:rsidRDefault="00DF5501" w:rsidP="00636B1D">
      <w:pPr>
        <w:autoSpaceDE w:val="0"/>
        <w:autoSpaceDN w:val="0"/>
        <w:adjustRightInd w:val="0"/>
        <w:spacing w:after="0" w:line="240" w:lineRule="auto"/>
        <w:rPr>
          <w:b/>
        </w:rPr>
      </w:pPr>
    </w:p>
    <w:p w:rsidR="00636B1D" w:rsidRDefault="00636B1D" w:rsidP="00636B1D">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5</w:t>
      </w:r>
      <w:r w:rsidR="00AA3855">
        <w:rPr>
          <w:noProof/>
        </w:rPr>
        <w:fldChar w:fldCharType="end"/>
      </w:r>
      <w:r>
        <w:t>: Robust linear regression model estimates (n=48)</w:t>
      </w:r>
    </w:p>
    <w:tbl>
      <w:tblPr>
        <w:tblStyle w:val="TableGrid"/>
        <w:tblW w:w="0" w:type="auto"/>
        <w:tblInd w:w="360" w:type="dxa"/>
        <w:tblLook w:val="04A0" w:firstRow="1" w:lastRow="0" w:firstColumn="1" w:lastColumn="0" w:noHBand="0" w:noVBand="1"/>
      </w:tblPr>
      <w:tblGrid>
        <w:gridCol w:w="4035"/>
        <w:gridCol w:w="2452"/>
        <w:gridCol w:w="901"/>
      </w:tblGrid>
      <w:tr w:rsidR="00DF5501" w:rsidRPr="00DC273B" w:rsidTr="00944BF2">
        <w:tc>
          <w:tcPr>
            <w:tcW w:w="4035" w:type="dxa"/>
            <w:tcBorders>
              <w:bottom w:val="double" w:sz="4" w:space="0" w:color="auto"/>
            </w:tcBorders>
          </w:tcPr>
          <w:p w:rsidR="00DF5501" w:rsidRPr="00DC273B" w:rsidRDefault="00DF5501"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Coefficient (95% CI)</w:t>
            </w:r>
          </w:p>
        </w:tc>
        <w:tc>
          <w:tcPr>
            <w:tcW w:w="901" w:type="dxa"/>
            <w:tcBorders>
              <w:bottom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P value</w:t>
            </w:r>
          </w:p>
        </w:tc>
      </w:tr>
      <w:tr w:rsidR="00DF5501" w:rsidRPr="00DC273B" w:rsidTr="00944BF2">
        <w:tc>
          <w:tcPr>
            <w:tcW w:w="4035" w:type="dxa"/>
            <w:tcBorders>
              <w:top w:val="double" w:sz="4" w:space="0" w:color="auto"/>
            </w:tcBorders>
          </w:tcPr>
          <w:p w:rsidR="00DF5501" w:rsidRPr="00DC273B" w:rsidRDefault="00DF5501" w:rsidP="00944BF2">
            <w:pPr>
              <w:autoSpaceDE w:val="0"/>
              <w:autoSpaceDN w:val="0"/>
              <w:adjustRightInd w:val="0"/>
              <w:rPr>
                <w:sz w:val="20"/>
                <w:szCs w:val="20"/>
              </w:rPr>
            </w:pPr>
            <w:r w:rsidRPr="000C6E91">
              <w:rPr>
                <w:sz w:val="20"/>
                <w:szCs w:val="20"/>
              </w:rPr>
              <w:t>Relapse in 24 months</w:t>
            </w:r>
          </w:p>
        </w:tc>
        <w:tc>
          <w:tcPr>
            <w:tcW w:w="2452" w:type="dxa"/>
            <w:tcBorders>
              <w:top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23.361 (0.020, 46.702)</w:t>
            </w:r>
          </w:p>
        </w:tc>
        <w:tc>
          <w:tcPr>
            <w:tcW w:w="901" w:type="dxa"/>
            <w:tcBorders>
              <w:top w:val="double" w:sz="4" w:space="0" w:color="auto"/>
            </w:tcBorders>
          </w:tcPr>
          <w:p w:rsidR="00DF5501" w:rsidRPr="00426628" w:rsidRDefault="00DF5501" w:rsidP="00944BF2">
            <w:pPr>
              <w:autoSpaceDE w:val="0"/>
              <w:autoSpaceDN w:val="0"/>
              <w:adjustRightInd w:val="0"/>
              <w:jc w:val="right"/>
              <w:rPr>
                <w:sz w:val="20"/>
                <w:szCs w:val="20"/>
              </w:rPr>
            </w:pPr>
            <w:r>
              <w:rPr>
                <w:sz w:val="20"/>
                <w:szCs w:val="20"/>
              </w:rPr>
              <w:t>0.050</w:t>
            </w:r>
          </w:p>
        </w:tc>
      </w:tr>
      <w:tr w:rsidR="00DF5501" w:rsidRPr="00DC273B" w:rsidTr="00944BF2">
        <w:tc>
          <w:tcPr>
            <w:tcW w:w="4035" w:type="dxa"/>
          </w:tcPr>
          <w:p w:rsidR="00DF5501" w:rsidRPr="00DC273B" w:rsidRDefault="00DF5501" w:rsidP="00944BF2">
            <w:pPr>
              <w:autoSpaceDE w:val="0"/>
              <w:autoSpaceDN w:val="0"/>
              <w:adjustRightInd w:val="0"/>
              <w:rPr>
                <w:sz w:val="20"/>
                <w:szCs w:val="20"/>
              </w:rPr>
            </w:pPr>
            <w:r>
              <w:rPr>
                <w:sz w:val="20"/>
                <w:szCs w:val="20"/>
              </w:rPr>
              <w:t>Performance Score</w:t>
            </w:r>
          </w:p>
        </w:tc>
        <w:tc>
          <w:tcPr>
            <w:tcW w:w="2452" w:type="dxa"/>
          </w:tcPr>
          <w:p w:rsidR="00DF5501" w:rsidRPr="00DC273B" w:rsidRDefault="00DF5501" w:rsidP="00944BF2">
            <w:pPr>
              <w:autoSpaceDE w:val="0"/>
              <w:autoSpaceDN w:val="0"/>
              <w:adjustRightInd w:val="0"/>
              <w:jc w:val="right"/>
              <w:rPr>
                <w:sz w:val="20"/>
                <w:szCs w:val="20"/>
              </w:rPr>
            </w:pPr>
            <w:r>
              <w:rPr>
                <w:sz w:val="20"/>
                <w:szCs w:val="20"/>
              </w:rPr>
              <w:t>-0.587 (-1.929, 0.755)</w:t>
            </w:r>
          </w:p>
        </w:tc>
        <w:tc>
          <w:tcPr>
            <w:tcW w:w="901" w:type="dxa"/>
          </w:tcPr>
          <w:p w:rsidR="00DF5501" w:rsidRPr="00426628" w:rsidRDefault="00DF5501" w:rsidP="00944BF2">
            <w:pPr>
              <w:autoSpaceDE w:val="0"/>
              <w:autoSpaceDN w:val="0"/>
              <w:adjustRightInd w:val="0"/>
              <w:jc w:val="right"/>
              <w:rPr>
                <w:sz w:val="20"/>
                <w:szCs w:val="20"/>
              </w:rPr>
            </w:pPr>
            <w:r>
              <w:rPr>
                <w:sz w:val="20"/>
                <w:szCs w:val="20"/>
              </w:rPr>
              <w:t>0.383</w:t>
            </w:r>
          </w:p>
        </w:tc>
      </w:tr>
      <w:tr w:rsidR="00DF5501" w:rsidRPr="00DC273B" w:rsidTr="00944BF2">
        <w:tc>
          <w:tcPr>
            <w:tcW w:w="4035" w:type="dxa"/>
          </w:tcPr>
          <w:p w:rsidR="00DF5501" w:rsidRPr="00DC273B" w:rsidRDefault="00DF5501" w:rsidP="00DF5501">
            <w:pPr>
              <w:autoSpaceDE w:val="0"/>
              <w:autoSpaceDN w:val="0"/>
              <w:adjustRightInd w:val="0"/>
              <w:rPr>
                <w:sz w:val="20"/>
                <w:szCs w:val="20"/>
              </w:rPr>
            </w:pPr>
            <w:r>
              <w:rPr>
                <w:sz w:val="20"/>
                <w:szCs w:val="20"/>
              </w:rPr>
              <w:t>Bone Scan Score (reference category is 3)</w:t>
            </w:r>
          </w:p>
        </w:tc>
        <w:tc>
          <w:tcPr>
            <w:tcW w:w="2452" w:type="dxa"/>
          </w:tcPr>
          <w:p w:rsidR="00DF5501" w:rsidRPr="00DC273B" w:rsidRDefault="00DF5501" w:rsidP="00944BF2">
            <w:pPr>
              <w:autoSpaceDE w:val="0"/>
              <w:autoSpaceDN w:val="0"/>
              <w:adjustRightInd w:val="0"/>
              <w:jc w:val="right"/>
              <w:rPr>
                <w:sz w:val="20"/>
                <w:szCs w:val="20"/>
              </w:rPr>
            </w:pPr>
          </w:p>
        </w:tc>
        <w:tc>
          <w:tcPr>
            <w:tcW w:w="901" w:type="dxa"/>
            <w:vAlign w:val="bottom"/>
          </w:tcPr>
          <w:p w:rsidR="00DF5501" w:rsidRPr="00426628" w:rsidRDefault="00B02DEC" w:rsidP="00944BF2">
            <w:pPr>
              <w:jc w:val="right"/>
              <w:rPr>
                <w:rFonts w:ascii="Calibri" w:hAnsi="Calibri"/>
                <w:color w:val="000000"/>
                <w:sz w:val="20"/>
                <w:szCs w:val="20"/>
              </w:rPr>
            </w:pPr>
            <w:r>
              <w:rPr>
                <w:rFonts w:ascii="Calibri" w:hAnsi="Calibri"/>
                <w:color w:val="000000"/>
                <w:sz w:val="20"/>
                <w:szCs w:val="20"/>
              </w:rPr>
              <w:t>0.252</w:t>
            </w:r>
          </w:p>
        </w:tc>
      </w:tr>
      <w:tr w:rsidR="00DF5501" w:rsidRPr="00DC273B" w:rsidTr="00944BF2">
        <w:tc>
          <w:tcPr>
            <w:tcW w:w="4035" w:type="dxa"/>
          </w:tcPr>
          <w:p w:rsidR="00DF5501" w:rsidRDefault="00DF5501" w:rsidP="00944BF2">
            <w:pPr>
              <w:autoSpaceDE w:val="0"/>
              <w:autoSpaceDN w:val="0"/>
              <w:adjustRightInd w:val="0"/>
              <w:rPr>
                <w:sz w:val="20"/>
                <w:szCs w:val="20"/>
              </w:rPr>
            </w:pPr>
            <w:r>
              <w:rPr>
                <w:sz w:val="20"/>
                <w:szCs w:val="20"/>
              </w:rPr>
              <w:t>1</w:t>
            </w:r>
          </w:p>
        </w:tc>
        <w:tc>
          <w:tcPr>
            <w:tcW w:w="2452" w:type="dxa"/>
          </w:tcPr>
          <w:p w:rsidR="00DF5501" w:rsidRPr="00DC273B" w:rsidRDefault="00DF5501" w:rsidP="00DF5501">
            <w:pPr>
              <w:autoSpaceDE w:val="0"/>
              <w:autoSpaceDN w:val="0"/>
              <w:adjustRightInd w:val="0"/>
              <w:jc w:val="right"/>
              <w:rPr>
                <w:sz w:val="20"/>
                <w:szCs w:val="20"/>
              </w:rPr>
            </w:pPr>
            <w:r>
              <w:rPr>
                <w:sz w:val="20"/>
                <w:szCs w:val="20"/>
              </w:rPr>
              <w:t>-6.126 (-20.109, 7.857)</w:t>
            </w:r>
          </w:p>
        </w:tc>
        <w:tc>
          <w:tcPr>
            <w:tcW w:w="901" w:type="dxa"/>
            <w:vAlign w:val="bottom"/>
          </w:tcPr>
          <w:p w:rsidR="00DF5501" w:rsidRPr="00426628" w:rsidRDefault="00DF5501" w:rsidP="00944BF2">
            <w:pPr>
              <w:jc w:val="right"/>
              <w:rPr>
                <w:rFonts w:ascii="Calibri" w:hAnsi="Calibri"/>
                <w:color w:val="000000"/>
                <w:sz w:val="20"/>
                <w:szCs w:val="20"/>
              </w:rPr>
            </w:pPr>
          </w:p>
        </w:tc>
      </w:tr>
      <w:tr w:rsidR="00DF5501" w:rsidRPr="00DC273B" w:rsidTr="00944BF2">
        <w:tc>
          <w:tcPr>
            <w:tcW w:w="4035" w:type="dxa"/>
          </w:tcPr>
          <w:p w:rsidR="00DF5501" w:rsidRDefault="00DF5501" w:rsidP="00944BF2">
            <w:pPr>
              <w:autoSpaceDE w:val="0"/>
              <w:autoSpaceDN w:val="0"/>
              <w:adjustRightInd w:val="0"/>
              <w:rPr>
                <w:sz w:val="20"/>
                <w:szCs w:val="20"/>
              </w:rPr>
            </w:pPr>
            <w:r>
              <w:rPr>
                <w:sz w:val="20"/>
                <w:szCs w:val="20"/>
              </w:rPr>
              <w:t>2</w:t>
            </w:r>
          </w:p>
        </w:tc>
        <w:tc>
          <w:tcPr>
            <w:tcW w:w="2452" w:type="dxa"/>
          </w:tcPr>
          <w:p w:rsidR="00DF5501" w:rsidRPr="00DC273B" w:rsidRDefault="00DF5501" w:rsidP="00944BF2">
            <w:pPr>
              <w:autoSpaceDE w:val="0"/>
              <w:autoSpaceDN w:val="0"/>
              <w:adjustRightInd w:val="0"/>
              <w:jc w:val="right"/>
              <w:rPr>
                <w:sz w:val="20"/>
                <w:szCs w:val="20"/>
              </w:rPr>
            </w:pPr>
            <w:r>
              <w:rPr>
                <w:sz w:val="20"/>
                <w:szCs w:val="20"/>
              </w:rPr>
              <w:t>-14.552 (-31.991, 2.886)</w:t>
            </w:r>
          </w:p>
        </w:tc>
        <w:tc>
          <w:tcPr>
            <w:tcW w:w="901" w:type="dxa"/>
            <w:vAlign w:val="bottom"/>
          </w:tcPr>
          <w:p w:rsidR="00DF5501" w:rsidRPr="00426628" w:rsidRDefault="00DF5501" w:rsidP="00944BF2">
            <w:pPr>
              <w:jc w:val="right"/>
              <w:rPr>
                <w:rFonts w:ascii="Calibri" w:hAnsi="Calibri"/>
                <w:color w:val="000000"/>
                <w:sz w:val="20"/>
                <w:szCs w:val="20"/>
              </w:rPr>
            </w:pPr>
          </w:p>
        </w:tc>
      </w:tr>
      <w:tr w:rsidR="00DF5501" w:rsidRPr="00DC273B" w:rsidTr="00944BF2">
        <w:tc>
          <w:tcPr>
            <w:tcW w:w="4035" w:type="dxa"/>
          </w:tcPr>
          <w:p w:rsidR="00DF5501" w:rsidRPr="00DC273B" w:rsidRDefault="00DF5501" w:rsidP="00944BF2">
            <w:pPr>
              <w:autoSpaceDE w:val="0"/>
              <w:autoSpaceDN w:val="0"/>
              <w:adjustRightInd w:val="0"/>
              <w:rPr>
                <w:sz w:val="20"/>
                <w:szCs w:val="20"/>
              </w:rPr>
            </w:pPr>
            <w:r>
              <w:rPr>
                <w:sz w:val="20"/>
                <w:szCs w:val="20"/>
              </w:rPr>
              <w:t>Intercept</w:t>
            </w:r>
          </w:p>
        </w:tc>
        <w:tc>
          <w:tcPr>
            <w:tcW w:w="2452" w:type="dxa"/>
          </w:tcPr>
          <w:p w:rsidR="00DF5501" w:rsidRPr="00DC273B" w:rsidRDefault="00DF5501" w:rsidP="00B02DEC">
            <w:pPr>
              <w:autoSpaceDE w:val="0"/>
              <w:autoSpaceDN w:val="0"/>
              <w:adjustRightInd w:val="0"/>
              <w:jc w:val="right"/>
              <w:rPr>
                <w:sz w:val="20"/>
                <w:szCs w:val="20"/>
              </w:rPr>
            </w:pPr>
            <w:r>
              <w:rPr>
                <w:sz w:val="20"/>
                <w:szCs w:val="20"/>
              </w:rPr>
              <w:t>59.150 (</w:t>
            </w:r>
            <w:r w:rsidR="00B02DEC">
              <w:rPr>
                <w:sz w:val="20"/>
                <w:szCs w:val="20"/>
              </w:rPr>
              <w:t>-56.957</w:t>
            </w:r>
            <w:r>
              <w:rPr>
                <w:sz w:val="20"/>
                <w:szCs w:val="20"/>
              </w:rPr>
              <w:t xml:space="preserve">, </w:t>
            </w:r>
            <w:r w:rsidR="00B02DEC">
              <w:rPr>
                <w:sz w:val="20"/>
                <w:szCs w:val="20"/>
              </w:rPr>
              <w:t>175.258</w:t>
            </w:r>
            <w:r>
              <w:rPr>
                <w:sz w:val="20"/>
                <w:szCs w:val="20"/>
              </w:rPr>
              <w:t>)</w:t>
            </w:r>
          </w:p>
        </w:tc>
        <w:tc>
          <w:tcPr>
            <w:tcW w:w="901" w:type="dxa"/>
          </w:tcPr>
          <w:p w:rsidR="00DF5501" w:rsidRPr="00426628" w:rsidRDefault="00DF5501" w:rsidP="00944BF2">
            <w:pPr>
              <w:autoSpaceDE w:val="0"/>
              <w:autoSpaceDN w:val="0"/>
              <w:adjustRightInd w:val="0"/>
              <w:jc w:val="right"/>
              <w:rPr>
                <w:sz w:val="20"/>
                <w:szCs w:val="20"/>
              </w:rPr>
            </w:pPr>
            <w:r>
              <w:rPr>
                <w:sz w:val="20"/>
                <w:szCs w:val="20"/>
              </w:rPr>
              <w:t>0.310</w:t>
            </w:r>
          </w:p>
        </w:tc>
      </w:tr>
    </w:tbl>
    <w:p w:rsidR="00DF5501" w:rsidRPr="001171FE" w:rsidRDefault="00DF5501" w:rsidP="00DF5501">
      <w:pPr>
        <w:pStyle w:val="ListParagraph"/>
        <w:autoSpaceDE w:val="0"/>
        <w:autoSpaceDN w:val="0"/>
        <w:adjustRightInd w:val="0"/>
        <w:spacing w:after="0" w:line="240" w:lineRule="auto"/>
        <w:ind w:left="360"/>
      </w:pPr>
    </w:p>
    <w:p w:rsidR="006040D8" w:rsidRPr="001171FE" w:rsidRDefault="006040D8" w:rsidP="006040D8">
      <w:pPr>
        <w:pStyle w:val="ListParagraph"/>
        <w:autoSpaceDE w:val="0"/>
        <w:autoSpaceDN w:val="0"/>
        <w:adjustRightInd w:val="0"/>
        <w:spacing w:after="0" w:line="240" w:lineRule="auto"/>
        <w:ind w:left="360"/>
      </w:pPr>
    </w:p>
    <w:p w:rsidR="00636B1D" w:rsidRPr="004941DE" w:rsidRDefault="006040D8" w:rsidP="00636B1D">
      <w:pPr>
        <w:autoSpaceDE w:val="0"/>
        <w:autoSpaceDN w:val="0"/>
        <w:adjustRightInd w:val="0"/>
        <w:spacing w:after="0" w:line="240" w:lineRule="auto"/>
        <w:ind w:left="360"/>
        <w:rPr>
          <w:rFonts w:cstheme="minorHAnsi"/>
        </w:rPr>
      </w:pPr>
      <w:r w:rsidRPr="001171FE">
        <w:rPr>
          <w:b/>
        </w:rPr>
        <w:t>B)</w:t>
      </w:r>
      <w:r w:rsidRPr="001171FE">
        <w:t xml:space="preserve"> </w:t>
      </w:r>
      <w:r w:rsidR="00636B1D" w:rsidRPr="004941DE">
        <w:rPr>
          <w:rFonts w:eastAsia="Times New Roman" w:cstheme="minorHAnsi"/>
        </w:rPr>
        <w:t>When comparing two groups</w:t>
      </w:r>
      <w:r w:rsidR="00636B1D">
        <w:rPr>
          <w:rFonts w:eastAsia="Times New Roman" w:cstheme="minorHAnsi"/>
        </w:rPr>
        <w:t xml:space="preserve"> that did and did not relapse within 24 months but had </w:t>
      </w:r>
      <w:r w:rsidR="00636B1D" w:rsidRPr="004941DE">
        <w:rPr>
          <w:rFonts w:eastAsia="Times New Roman" w:cstheme="minorHAnsi"/>
        </w:rPr>
        <w:t>the same performance</w:t>
      </w:r>
      <w:r w:rsidR="00636B1D">
        <w:rPr>
          <w:rFonts w:eastAsia="Times New Roman" w:cstheme="minorHAnsi"/>
        </w:rPr>
        <w:t xml:space="preserve"> and bone scan scores</w:t>
      </w:r>
      <w:r w:rsidR="00636B1D" w:rsidRPr="004941DE">
        <w:rPr>
          <w:rFonts w:eastAsia="Times New Roman" w:cstheme="minorHAnsi"/>
        </w:rPr>
        <w:t xml:space="preserve">, the </w:t>
      </w:r>
      <w:r w:rsidR="00636B1D">
        <w:rPr>
          <w:rFonts w:eastAsia="Times New Roman" w:cstheme="minorHAnsi"/>
        </w:rPr>
        <w:t xml:space="preserve">estimated geometric </w:t>
      </w:r>
      <w:r w:rsidR="006C682D">
        <w:rPr>
          <w:rFonts w:eastAsia="Times New Roman" w:cstheme="minorHAnsi"/>
        </w:rPr>
        <w:t>mean PSA nadir differed</w:t>
      </w:r>
      <w:r w:rsidR="00636B1D">
        <w:rPr>
          <w:rFonts w:eastAsia="Times New Roman" w:cstheme="minorHAnsi"/>
        </w:rPr>
        <w:t xml:space="preserve"> by </w:t>
      </w:r>
      <w:r w:rsidR="006C682D">
        <w:rPr>
          <w:rFonts w:eastAsia="Times New Roman" w:cstheme="minorHAnsi"/>
        </w:rPr>
        <w:t>1272.806% ng/dl on average</w:t>
      </w:r>
      <w:r w:rsidR="00636B1D">
        <w:rPr>
          <w:rFonts w:eastAsia="Times New Roman" w:cstheme="minorHAnsi"/>
        </w:rPr>
        <w:t xml:space="preserve">, with the group that did relapse tending toward higher </w:t>
      </w:r>
      <w:r w:rsidR="006C682D">
        <w:rPr>
          <w:rFonts w:eastAsia="Times New Roman" w:cstheme="minorHAnsi"/>
        </w:rPr>
        <w:t xml:space="preserve">geometric </w:t>
      </w:r>
      <w:r w:rsidR="00636B1D">
        <w:rPr>
          <w:rFonts w:eastAsia="Times New Roman" w:cstheme="minorHAnsi"/>
        </w:rPr>
        <w:t>mean PSA nadir.</w:t>
      </w:r>
      <w:r w:rsidR="00636B1D" w:rsidRPr="004941DE">
        <w:rPr>
          <w:rFonts w:eastAsia="Times New Roman" w:cstheme="minorHAnsi"/>
        </w:rPr>
        <w:t xml:space="preserve"> This </w:t>
      </w:r>
      <w:r w:rsidR="006C682D">
        <w:rPr>
          <w:rFonts w:eastAsia="Times New Roman" w:cstheme="minorHAnsi"/>
        </w:rPr>
        <w:t>result</w:t>
      </w:r>
      <w:r w:rsidR="00636B1D" w:rsidRPr="004941DE">
        <w:rPr>
          <w:rFonts w:eastAsia="Times New Roman" w:cstheme="minorHAnsi"/>
        </w:rPr>
        <w:t xml:space="preserve"> is statistically different from </w:t>
      </w:r>
      <w:r w:rsidR="00636B1D">
        <w:rPr>
          <w:rFonts w:eastAsia="Times New Roman" w:cstheme="minorHAnsi"/>
        </w:rPr>
        <w:t xml:space="preserve">zero (P </w:t>
      </w:r>
      <w:r w:rsidR="00C17A78">
        <w:rPr>
          <w:sz w:val="20"/>
          <w:szCs w:val="20"/>
        </w:rPr>
        <w:t>&lt;0.001</w:t>
      </w:r>
      <w:r w:rsidR="00636B1D">
        <w:rPr>
          <w:rFonts w:eastAsia="Times New Roman" w:cstheme="minorHAnsi"/>
        </w:rPr>
        <w:t>)</w:t>
      </w:r>
      <w:r w:rsidR="006C682D">
        <w:rPr>
          <w:rFonts w:eastAsia="Times New Roman" w:cstheme="minorHAnsi"/>
        </w:rPr>
        <w:t>, with a</w:t>
      </w:r>
      <w:r w:rsidR="00636B1D" w:rsidRPr="004941DE">
        <w:rPr>
          <w:rFonts w:eastAsia="Times New Roman" w:cstheme="minorHAnsi"/>
        </w:rPr>
        <w:t xml:space="preserve"> 95</w:t>
      </w:r>
      <w:r w:rsidR="00636B1D">
        <w:rPr>
          <w:rFonts w:eastAsia="Times New Roman" w:cstheme="minorHAnsi"/>
        </w:rPr>
        <w:t>% confidence interval suggests</w:t>
      </w:r>
      <w:r w:rsidR="00636B1D" w:rsidRPr="004941DE">
        <w:rPr>
          <w:rFonts w:eastAsia="Times New Roman" w:cstheme="minorHAnsi"/>
        </w:rPr>
        <w:t xml:space="preserve"> that the observed </w:t>
      </w:r>
      <w:r w:rsidR="00636B1D">
        <w:rPr>
          <w:rFonts w:eastAsia="Times New Roman" w:cstheme="minorHAnsi"/>
        </w:rPr>
        <w:t>difference</w:t>
      </w:r>
      <w:r w:rsidR="006C682D">
        <w:rPr>
          <w:rFonts w:eastAsia="Times New Roman" w:cstheme="minorHAnsi"/>
        </w:rPr>
        <w:t xml:space="preserve"> is</w:t>
      </w:r>
      <w:r w:rsidR="00636B1D" w:rsidRPr="004941DE">
        <w:rPr>
          <w:rFonts w:eastAsia="Times New Roman" w:cstheme="minorHAnsi"/>
        </w:rPr>
        <w:t xml:space="preserve"> </w:t>
      </w:r>
      <w:r w:rsidR="00636B1D">
        <w:rPr>
          <w:rFonts w:eastAsia="Times New Roman" w:cstheme="minorHAnsi"/>
        </w:rPr>
        <w:t xml:space="preserve">typical </w:t>
      </w:r>
      <w:r w:rsidR="00636B1D" w:rsidRPr="004941DE">
        <w:rPr>
          <w:rFonts w:eastAsia="Times New Roman" w:cstheme="minorHAnsi"/>
        </w:rPr>
        <w:t xml:space="preserve">if the true </w:t>
      </w:r>
      <w:r w:rsidR="00636B1D">
        <w:rPr>
          <w:rFonts w:eastAsia="Times New Roman" w:cstheme="minorHAnsi"/>
        </w:rPr>
        <w:t xml:space="preserve">difference in </w:t>
      </w:r>
      <w:r w:rsidR="006C682D">
        <w:rPr>
          <w:rFonts w:eastAsia="Times New Roman" w:cstheme="minorHAnsi"/>
        </w:rPr>
        <w:t xml:space="preserve">geometric mean </w:t>
      </w:r>
      <w:r w:rsidR="00636B1D">
        <w:rPr>
          <w:rFonts w:eastAsia="Times New Roman" w:cstheme="minorHAnsi"/>
        </w:rPr>
        <w:t>PSA nadir were</w:t>
      </w:r>
      <w:r w:rsidR="00636B1D" w:rsidRPr="004941DE">
        <w:rPr>
          <w:rFonts w:eastAsia="Times New Roman" w:cstheme="minorHAnsi"/>
        </w:rPr>
        <w:t xml:space="preserve"> anywhere between</w:t>
      </w:r>
      <w:r w:rsidR="00636B1D">
        <w:rPr>
          <w:rFonts w:eastAsia="Times New Roman" w:cstheme="minorHAnsi"/>
        </w:rPr>
        <w:t xml:space="preserve"> </w:t>
      </w:r>
      <w:r w:rsidR="006C682D">
        <w:rPr>
          <w:rFonts w:eastAsia="Times New Roman" w:cstheme="minorHAnsi"/>
        </w:rPr>
        <w:t>312.9519%</w:t>
      </w:r>
      <w:r w:rsidR="00636B1D">
        <w:rPr>
          <w:rFonts w:eastAsia="Times New Roman" w:cstheme="minorHAnsi"/>
        </w:rPr>
        <w:t xml:space="preserve"> and </w:t>
      </w:r>
      <w:r w:rsidR="006C682D">
        <w:rPr>
          <w:rFonts w:eastAsia="Times New Roman" w:cstheme="minorHAnsi"/>
        </w:rPr>
        <w:t>4463.719% different</w:t>
      </w:r>
      <w:r w:rsidR="00636B1D">
        <w:rPr>
          <w:rFonts w:eastAsia="Times New Roman" w:cstheme="minorHAnsi"/>
        </w:rPr>
        <w:t xml:space="preserve">, with the group that relapsed tending to have the higher </w:t>
      </w:r>
      <w:r w:rsidR="006C682D">
        <w:rPr>
          <w:rFonts w:eastAsia="Times New Roman" w:cstheme="minorHAnsi"/>
        </w:rPr>
        <w:t xml:space="preserve">geometric </w:t>
      </w:r>
      <w:r w:rsidR="00636B1D">
        <w:rPr>
          <w:rFonts w:eastAsia="Times New Roman" w:cstheme="minorHAnsi"/>
        </w:rPr>
        <w:t>mean PSA nadir</w:t>
      </w:r>
      <w:r w:rsidR="00636B1D" w:rsidRPr="004941DE">
        <w:rPr>
          <w:rFonts w:eastAsia="Times New Roman" w:cstheme="minorHAnsi"/>
        </w:rPr>
        <w:t xml:space="preserve">. </w:t>
      </w:r>
    </w:p>
    <w:p w:rsidR="00636B1D" w:rsidRPr="004941DE" w:rsidRDefault="00636B1D" w:rsidP="00636B1D">
      <w:pPr>
        <w:spacing w:after="0" w:line="240" w:lineRule="auto"/>
        <w:rPr>
          <w:rFonts w:eastAsia="Times New Roman" w:cstheme="minorHAnsi"/>
        </w:rPr>
      </w:pPr>
    </w:p>
    <w:p w:rsidR="006040D8" w:rsidRDefault="00636B1D" w:rsidP="00636B1D">
      <w:pPr>
        <w:pStyle w:val="ListParagraph"/>
        <w:autoSpaceDE w:val="0"/>
        <w:autoSpaceDN w:val="0"/>
        <w:adjustRightInd w:val="0"/>
        <w:spacing w:after="0" w:line="240" w:lineRule="auto"/>
        <w:ind w:left="360"/>
      </w:pPr>
      <w:r w:rsidRPr="004941DE">
        <w:rPr>
          <w:rFonts w:eastAsia="Times New Roman" w:cstheme="minorHAnsi"/>
        </w:rPr>
        <w:t xml:space="preserve">This estimate was obtained from a robust </w:t>
      </w:r>
      <w:r>
        <w:rPr>
          <w:rFonts w:eastAsia="Times New Roman" w:cstheme="minorHAnsi"/>
        </w:rPr>
        <w:t>linear</w:t>
      </w:r>
      <w:r w:rsidRPr="004941DE">
        <w:rPr>
          <w:rFonts w:eastAsia="Times New Roman" w:cstheme="minorHAnsi"/>
        </w:rPr>
        <w:t xml:space="preserve"> regression model of </w:t>
      </w:r>
      <w:r w:rsidR="006C682D">
        <w:rPr>
          <w:rFonts w:eastAsia="Times New Roman" w:cstheme="minorHAnsi"/>
        </w:rPr>
        <w:t xml:space="preserve">log-transformed </w:t>
      </w:r>
      <w:r w:rsidRPr="004941DE">
        <w:rPr>
          <w:rFonts w:eastAsia="Times New Roman" w:cstheme="minorHAnsi"/>
        </w:rPr>
        <w:t xml:space="preserve">PSA nadir values </w:t>
      </w:r>
      <w:r>
        <w:rPr>
          <w:rFonts w:eastAsia="Times New Roman" w:cstheme="minorHAnsi"/>
        </w:rPr>
        <w:t xml:space="preserve"> on relapse within 24 months </w:t>
      </w:r>
      <w:r w:rsidRPr="004941DE">
        <w:rPr>
          <w:rFonts w:eastAsia="Times New Roman" w:cstheme="minorHAnsi"/>
        </w:rPr>
        <w:t>adjusting for performance</w:t>
      </w:r>
      <w:r w:rsidR="006C682D">
        <w:rPr>
          <w:rFonts w:eastAsia="Times New Roman" w:cstheme="minorHAnsi"/>
        </w:rPr>
        <w:t xml:space="preserve"> score and bone scan score (Table 6</w:t>
      </w:r>
      <w:r w:rsidR="006C682D" w:rsidRPr="004941DE">
        <w:rPr>
          <w:rFonts w:eastAsia="Times New Roman" w:cstheme="minorHAnsi"/>
        </w:rPr>
        <w:t>)</w:t>
      </w:r>
      <w:r w:rsidRPr="004941DE">
        <w:rPr>
          <w:rFonts w:eastAsia="Times New Roman" w:cstheme="minorHAnsi"/>
        </w:rPr>
        <w:t xml:space="preserve">. </w:t>
      </w:r>
      <w:r>
        <w:rPr>
          <w:rFonts w:eastAsia="Times New Roman" w:cstheme="minorHAnsi"/>
        </w:rPr>
        <w:t>Two</w:t>
      </w:r>
      <w:r w:rsidRPr="004941DE">
        <w:rPr>
          <w:rFonts w:eastAsia="Times New Roman" w:cstheme="minorHAnsi"/>
        </w:rPr>
        <w:t xml:space="preserve"> patients with missing data </w:t>
      </w:r>
      <w:r>
        <w:rPr>
          <w:rFonts w:eastAsia="Times New Roman" w:cstheme="minorHAnsi"/>
        </w:rPr>
        <w:t>were omitted from the model.</w:t>
      </w:r>
    </w:p>
    <w:p w:rsidR="00B02DEC" w:rsidRDefault="00B02DEC" w:rsidP="006040D8">
      <w:pPr>
        <w:pStyle w:val="ListParagraph"/>
        <w:autoSpaceDE w:val="0"/>
        <w:autoSpaceDN w:val="0"/>
        <w:adjustRightInd w:val="0"/>
        <w:spacing w:after="0" w:line="240" w:lineRule="auto"/>
        <w:ind w:left="360"/>
      </w:pPr>
    </w:p>
    <w:p w:rsidR="006C682D" w:rsidRDefault="006C682D" w:rsidP="006C682D">
      <w:pPr>
        <w:pStyle w:val="Caption"/>
      </w:pPr>
      <w:r>
        <w:t xml:space="preserve">Table </w:t>
      </w:r>
      <w:r w:rsidR="00AA3855">
        <w:fldChar w:fldCharType="begin"/>
      </w:r>
      <w:r w:rsidR="005218E2">
        <w:instrText xml:space="preserve"> SEQ Table \* ARABIC </w:instrText>
      </w:r>
      <w:r w:rsidR="00AA3855">
        <w:fldChar w:fldCharType="separate"/>
      </w:r>
      <w:r>
        <w:rPr>
          <w:noProof/>
        </w:rPr>
        <w:t>6</w:t>
      </w:r>
      <w:r w:rsidR="00AA3855">
        <w:rPr>
          <w:noProof/>
        </w:rPr>
        <w:fldChar w:fldCharType="end"/>
      </w:r>
      <w:r>
        <w:t>: Robust linear regression model estimates (n=48)</w:t>
      </w:r>
    </w:p>
    <w:tbl>
      <w:tblPr>
        <w:tblStyle w:val="TableGrid"/>
        <w:tblW w:w="0" w:type="auto"/>
        <w:tblInd w:w="360" w:type="dxa"/>
        <w:tblLook w:val="04A0" w:firstRow="1" w:lastRow="0" w:firstColumn="1" w:lastColumn="0" w:noHBand="0" w:noVBand="1"/>
      </w:tblPr>
      <w:tblGrid>
        <w:gridCol w:w="4035"/>
        <w:gridCol w:w="2452"/>
        <w:gridCol w:w="901"/>
      </w:tblGrid>
      <w:tr w:rsidR="00B02DEC" w:rsidRPr="00DC273B" w:rsidTr="00944BF2">
        <w:tc>
          <w:tcPr>
            <w:tcW w:w="4035" w:type="dxa"/>
            <w:tcBorders>
              <w:bottom w:val="double" w:sz="4" w:space="0" w:color="auto"/>
            </w:tcBorders>
          </w:tcPr>
          <w:p w:rsidR="00B02DEC" w:rsidRPr="00DC273B" w:rsidRDefault="00B02DEC"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Coefficient (95% CI)</w:t>
            </w:r>
          </w:p>
        </w:tc>
        <w:tc>
          <w:tcPr>
            <w:tcW w:w="901" w:type="dxa"/>
            <w:tcBorders>
              <w:bottom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P value</w:t>
            </w:r>
          </w:p>
        </w:tc>
      </w:tr>
      <w:tr w:rsidR="00B02DEC" w:rsidRPr="00DC273B" w:rsidTr="00944BF2">
        <w:tc>
          <w:tcPr>
            <w:tcW w:w="4035" w:type="dxa"/>
            <w:tcBorders>
              <w:top w:val="double" w:sz="4" w:space="0" w:color="auto"/>
            </w:tcBorders>
          </w:tcPr>
          <w:p w:rsidR="00B02DEC" w:rsidRPr="00DC273B" w:rsidRDefault="00B02DEC" w:rsidP="00944BF2">
            <w:pPr>
              <w:autoSpaceDE w:val="0"/>
              <w:autoSpaceDN w:val="0"/>
              <w:adjustRightInd w:val="0"/>
              <w:rPr>
                <w:sz w:val="20"/>
                <w:szCs w:val="20"/>
              </w:rPr>
            </w:pPr>
            <w:r w:rsidRPr="000C6E91">
              <w:rPr>
                <w:sz w:val="20"/>
                <w:szCs w:val="20"/>
              </w:rPr>
              <w:t>Relapse in 24 months</w:t>
            </w:r>
          </w:p>
        </w:tc>
        <w:tc>
          <w:tcPr>
            <w:tcW w:w="2452" w:type="dxa"/>
            <w:tcBorders>
              <w:top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2.619 (1.418, 3.821)</w:t>
            </w:r>
          </w:p>
        </w:tc>
        <w:tc>
          <w:tcPr>
            <w:tcW w:w="901" w:type="dxa"/>
            <w:tcBorders>
              <w:top w:val="double" w:sz="4" w:space="0" w:color="auto"/>
            </w:tcBorders>
          </w:tcPr>
          <w:p w:rsidR="00B02DEC" w:rsidRPr="00426628" w:rsidRDefault="00B02DEC" w:rsidP="00944BF2">
            <w:pPr>
              <w:autoSpaceDE w:val="0"/>
              <w:autoSpaceDN w:val="0"/>
              <w:adjustRightInd w:val="0"/>
              <w:jc w:val="right"/>
              <w:rPr>
                <w:sz w:val="20"/>
                <w:szCs w:val="20"/>
              </w:rPr>
            </w:pPr>
            <w:r>
              <w:rPr>
                <w:sz w:val="20"/>
                <w:szCs w:val="20"/>
              </w:rPr>
              <w:t>&lt;0.001</w:t>
            </w: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Performance Score</w:t>
            </w:r>
          </w:p>
        </w:tc>
        <w:tc>
          <w:tcPr>
            <w:tcW w:w="2452" w:type="dxa"/>
          </w:tcPr>
          <w:p w:rsidR="00B02DEC" w:rsidRPr="00DC273B" w:rsidRDefault="00B02DEC" w:rsidP="00944BF2">
            <w:pPr>
              <w:autoSpaceDE w:val="0"/>
              <w:autoSpaceDN w:val="0"/>
              <w:adjustRightInd w:val="0"/>
              <w:jc w:val="right"/>
              <w:rPr>
                <w:sz w:val="20"/>
                <w:szCs w:val="20"/>
              </w:rPr>
            </w:pPr>
            <w:r>
              <w:rPr>
                <w:sz w:val="20"/>
                <w:szCs w:val="20"/>
              </w:rPr>
              <w:t>-0.005 (</w:t>
            </w:r>
            <w:r w:rsidR="00EF2CAD">
              <w:rPr>
                <w:sz w:val="20"/>
                <w:szCs w:val="20"/>
              </w:rPr>
              <w:t>-0.062</w:t>
            </w:r>
            <w:r>
              <w:rPr>
                <w:sz w:val="20"/>
                <w:szCs w:val="20"/>
              </w:rPr>
              <w:t xml:space="preserve">, </w:t>
            </w:r>
            <w:r w:rsidR="00EF2CAD">
              <w:rPr>
                <w:sz w:val="20"/>
                <w:szCs w:val="20"/>
              </w:rPr>
              <w:t>0.052</w:t>
            </w:r>
            <w:r>
              <w:rPr>
                <w:sz w:val="20"/>
                <w:szCs w:val="20"/>
              </w:rPr>
              <w:t>)</w:t>
            </w:r>
          </w:p>
        </w:tc>
        <w:tc>
          <w:tcPr>
            <w:tcW w:w="901" w:type="dxa"/>
          </w:tcPr>
          <w:p w:rsidR="00B02DEC" w:rsidRPr="00426628" w:rsidRDefault="00B02DEC" w:rsidP="00944BF2">
            <w:pPr>
              <w:autoSpaceDE w:val="0"/>
              <w:autoSpaceDN w:val="0"/>
              <w:adjustRightInd w:val="0"/>
              <w:jc w:val="right"/>
              <w:rPr>
                <w:sz w:val="20"/>
                <w:szCs w:val="20"/>
              </w:rPr>
            </w:pPr>
            <w:r>
              <w:rPr>
                <w:sz w:val="20"/>
                <w:szCs w:val="20"/>
              </w:rPr>
              <w:t>0.870</w:t>
            </w: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Bone Scan Score (reference category is 3)</w:t>
            </w:r>
          </w:p>
        </w:tc>
        <w:tc>
          <w:tcPr>
            <w:tcW w:w="2452" w:type="dxa"/>
          </w:tcPr>
          <w:p w:rsidR="00B02DEC" w:rsidRPr="00DC273B" w:rsidRDefault="00B02DEC" w:rsidP="00944BF2">
            <w:pPr>
              <w:autoSpaceDE w:val="0"/>
              <w:autoSpaceDN w:val="0"/>
              <w:adjustRightInd w:val="0"/>
              <w:jc w:val="right"/>
              <w:rPr>
                <w:sz w:val="20"/>
                <w:szCs w:val="20"/>
              </w:rPr>
            </w:pPr>
          </w:p>
        </w:tc>
        <w:tc>
          <w:tcPr>
            <w:tcW w:w="901" w:type="dxa"/>
            <w:vAlign w:val="bottom"/>
          </w:tcPr>
          <w:p w:rsidR="00B02DEC" w:rsidRPr="00426628" w:rsidRDefault="00B02DEC" w:rsidP="00944BF2">
            <w:pPr>
              <w:jc w:val="right"/>
              <w:rPr>
                <w:rFonts w:ascii="Calibri" w:hAnsi="Calibri"/>
                <w:color w:val="000000"/>
                <w:sz w:val="20"/>
                <w:szCs w:val="20"/>
              </w:rPr>
            </w:pPr>
            <w:r>
              <w:rPr>
                <w:rFonts w:ascii="Calibri" w:hAnsi="Calibri"/>
                <w:color w:val="000000"/>
                <w:sz w:val="20"/>
                <w:szCs w:val="20"/>
              </w:rPr>
              <w:t>0.020</w:t>
            </w:r>
          </w:p>
        </w:tc>
      </w:tr>
      <w:tr w:rsidR="00B02DEC" w:rsidRPr="00DC273B" w:rsidTr="00944BF2">
        <w:tc>
          <w:tcPr>
            <w:tcW w:w="4035" w:type="dxa"/>
          </w:tcPr>
          <w:p w:rsidR="00B02DEC" w:rsidRDefault="00B02DEC" w:rsidP="00944BF2">
            <w:pPr>
              <w:autoSpaceDE w:val="0"/>
              <w:autoSpaceDN w:val="0"/>
              <w:adjustRightInd w:val="0"/>
              <w:rPr>
                <w:sz w:val="20"/>
                <w:szCs w:val="20"/>
              </w:rPr>
            </w:pPr>
            <w:r>
              <w:rPr>
                <w:sz w:val="20"/>
                <w:szCs w:val="20"/>
              </w:rPr>
              <w:t>1</w:t>
            </w:r>
          </w:p>
        </w:tc>
        <w:tc>
          <w:tcPr>
            <w:tcW w:w="2452" w:type="dxa"/>
          </w:tcPr>
          <w:p w:rsidR="00B02DEC" w:rsidRPr="00DC273B" w:rsidRDefault="00B02DEC" w:rsidP="00EF2CAD">
            <w:pPr>
              <w:autoSpaceDE w:val="0"/>
              <w:autoSpaceDN w:val="0"/>
              <w:adjustRightInd w:val="0"/>
              <w:jc w:val="right"/>
              <w:rPr>
                <w:sz w:val="20"/>
                <w:szCs w:val="20"/>
              </w:rPr>
            </w:pPr>
            <w:r>
              <w:rPr>
                <w:sz w:val="20"/>
                <w:szCs w:val="20"/>
              </w:rPr>
              <w:t>-</w:t>
            </w:r>
            <w:r w:rsidR="00EF2CAD">
              <w:rPr>
                <w:sz w:val="20"/>
                <w:szCs w:val="20"/>
              </w:rPr>
              <w:t>1.216</w:t>
            </w:r>
            <w:r>
              <w:rPr>
                <w:sz w:val="20"/>
                <w:szCs w:val="20"/>
              </w:rPr>
              <w:t xml:space="preserve"> (-</w:t>
            </w:r>
            <w:r w:rsidR="00EF2CAD">
              <w:rPr>
                <w:sz w:val="20"/>
                <w:szCs w:val="20"/>
              </w:rPr>
              <w:t>2.184</w:t>
            </w:r>
            <w:r>
              <w:rPr>
                <w:sz w:val="20"/>
                <w:szCs w:val="20"/>
              </w:rPr>
              <w:t xml:space="preserve">, </w:t>
            </w:r>
            <w:r w:rsidR="00EF2CAD">
              <w:rPr>
                <w:sz w:val="20"/>
                <w:szCs w:val="20"/>
              </w:rPr>
              <w:t>-0.247</w:t>
            </w:r>
            <w:r>
              <w:rPr>
                <w:sz w:val="20"/>
                <w:szCs w:val="20"/>
              </w:rPr>
              <w:t>)</w:t>
            </w:r>
          </w:p>
        </w:tc>
        <w:tc>
          <w:tcPr>
            <w:tcW w:w="901" w:type="dxa"/>
            <w:vAlign w:val="bottom"/>
          </w:tcPr>
          <w:p w:rsidR="00B02DEC" w:rsidRPr="00426628" w:rsidRDefault="00B02DEC" w:rsidP="00944BF2">
            <w:pPr>
              <w:jc w:val="right"/>
              <w:rPr>
                <w:rFonts w:ascii="Calibri" w:hAnsi="Calibri"/>
                <w:color w:val="000000"/>
                <w:sz w:val="20"/>
                <w:szCs w:val="20"/>
              </w:rPr>
            </w:pPr>
          </w:p>
        </w:tc>
      </w:tr>
      <w:tr w:rsidR="00B02DEC" w:rsidRPr="00DC273B" w:rsidTr="00944BF2">
        <w:tc>
          <w:tcPr>
            <w:tcW w:w="4035" w:type="dxa"/>
          </w:tcPr>
          <w:p w:rsidR="00B02DEC" w:rsidRDefault="00B02DEC" w:rsidP="00944BF2">
            <w:pPr>
              <w:autoSpaceDE w:val="0"/>
              <w:autoSpaceDN w:val="0"/>
              <w:adjustRightInd w:val="0"/>
              <w:rPr>
                <w:sz w:val="20"/>
                <w:szCs w:val="20"/>
              </w:rPr>
            </w:pPr>
            <w:r>
              <w:rPr>
                <w:sz w:val="20"/>
                <w:szCs w:val="20"/>
              </w:rPr>
              <w:t>2</w:t>
            </w:r>
          </w:p>
        </w:tc>
        <w:tc>
          <w:tcPr>
            <w:tcW w:w="2452" w:type="dxa"/>
          </w:tcPr>
          <w:p w:rsidR="00B02DEC" w:rsidRPr="00DC273B" w:rsidRDefault="00EF2CAD" w:rsidP="00944BF2">
            <w:pPr>
              <w:autoSpaceDE w:val="0"/>
              <w:autoSpaceDN w:val="0"/>
              <w:adjustRightInd w:val="0"/>
              <w:jc w:val="right"/>
              <w:rPr>
                <w:sz w:val="20"/>
                <w:szCs w:val="20"/>
              </w:rPr>
            </w:pPr>
            <w:r>
              <w:rPr>
                <w:sz w:val="20"/>
                <w:szCs w:val="20"/>
              </w:rPr>
              <w:t>-0.225 (-1.267, 0.817)</w:t>
            </w:r>
          </w:p>
        </w:tc>
        <w:tc>
          <w:tcPr>
            <w:tcW w:w="901" w:type="dxa"/>
            <w:vAlign w:val="bottom"/>
          </w:tcPr>
          <w:p w:rsidR="00B02DEC" w:rsidRPr="00426628" w:rsidRDefault="00B02DEC" w:rsidP="00944BF2">
            <w:pPr>
              <w:jc w:val="right"/>
              <w:rPr>
                <w:rFonts w:ascii="Calibri" w:hAnsi="Calibri"/>
                <w:color w:val="000000"/>
                <w:sz w:val="20"/>
                <w:szCs w:val="20"/>
              </w:rPr>
            </w:pP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Intercept</w:t>
            </w:r>
          </w:p>
        </w:tc>
        <w:tc>
          <w:tcPr>
            <w:tcW w:w="2452" w:type="dxa"/>
          </w:tcPr>
          <w:p w:rsidR="00B02DEC" w:rsidRPr="00DC273B" w:rsidRDefault="00EF2CAD" w:rsidP="00EF2CAD">
            <w:pPr>
              <w:autoSpaceDE w:val="0"/>
              <w:autoSpaceDN w:val="0"/>
              <w:adjustRightInd w:val="0"/>
              <w:jc w:val="right"/>
              <w:rPr>
                <w:sz w:val="20"/>
                <w:szCs w:val="20"/>
              </w:rPr>
            </w:pPr>
            <w:r>
              <w:rPr>
                <w:sz w:val="20"/>
                <w:szCs w:val="20"/>
              </w:rPr>
              <w:t>0.026</w:t>
            </w:r>
            <w:r w:rsidR="00B02DEC">
              <w:rPr>
                <w:sz w:val="20"/>
                <w:szCs w:val="20"/>
              </w:rPr>
              <w:t xml:space="preserve"> </w:t>
            </w:r>
            <w:r>
              <w:rPr>
                <w:sz w:val="20"/>
                <w:szCs w:val="20"/>
              </w:rPr>
              <w:t>(-4.860, 4.912</w:t>
            </w:r>
            <w:r w:rsidR="00B02DEC">
              <w:rPr>
                <w:sz w:val="20"/>
                <w:szCs w:val="20"/>
              </w:rPr>
              <w:t>)</w:t>
            </w:r>
          </w:p>
        </w:tc>
        <w:tc>
          <w:tcPr>
            <w:tcW w:w="901" w:type="dxa"/>
          </w:tcPr>
          <w:p w:rsidR="00B02DEC" w:rsidRPr="00426628" w:rsidRDefault="00B02DEC" w:rsidP="00944BF2">
            <w:pPr>
              <w:autoSpaceDE w:val="0"/>
              <w:autoSpaceDN w:val="0"/>
              <w:adjustRightInd w:val="0"/>
              <w:jc w:val="right"/>
              <w:rPr>
                <w:sz w:val="20"/>
                <w:szCs w:val="20"/>
              </w:rPr>
            </w:pPr>
            <w:r>
              <w:rPr>
                <w:sz w:val="20"/>
                <w:szCs w:val="20"/>
              </w:rPr>
              <w:t>0.991</w:t>
            </w:r>
          </w:p>
        </w:tc>
      </w:tr>
    </w:tbl>
    <w:p w:rsidR="006040D8" w:rsidRPr="001171FE" w:rsidRDefault="006040D8" w:rsidP="005218E2">
      <w:pPr>
        <w:autoSpaceDE w:val="0"/>
        <w:autoSpaceDN w:val="0"/>
        <w:adjustRightInd w:val="0"/>
        <w:spacing w:after="0" w:line="240" w:lineRule="auto"/>
      </w:pPr>
    </w:p>
    <w:p w:rsidR="000F3A02" w:rsidRPr="001171FE" w:rsidRDefault="000F3A02" w:rsidP="006040D8">
      <w:pPr>
        <w:pStyle w:val="ListParagraph"/>
        <w:autoSpaceDE w:val="0"/>
        <w:autoSpaceDN w:val="0"/>
        <w:adjustRightInd w:val="0"/>
        <w:spacing w:after="0" w:line="240" w:lineRule="auto"/>
        <w:ind w:left="360"/>
      </w:pPr>
    </w:p>
    <w:p w:rsidR="00836581" w:rsidRDefault="00EF2CAD" w:rsidP="00836581">
      <w:pPr>
        <w:pStyle w:val="ListParagraph"/>
        <w:numPr>
          <w:ilvl w:val="0"/>
          <w:numId w:val="1"/>
        </w:numPr>
        <w:tabs>
          <w:tab w:val="clear" w:pos="720"/>
          <w:tab w:val="num" w:pos="630"/>
        </w:tabs>
        <w:autoSpaceDE w:val="0"/>
        <w:autoSpaceDN w:val="0"/>
        <w:adjustRightInd w:val="0"/>
        <w:spacing w:after="0" w:line="240" w:lineRule="auto"/>
        <w:ind w:left="360"/>
      </w:pPr>
      <w:r w:rsidRPr="00EF2CAD">
        <w:rPr>
          <w:b/>
        </w:rPr>
        <w:t>A)</w:t>
      </w:r>
      <w:r>
        <w:t xml:space="preserve"> </w:t>
      </w:r>
      <w:commentRangeStart w:id="5"/>
      <w:r w:rsidR="00C52AD8">
        <w:t>All</w:t>
      </w:r>
      <w:commentRangeEnd w:id="5"/>
      <w:r w:rsidR="00E80A0C">
        <w:rPr>
          <w:rStyle w:val="CommentReference"/>
        </w:rPr>
        <w:commentReference w:id="5"/>
      </w:r>
      <w:r w:rsidR="00C52AD8">
        <w:t xml:space="preserve"> models control for performance and bone scan scores, allowing us to assess the merits of PSA nadir above and beyond these existing indicators of potential relapse within 24 months.</w:t>
      </w:r>
      <w:r w:rsidR="00836581">
        <w:t xml:space="preserve"> Unfortunately, the models in question 3 include a non-informative strata of BSS=1, which can </w:t>
      </w:r>
      <w:r w:rsidR="00836581">
        <w:rPr>
          <w:rFonts w:eastAsia="Times New Roman" w:cstheme="minorHAnsi"/>
        </w:rPr>
        <w:t>result in an estimate biased toward the square of the true OR.</w:t>
      </w:r>
    </w:p>
    <w:p w:rsidR="00C52AD8" w:rsidRDefault="00C52AD8" w:rsidP="00C52AD8">
      <w:pPr>
        <w:pStyle w:val="ListParagraph"/>
        <w:autoSpaceDE w:val="0"/>
        <w:autoSpaceDN w:val="0"/>
        <w:adjustRightInd w:val="0"/>
        <w:spacing w:after="0" w:line="240" w:lineRule="auto"/>
        <w:ind w:left="360"/>
      </w:pPr>
    </w:p>
    <w:p w:rsidR="000F3A02" w:rsidRDefault="00C52AD8" w:rsidP="00C52AD8">
      <w:pPr>
        <w:pStyle w:val="ListParagraph"/>
        <w:autoSpaceDE w:val="0"/>
        <w:autoSpaceDN w:val="0"/>
        <w:adjustRightInd w:val="0"/>
        <w:spacing w:after="0" w:line="240" w:lineRule="auto"/>
        <w:ind w:left="360"/>
      </w:pPr>
      <w:r>
        <w:t xml:space="preserve">The logistic regression model with PSA nadir modeled as a continuous, untransformed variable (part 2a) is the easiest to interpret: it is the forward question (i.e., does PSA nadir predict relapse) and the coefficient of the independent variable is presented in the same units in which the independent variable was measured (changes in ng/dl). The unfortunate thing about this model is that it does not result in a statistically significant relationship with relapse, which we might expect </w:t>
      </w:r>
      <w:r w:rsidR="00836581">
        <w:t xml:space="preserve">to see </w:t>
      </w:r>
      <w:r>
        <w:t>from a scientific perspective.</w:t>
      </w:r>
    </w:p>
    <w:p w:rsidR="00C52AD8" w:rsidRDefault="00C52AD8" w:rsidP="00C52AD8">
      <w:pPr>
        <w:pStyle w:val="ListParagraph"/>
        <w:autoSpaceDE w:val="0"/>
        <w:autoSpaceDN w:val="0"/>
        <w:adjustRightInd w:val="0"/>
        <w:spacing w:after="0" w:line="240" w:lineRule="auto"/>
        <w:ind w:left="360"/>
      </w:pPr>
    </w:p>
    <w:p w:rsidR="000F3A02" w:rsidRDefault="00C52AD8" w:rsidP="000F3A02">
      <w:pPr>
        <w:pStyle w:val="ListParagraph"/>
        <w:autoSpaceDE w:val="0"/>
        <w:autoSpaceDN w:val="0"/>
        <w:adjustRightInd w:val="0"/>
        <w:spacing w:after="0" w:line="240" w:lineRule="auto"/>
        <w:ind w:left="360"/>
      </w:pPr>
      <w:r>
        <w:t>The logistic regression model with log-transformed PSA nadir (part 2b) is probably the most scientifically accurate model to test for an association</w:t>
      </w:r>
      <w:r w:rsidRPr="00C52AD8">
        <w:t xml:space="preserve">. </w:t>
      </w:r>
      <w:r w:rsidRPr="00C52AD8">
        <w:rPr>
          <w:u w:val="single"/>
        </w:rPr>
        <w:t>I would prefer it a priori</w:t>
      </w:r>
      <w:r>
        <w:t>. Since PSA is a function of cancer cells, which reproduce and grow exponentially, I would expect to see a relationship on a log scale. The statistically significant relationship between PSA nadir and relapse</w:t>
      </w:r>
      <w:r w:rsidR="00FB7DA6">
        <w:t xml:space="preserve"> within 24 months is evidence of this being a more accurate relationship than non-transformed values of PSA nadir.</w:t>
      </w:r>
    </w:p>
    <w:p w:rsidR="00FB7DA6" w:rsidRDefault="00FB7DA6" w:rsidP="000F3A02">
      <w:pPr>
        <w:pStyle w:val="ListParagraph"/>
        <w:autoSpaceDE w:val="0"/>
        <w:autoSpaceDN w:val="0"/>
        <w:adjustRightInd w:val="0"/>
        <w:spacing w:after="0" w:line="240" w:lineRule="auto"/>
        <w:ind w:left="360"/>
      </w:pPr>
    </w:p>
    <w:p w:rsidR="00FB7DA6" w:rsidRDefault="00FB7DA6" w:rsidP="000F3A02">
      <w:pPr>
        <w:pStyle w:val="ListParagraph"/>
        <w:autoSpaceDE w:val="0"/>
        <w:autoSpaceDN w:val="0"/>
        <w:adjustRightInd w:val="0"/>
        <w:spacing w:after="0" w:line="240" w:lineRule="auto"/>
        <w:ind w:left="360"/>
      </w:pPr>
      <w:r>
        <w:t>The logistic regression model with linear splines of PSA nadir (part 2c) is probably the best model to explore the date</w:t>
      </w:r>
      <w:r w:rsidRPr="00C52AD8">
        <w:t>.</w:t>
      </w:r>
      <w:r>
        <w:t xml:space="preserve"> It allows us to observe a very strong association up to 1 ng/dl, then not much going on afterward. This could be used to identify a threshold at which PSA nadir might be highly predictive of relapse within 24 months.</w:t>
      </w:r>
    </w:p>
    <w:p w:rsidR="00FB7DA6" w:rsidRDefault="00FB7DA6" w:rsidP="000F3A02">
      <w:pPr>
        <w:pStyle w:val="ListParagraph"/>
        <w:autoSpaceDE w:val="0"/>
        <w:autoSpaceDN w:val="0"/>
        <w:adjustRightInd w:val="0"/>
        <w:spacing w:after="0" w:line="240" w:lineRule="auto"/>
        <w:ind w:left="360"/>
      </w:pPr>
    </w:p>
    <w:p w:rsidR="00FB7DA6" w:rsidRDefault="00FB7DA6" w:rsidP="000F3A02">
      <w:pPr>
        <w:pStyle w:val="ListParagraph"/>
        <w:autoSpaceDE w:val="0"/>
        <w:autoSpaceDN w:val="0"/>
        <w:adjustRightInd w:val="0"/>
        <w:spacing w:after="0" w:line="240" w:lineRule="auto"/>
        <w:ind w:left="360"/>
      </w:pPr>
      <w:r>
        <w:t xml:space="preserve">The linear regression model </w:t>
      </w:r>
      <w:r w:rsidR="00F8609F">
        <w:t>where relapse within 24 months is used to predict mean</w:t>
      </w:r>
      <w:r>
        <w:t xml:space="preserve"> PSA nadir </w:t>
      </w:r>
      <w:r w:rsidR="00F8609F">
        <w:t>values</w:t>
      </w:r>
      <w:r>
        <w:t xml:space="preserve"> </w:t>
      </w:r>
      <w:r w:rsidR="00F8609F">
        <w:t>(part 3a) is an easy-to-interpret model that would be useful to identify a threshold at which PSA predicts relapse within 24 months. The modeled mean PSA of the relapse groups could be used as a PSA nadir level that is indicative of relapse. However, because of the many high positive values, the arithmetic mean may be too high and not very informative. Therefore the linear regression model where relapse within 24 months is used to predict geometric mean PSA nadir values (part 3b) would be the best to identify a threshold effect, since geometric means are less subject to influence from outliers and PSA is scientifically expected to increase on the log scale due to the nature in which cancer cells grow.</w:t>
      </w:r>
    </w:p>
    <w:p w:rsidR="00C52AD8" w:rsidRPr="001171FE" w:rsidRDefault="00C52AD8" w:rsidP="000F3A02">
      <w:pPr>
        <w:pStyle w:val="ListParagraph"/>
        <w:autoSpaceDE w:val="0"/>
        <w:autoSpaceDN w:val="0"/>
        <w:adjustRightInd w:val="0"/>
        <w:spacing w:after="0" w:line="240" w:lineRule="auto"/>
        <w:ind w:left="360"/>
      </w:pPr>
    </w:p>
    <w:p w:rsidR="000F3A02" w:rsidRDefault="00EF2CAD" w:rsidP="000F3A02">
      <w:pPr>
        <w:pStyle w:val="ListParagraph"/>
        <w:autoSpaceDE w:val="0"/>
        <w:autoSpaceDN w:val="0"/>
        <w:adjustRightInd w:val="0"/>
        <w:spacing w:after="0" w:line="240" w:lineRule="auto"/>
        <w:ind w:left="360"/>
        <w:rPr>
          <w:sz w:val="24"/>
          <w:szCs w:val="24"/>
        </w:rPr>
      </w:pPr>
      <w:r w:rsidRPr="00EF2CAD">
        <w:rPr>
          <w:b/>
        </w:rPr>
        <w:t>B)</w:t>
      </w:r>
      <w:r>
        <w:t xml:space="preserve"> </w:t>
      </w:r>
      <w:r w:rsidR="00FB7DA6">
        <w:t xml:space="preserve">If </w:t>
      </w:r>
      <w:r w:rsidR="00F8609F">
        <w:t>a high level</w:t>
      </w:r>
      <w:r w:rsidR="00FB7DA6">
        <w:t xml:space="preserve"> of PSA is the result of cancer cells, then </w:t>
      </w:r>
      <w:r w:rsidR="00F8609F">
        <w:t>the predictor of interest (</w:t>
      </w:r>
      <w:r w:rsidR="00FB7DA6">
        <w:t>PSA</w:t>
      </w:r>
      <w:r w:rsidR="00F8609F">
        <w:t xml:space="preserve"> nadir) is really a</w:t>
      </w:r>
      <w:r w:rsidR="00FB7DA6">
        <w:t xml:space="preserve"> surr</w:t>
      </w:r>
      <w:r w:rsidR="00F8609F">
        <w:t>ogate for the response variable (</w:t>
      </w:r>
      <w:r w:rsidR="00FB7DA6">
        <w:t>relapse to cancer</w:t>
      </w:r>
      <w:r w:rsidR="00F8609F">
        <w:t xml:space="preserve"> within 24 months)</w:t>
      </w:r>
      <w:r w:rsidR="00FB7DA6">
        <w:t xml:space="preserve">. It still seems worthwhile </w:t>
      </w:r>
      <w:r w:rsidR="00F8609F">
        <w:t>to identify</w:t>
      </w:r>
      <w:r w:rsidR="00FB7DA6">
        <w:t xml:space="preserve"> a threshold at which PSA levels are </w:t>
      </w:r>
      <w:r w:rsidR="00F8609F">
        <w:t>indicative</w:t>
      </w:r>
      <w:r w:rsidR="00FB7DA6">
        <w:t xml:space="preserve"> of cancer, but it is only natural that a</w:t>
      </w:r>
      <w:r w:rsidR="005218E2">
        <w:t xml:space="preserve"> sign of cancer, such as high PSA,</w:t>
      </w:r>
      <w:r w:rsidR="00FB7DA6">
        <w:t xml:space="preserve"> </w:t>
      </w:r>
      <w:r w:rsidR="00F8609F">
        <w:t>would</w:t>
      </w:r>
      <w:r w:rsidR="00FB7DA6">
        <w:t xml:space="preserve"> predict cancer.  </w:t>
      </w:r>
    </w:p>
    <w:p w:rsidR="006040D8" w:rsidRPr="005D5500" w:rsidRDefault="006040D8" w:rsidP="006040D8">
      <w:pPr>
        <w:pStyle w:val="ListParagraph"/>
        <w:autoSpaceDE w:val="0"/>
        <w:autoSpaceDN w:val="0"/>
        <w:adjustRightInd w:val="0"/>
        <w:spacing w:after="0" w:line="240" w:lineRule="auto"/>
        <w:ind w:left="360"/>
        <w:rPr>
          <w:sz w:val="24"/>
          <w:szCs w:val="24"/>
        </w:rPr>
      </w:pPr>
    </w:p>
    <w:p w:rsidR="004106A6" w:rsidRDefault="004106A6" w:rsidP="004106A6">
      <w:pPr>
        <w:autoSpaceDE w:val="0"/>
        <w:autoSpaceDN w:val="0"/>
        <w:adjustRightInd w:val="0"/>
        <w:spacing w:after="0" w:line="240" w:lineRule="auto"/>
        <w:ind w:left="720"/>
        <w:rPr>
          <w:sz w:val="24"/>
          <w:szCs w:val="24"/>
        </w:rPr>
      </w:pPr>
    </w:p>
    <w:p w:rsidR="00D907DA" w:rsidRPr="00941F08" w:rsidRDefault="00D907DA" w:rsidP="00D907DA">
      <w:pPr>
        <w:tabs>
          <w:tab w:val="left" w:pos="630"/>
        </w:tabs>
        <w:autoSpaceDE w:val="0"/>
        <w:autoSpaceDN w:val="0"/>
        <w:adjustRightInd w:val="0"/>
        <w:spacing w:after="0" w:line="240" w:lineRule="auto"/>
        <w:ind w:left="360"/>
        <w:rPr>
          <w:sz w:val="24"/>
          <w:szCs w:val="24"/>
        </w:rPr>
      </w:pPr>
    </w:p>
    <w:p w:rsidR="00AB4B50" w:rsidRDefault="00AB4B50"/>
    <w:sectPr w:rsidR="00AB4B50" w:rsidSect="00B01D10">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w:date="2013-12-15T10:31:00Z" w:initials="E">
    <w:p w:rsidR="00850929" w:rsidRDefault="00850929">
      <w:pPr>
        <w:pStyle w:val="CommentText"/>
      </w:pPr>
      <w:r>
        <w:rPr>
          <w:rStyle w:val="CommentReference"/>
        </w:rPr>
        <w:annotationRef/>
      </w:r>
      <w:r>
        <w:t>Total</w:t>
      </w:r>
      <w:r w:rsidR="000F73EF">
        <w:t xml:space="preserve"> 49/50</w:t>
      </w:r>
      <w:bookmarkStart w:id="1" w:name="_GoBack"/>
      <w:bookmarkEnd w:id="1"/>
    </w:p>
  </w:comment>
  <w:comment w:id="2" w:author="Emily" w:date="2013-12-15T10:28:00Z" w:initials="E">
    <w:p w:rsidR="00850929" w:rsidRDefault="00850929">
      <w:pPr>
        <w:pStyle w:val="CommentText"/>
      </w:pPr>
      <w:r>
        <w:rPr>
          <w:rStyle w:val="CommentReference"/>
        </w:rPr>
        <w:annotationRef/>
      </w:r>
      <w:r>
        <w:t>5/5</w:t>
      </w:r>
    </w:p>
  </w:comment>
  <w:comment w:id="3" w:author="Emily" w:date="2013-12-15T10:29:00Z" w:initials="E">
    <w:p w:rsidR="00850929" w:rsidRDefault="00850929">
      <w:pPr>
        <w:pStyle w:val="CommentText"/>
      </w:pPr>
      <w:r>
        <w:rPr>
          <w:rStyle w:val="CommentReference"/>
        </w:rPr>
        <w:annotationRef/>
      </w:r>
      <w:r>
        <w:t>5/5</w:t>
      </w:r>
    </w:p>
    <w:p w:rsidR="00850929" w:rsidRDefault="00850929">
      <w:pPr>
        <w:pStyle w:val="CommentText"/>
      </w:pPr>
      <w:r>
        <w:t>5/5</w:t>
      </w:r>
    </w:p>
    <w:p w:rsidR="00850929" w:rsidRDefault="00850929">
      <w:pPr>
        <w:pStyle w:val="CommentText"/>
      </w:pPr>
      <w:r>
        <w:t>5/5</w:t>
      </w:r>
    </w:p>
    <w:p w:rsidR="00850929" w:rsidRDefault="00850929">
      <w:pPr>
        <w:pStyle w:val="CommentText"/>
      </w:pPr>
      <w:r>
        <w:t>5/5</w:t>
      </w:r>
    </w:p>
    <w:p w:rsidR="00850929" w:rsidRDefault="00850929">
      <w:pPr>
        <w:pStyle w:val="CommentText"/>
      </w:pPr>
      <w:r>
        <w:t>=20/20</w:t>
      </w:r>
    </w:p>
  </w:comment>
  <w:comment w:id="4" w:author="Emily" w:date="2013-12-15T10:30:00Z" w:initials="E">
    <w:p w:rsidR="00E80A0C" w:rsidRDefault="00E80A0C">
      <w:pPr>
        <w:pStyle w:val="CommentText"/>
      </w:pPr>
      <w:r>
        <w:rPr>
          <w:rStyle w:val="CommentReference"/>
        </w:rPr>
        <w:annotationRef/>
      </w:r>
      <w:r>
        <w:t>5/5</w:t>
      </w:r>
    </w:p>
    <w:p w:rsidR="00E80A0C" w:rsidRDefault="00E80A0C">
      <w:pPr>
        <w:pStyle w:val="CommentText"/>
      </w:pPr>
      <w:r>
        <w:t>5/5</w:t>
      </w:r>
    </w:p>
    <w:p w:rsidR="00E80A0C" w:rsidRDefault="00E80A0C">
      <w:pPr>
        <w:pStyle w:val="CommentText"/>
      </w:pPr>
      <w:r>
        <w:t>=10/10</w:t>
      </w:r>
    </w:p>
  </w:comment>
  <w:comment w:id="5" w:author="Emily" w:date="2013-12-15T10:31:00Z" w:initials="E">
    <w:p w:rsidR="00E80A0C" w:rsidRDefault="00E80A0C">
      <w:pPr>
        <w:pStyle w:val="CommentText"/>
      </w:pPr>
      <w:r>
        <w:rPr>
          <w:rStyle w:val="CommentReference"/>
        </w:rPr>
        <w:annotationRef/>
      </w:r>
      <w:r>
        <w:t>10/10</w:t>
      </w:r>
    </w:p>
    <w:p w:rsidR="00E80A0C" w:rsidRDefault="00E80A0C">
      <w:pPr>
        <w:pStyle w:val="CommentText"/>
      </w:pPr>
      <w:r>
        <w:t>4/5</w:t>
      </w:r>
    </w:p>
    <w:p w:rsidR="00E80A0C" w:rsidRDefault="00E80A0C">
      <w:pPr>
        <w:pStyle w:val="CommentText"/>
      </w:pPr>
      <w:r>
        <w:t>=14/15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F8" w:rsidRDefault="003B7EF8" w:rsidP="00EC49FF">
      <w:pPr>
        <w:spacing w:after="0" w:line="240" w:lineRule="auto"/>
      </w:pPr>
      <w:r>
        <w:separator/>
      </w:r>
    </w:p>
  </w:endnote>
  <w:endnote w:type="continuationSeparator" w:id="0">
    <w:p w:rsidR="003B7EF8" w:rsidRDefault="003B7EF8" w:rsidP="00EC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9227"/>
      <w:docPartObj>
        <w:docPartGallery w:val="Page Numbers (Bottom of Page)"/>
        <w:docPartUnique/>
      </w:docPartObj>
    </w:sdtPr>
    <w:sdtEndPr/>
    <w:sdtContent>
      <w:sdt>
        <w:sdtPr>
          <w:id w:val="565050477"/>
          <w:docPartObj>
            <w:docPartGallery w:val="Page Numbers (Top of Page)"/>
            <w:docPartUnique/>
          </w:docPartObj>
        </w:sdtPr>
        <w:sdtEndPr/>
        <w:sdtContent>
          <w:p w:rsidR="00836581" w:rsidRDefault="008365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B7EF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B7EF8">
              <w:rPr>
                <w:b/>
                <w:noProof/>
              </w:rPr>
              <w:t>1</w:t>
            </w:r>
            <w:r>
              <w:rPr>
                <w:b/>
                <w:sz w:val="24"/>
                <w:szCs w:val="24"/>
              </w:rPr>
              <w:fldChar w:fldCharType="end"/>
            </w:r>
          </w:p>
        </w:sdtContent>
      </w:sdt>
    </w:sdtContent>
  </w:sdt>
  <w:p w:rsidR="00836581" w:rsidRDefault="00836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F8" w:rsidRDefault="003B7EF8" w:rsidP="00EC49FF">
      <w:pPr>
        <w:spacing w:after="0" w:line="240" w:lineRule="auto"/>
      </w:pPr>
      <w:r>
        <w:separator/>
      </w:r>
    </w:p>
  </w:footnote>
  <w:footnote w:type="continuationSeparator" w:id="0">
    <w:p w:rsidR="003B7EF8" w:rsidRDefault="003B7EF8" w:rsidP="00EC4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1D6A"/>
    <w:multiLevelType w:val="hybridMultilevel"/>
    <w:tmpl w:val="493C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85ADB"/>
    <w:multiLevelType w:val="hybridMultilevel"/>
    <w:tmpl w:val="0124306A"/>
    <w:lvl w:ilvl="0" w:tplc="09B02552">
      <w:start w:val="1"/>
      <w:numFmt w:val="decimal"/>
      <w:lvlText w:val="%1."/>
      <w:lvlJc w:val="left"/>
      <w:pPr>
        <w:tabs>
          <w:tab w:val="num" w:pos="720"/>
        </w:tabs>
        <w:ind w:left="720" w:hanging="36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6A89"/>
    <w:rsid w:val="0003338D"/>
    <w:rsid w:val="00037167"/>
    <w:rsid w:val="000472DF"/>
    <w:rsid w:val="000A21C5"/>
    <w:rsid w:val="000B7878"/>
    <w:rsid w:val="000C6E91"/>
    <w:rsid w:val="000D42A5"/>
    <w:rsid w:val="000F3A02"/>
    <w:rsid w:val="000F73EF"/>
    <w:rsid w:val="00111C3A"/>
    <w:rsid w:val="001171FE"/>
    <w:rsid w:val="0017756F"/>
    <w:rsid w:val="002514D0"/>
    <w:rsid w:val="0028105E"/>
    <w:rsid w:val="002A0A06"/>
    <w:rsid w:val="002A0B3D"/>
    <w:rsid w:val="002C6E5A"/>
    <w:rsid w:val="002D5CE5"/>
    <w:rsid w:val="00335C2A"/>
    <w:rsid w:val="003539B0"/>
    <w:rsid w:val="003543E1"/>
    <w:rsid w:val="003B0237"/>
    <w:rsid w:val="003B7EF8"/>
    <w:rsid w:val="003F4D46"/>
    <w:rsid w:val="004106A6"/>
    <w:rsid w:val="00424792"/>
    <w:rsid w:val="00426628"/>
    <w:rsid w:val="00466660"/>
    <w:rsid w:val="004817B6"/>
    <w:rsid w:val="0048265A"/>
    <w:rsid w:val="004941DE"/>
    <w:rsid w:val="004A0306"/>
    <w:rsid w:val="004C2253"/>
    <w:rsid w:val="004F4032"/>
    <w:rsid w:val="00503AE2"/>
    <w:rsid w:val="005218E2"/>
    <w:rsid w:val="005B4869"/>
    <w:rsid w:val="005D5500"/>
    <w:rsid w:val="005D7E34"/>
    <w:rsid w:val="006040D8"/>
    <w:rsid w:val="00636B1D"/>
    <w:rsid w:val="00653AB5"/>
    <w:rsid w:val="00667B2C"/>
    <w:rsid w:val="0067672B"/>
    <w:rsid w:val="006C682D"/>
    <w:rsid w:val="006E1512"/>
    <w:rsid w:val="0076024D"/>
    <w:rsid w:val="007732D6"/>
    <w:rsid w:val="0077716B"/>
    <w:rsid w:val="007F0A03"/>
    <w:rsid w:val="00832FC5"/>
    <w:rsid w:val="00836581"/>
    <w:rsid w:val="00836E1A"/>
    <w:rsid w:val="00850929"/>
    <w:rsid w:val="008608F5"/>
    <w:rsid w:val="0089038D"/>
    <w:rsid w:val="00923E95"/>
    <w:rsid w:val="00936A89"/>
    <w:rsid w:val="00944BF2"/>
    <w:rsid w:val="009C5280"/>
    <w:rsid w:val="009F6B76"/>
    <w:rsid w:val="00A02218"/>
    <w:rsid w:val="00A33BBD"/>
    <w:rsid w:val="00A92F62"/>
    <w:rsid w:val="00AA3855"/>
    <w:rsid w:val="00AB4B50"/>
    <w:rsid w:val="00AD090D"/>
    <w:rsid w:val="00AE6F47"/>
    <w:rsid w:val="00B01D10"/>
    <w:rsid w:val="00B02DEC"/>
    <w:rsid w:val="00B95B75"/>
    <w:rsid w:val="00C0606C"/>
    <w:rsid w:val="00C1178E"/>
    <w:rsid w:val="00C17A78"/>
    <w:rsid w:val="00C52AD8"/>
    <w:rsid w:val="00CE234B"/>
    <w:rsid w:val="00CF040F"/>
    <w:rsid w:val="00D0777B"/>
    <w:rsid w:val="00D907DA"/>
    <w:rsid w:val="00DA01E3"/>
    <w:rsid w:val="00DC273B"/>
    <w:rsid w:val="00DE543B"/>
    <w:rsid w:val="00DE57AD"/>
    <w:rsid w:val="00DF5501"/>
    <w:rsid w:val="00E04B2B"/>
    <w:rsid w:val="00E24770"/>
    <w:rsid w:val="00E36F92"/>
    <w:rsid w:val="00E721C5"/>
    <w:rsid w:val="00E80A0C"/>
    <w:rsid w:val="00EB3B6C"/>
    <w:rsid w:val="00EC49FF"/>
    <w:rsid w:val="00EF2CAD"/>
    <w:rsid w:val="00F41D37"/>
    <w:rsid w:val="00F4300C"/>
    <w:rsid w:val="00F7591F"/>
    <w:rsid w:val="00F84DD1"/>
    <w:rsid w:val="00F8609F"/>
    <w:rsid w:val="00FB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0"/>
  </w:style>
  <w:style w:type="paragraph" w:styleId="Heading1">
    <w:name w:val="heading 1"/>
    <w:basedOn w:val="Normal"/>
    <w:next w:val="Normal"/>
    <w:link w:val="Heading1Char"/>
    <w:uiPriority w:val="9"/>
    <w:qFormat/>
    <w:rsid w:val="005D5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E5A"/>
    <w:rPr>
      <w:rFonts w:ascii="Tahoma" w:hAnsi="Tahoma" w:cs="Tahoma"/>
      <w:sz w:val="16"/>
      <w:szCs w:val="16"/>
    </w:rPr>
  </w:style>
  <w:style w:type="character" w:customStyle="1" w:styleId="Heading1Char">
    <w:name w:val="Heading 1 Char"/>
    <w:basedOn w:val="DefaultParagraphFont"/>
    <w:link w:val="Heading1"/>
    <w:uiPriority w:val="9"/>
    <w:rsid w:val="005D55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EC49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9FF"/>
  </w:style>
  <w:style w:type="paragraph" w:styleId="Footer">
    <w:name w:val="footer"/>
    <w:basedOn w:val="Normal"/>
    <w:link w:val="FooterChar"/>
    <w:uiPriority w:val="99"/>
    <w:unhideWhenUsed/>
    <w:rsid w:val="00EC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FF"/>
  </w:style>
  <w:style w:type="paragraph" w:styleId="Caption">
    <w:name w:val="caption"/>
    <w:basedOn w:val="Normal"/>
    <w:next w:val="Normal"/>
    <w:uiPriority w:val="35"/>
    <w:unhideWhenUsed/>
    <w:qFormat/>
    <w:rsid w:val="004941DE"/>
    <w:pPr>
      <w:keepNext/>
      <w:spacing w:line="240" w:lineRule="auto"/>
      <w:ind w:firstLine="360"/>
    </w:pPr>
    <w:rPr>
      <w:b/>
      <w:bCs/>
      <w:sz w:val="18"/>
      <w:szCs w:val="18"/>
    </w:rPr>
  </w:style>
  <w:style w:type="character" w:styleId="CommentReference">
    <w:name w:val="annotation reference"/>
    <w:basedOn w:val="DefaultParagraphFont"/>
    <w:uiPriority w:val="99"/>
    <w:semiHidden/>
    <w:unhideWhenUsed/>
    <w:rsid w:val="00850929"/>
    <w:rPr>
      <w:sz w:val="16"/>
      <w:szCs w:val="16"/>
    </w:rPr>
  </w:style>
  <w:style w:type="paragraph" w:styleId="CommentText">
    <w:name w:val="annotation text"/>
    <w:basedOn w:val="Normal"/>
    <w:link w:val="CommentTextChar"/>
    <w:uiPriority w:val="99"/>
    <w:semiHidden/>
    <w:unhideWhenUsed/>
    <w:rsid w:val="00850929"/>
    <w:pPr>
      <w:spacing w:line="240" w:lineRule="auto"/>
    </w:pPr>
    <w:rPr>
      <w:sz w:val="20"/>
      <w:szCs w:val="20"/>
    </w:rPr>
  </w:style>
  <w:style w:type="character" w:customStyle="1" w:styleId="CommentTextChar">
    <w:name w:val="Comment Text Char"/>
    <w:basedOn w:val="DefaultParagraphFont"/>
    <w:link w:val="CommentText"/>
    <w:uiPriority w:val="99"/>
    <w:semiHidden/>
    <w:rsid w:val="00850929"/>
    <w:rPr>
      <w:sz w:val="20"/>
      <w:szCs w:val="20"/>
    </w:rPr>
  </w:style>
  <w:style w:type="paragraph" w:styleId="CommentSubject">
    <w:name w:val="annotation subject"/>
    <w:basedOn w:val="CommentText"/>
    <w:next w:val="CommentText"/>
    <w:link w:val="CommentSubjectChar"/>
    <w:uiPriority w:val="99"/>
    <w:semiHidden/>
    <w:unhideWhenUsed/>
    <w:rsid w:val="00850929"/>
    <w:rPr>
      <w:b/>
      <w:bCs/>
    </w:rPr>
  </w:style>
  <w:style w:type="character" w:customStyle="1" w:styleId="CommentSubjectChar">
    <w:name w:val="Comment Subject Char"/>
    <w:basedOn w:val="CommentTextChar"/>
    <w:link w:val="CommentSubject"/>
    <w:uiPriority w:val="99"/>
    <w:semiHidden/>
    <w:rsid w:val="008509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3790">
      <w:bodyDiv w:val="1"/>
      <w:marLeft w:val="0"/>
      <w:marRight w:val="0"/>
      <w:marTop w:val="0"/>
      <w:marBottom w:val="0"/>
      <w:divBdr>
        <w:top w:val="none" w:sz="0" w:space="0" w:color="auto"/>
        <w:left w:val="none" w:sz="0" w:space="0" w:color="auto"/>
        <w:bottom w:val="none" w:sz="0" w:space="0" w:color="auto"/>
        <w:right w:val="none" w:sz="0" w:space="0" w:color="auto"/>
      </w:divBdr>
    </w:div>
    <w:div w:id="280722888">
      <w:bodyDiv w:val="1"/>
      <w:marLeft w:val="0"/>
      <w:marRight w:val="0"/>
      <w:marTop w:val="0"/>
      <w:marBottom w:val="0"/>
      <w:divBdr>
        <w:top w:val="none" w:sz="0" w:space="0" w:color="auto"/>
        <w:left w:val="none" w:sz="0" w:space="0" w:color="auto"/>
        <w:bottom w:val="none" w:sz="0" w:space="0" w:color="auto"/>
        <w:right w:val="none" w:sz="0" w:space="0" w:color="auto"/>
      </w:divBdr>
    </w:div>
    <w:div w:id="404495136">
      <w:bodyDiv w:val="1"/>
      <w:marLeft w:val="0"/>
      <w:marRight w:val="0"/>
      <w:marTop w:val="0"/>
      <w:marBottom w:val="0"/>
      <w:divBdr>
        <w:top w:val="none" w:sz="0" w:space="0" w:color="auto"/>
        <w:left w:val="none" w:sz="0" w:space="0" w:color="auto"/>
        <w:bottom w:val="none" w:sz="0" w:space="0" w:color="auto"/>
        <w:right w:val="none" w:sz="0" w:space="0" w:color="auto"/>
      </w:divBdr>
    </w:div>
    <w:div w:id="438568702">
      <w:bodyDiv w:val="1"/>
      <w:marLeft w:val="0"/>
      <w:marRight w:val="0"/>
      <w:marTop w:val="0"/>
      <w:marBottom w:val="0"/>
      <w:divBdr>
        <w:top w:val="none" w:sz="0" w:space="0" w:color="auto"/>
        <w:left w:val="none" w:sz="0" w:space="0" w:color="auto"/>
        <w:bottom w:val="none" w:sz="0" w:space="0" w:color="auto"/>
        <w:right w:val="none" w:sz="0" w:space="0" w:color="auto"/>
      </w:divBdr>
      <w:divsChild>
        <w:div w:id="966353781">
          <w:marLeft w:val="0"/>
          <w:marRight w:val="0"/>
          <w:marTop w:val="0"/>
          <w:marBottom w:val="0"/>
          <w:divBdr>
            <w:top w:val="none" w:sz="0" w:space="0" w:color="auto"/>
            <w:left w:val="none" w:sz="0" w:space="0" w:color="auto"/>
            <w:bottom w:val="none" w:sz="0" w:space="0" w:color="auto"/>
            <w:right w:val="none" w:sz="0" w:space="0" w:color="auto"/>
          </w:divBdr>
        </w:div>
        <w:div w:id="684282316">
          <w:marLeft w:val="0"/>
          <w:marRight w:val="0"/>
          <w:marTop w:val="0"/>
          <w:marBottom w:val="0"/>
          <w:divBdr>
            <w:top w:val="none" w:sz="0" w:space="0" w:color="auto"/>
            <w:left w:val="none" w:sz="0" w:space="0" w:color="auto"/>
            <w:bottom w:val="none" w:sz="0" w:space="0" w:color="auto"/>
            <w:right w:val="none" w:sz="0" w:space="0" w:color="auto"/>
          </w:divBdr>
        </w:div>
        <w:div w:id="425616526">
          <w:marLeft w:val="0"/>
          <w:marRight w:val="0"/>
          <w:marTop w:val="0"/>
          <w:marBottom w:val="0"/>
          <w:divBdr>
            <w:top w:val="none" w:sz="0" w:space="0" w:color="auto"/>
            <w:left w:val="none" w:sz="0" w:space="0" w:color="auto"/>
            <w:bottom w:val="none" w:sz="0" w:space="0" w:color="auto"/>
            <w:right w:val="none" w:sz="0" w:space="0" w:color="auto"/>
          </w:divBdr>
        </w:div>
        <w:div w:id="1076978119">
          <w:marLeft w:val="0"/>
          <w:marRight w:val="0"/>
          <w:marTop w:val="0"/>
          <w:marBottom w:val="0"/>
          <w:divBdr>
            <w:top w:val="none" w:sz="0" w:space="0" w:color="auto"/>
            <w:left w:val="none" w:sz="0" w:space="0" w:color="auto"/>
            <w:bottom w:val="none" w:sz="0" w:space="0" w:color="auto"/>
            <w:right w:val="none" w:sz="0" w:space="0" w:color="auto"/>
          </w:divBdr>
        </w:div>
        <w:div w:id="769661793">
          <w:marLeft w:val="0"/>
          <w:marRight w:val="0"/>
          <w:marTop w:val="0"/>
          <w:marBottom w:val="0"/>
          <w:divBdr>
            <w:top w:val="none" w:sz="0" w:space="0" w:color="auto"/>
            <w:left w:val="none" w:sz="0" w:space="0" w:color="auto"/>
            <w:bottom w:val="none" w:sz="0" w:space="0" w:color="auto"/>
            <w:right w:val="none" w:sz="0" w:space="0" w:color="auto"/>
          </w:divBdr>
        </w:div>
        <w:div w:id="1580486101">
          <w:marLeft w:val="0"/>
          <w:marRight w:val="0"/>
          <w:marTop w:val="0"/>
          <w:marBottom w:val="0"/>
          <w:divBdr>
            <w:top w:val="none" w:sz="0" w:space="0" w:color="auto"/>
            <w:left w:val="none" w:sz="0" w:space="0" w:color="auto"/>
            <w:bottom w:val="none" w:sz="0" w:space="0" w:color="auto"/>
            <w:right w:val="none" w:sz="0" w:space="0" w:color="auto"/>
          </w:divBdr>
        </w:div>
        <w:div w:id="277493276">
          <w:marLeft w:val="0"/>
          <w:marRight w:val="0"/>
          <w:marTop w:val="0"/>
          <w:marBottom w:val="0"/>
          <w:divBdr>
            <w:top w:val="none" w:sz="0" w:space="0" w:color="auto"/>
            <w:left w:val="none" w:sz="0" w:space="0" w:color="auto"/>
            <w:bottom w:val="none" w:sz="0" w:space="0" w:color="auto"/>
            <w:right w:val="none" w:sz="0" w:space="0" w:color="auto"/>
          </w:divBdr>
        </w:div>
        <w:div w:id="1848399975">
          <w:marLeft w:val="0"/>
          <w:marRight w:val="0"/>
          <w:marTop w:val="0"/>
          <w:marBottom w:val="0"/>
          <w:divBdr>
            <w:top w:val="none" w:sz="0" w:space="0" w:color="auto"/>
            <w:left w:val="none" w:sz="0" w:space="0" w:color="auto"/>
            <w:bottom w:val="none" w:sz="0" w:space="0" w:color="auto"/>
            <w:right w:val="none" w:sz="0" w:space="0" w:color="auto"/>
          </w:divBdr>
        </w:div>
        <w:div w:id="2015298762">
          <w:marLeft w:val="0"/>
          <w:marRight w:val="0"/>
          <w:marTop w:val="0"/>
          <w:marBottom w:val="0"/>
          <w:divBdr>
            <w:top w:val="none" w:sz="0" w:space="0" w:color="auto"/>
            <w:left w:val="none" w:sz="0" w:space="0" w:color="auto"/>
            <w:bottom w:val="none" w:sz="0" w:space="0" w:color="auto"/>
            <w:right w:val="none" w:sz="0" w:space="0" w:color="auto"/>
          </w:divBdr>
        </w:div>
        <w:div w:id="1270703158">
          <w:marLeft w:val="0"/>
          <w:marRight w:val="0"/>
          <w:marTop w:val="0"/>
          <w:marBottom w:val="0"/>
          <w:divBdr>
            <w:top w:val="none" w:sz="0" w:space="0" w:color="auto"/>
            <w:left w:val="none" w:sz="0" w:space="0" w:color="auto"/>
            <w:bottom w:val="none" w:sz="0" w:space="0" w:color="auto"/>
            <w:right w:val="none" w:sz="0" w:space="0" w:color="auto"/>
          </w:divBdr>
        </w:div>
        <w:div w:id="550384048">
          <w:marLeft w:val="0"/>
          <w:marRight w:val="0"/>
          <w:marTop w:val="0"/>
          <w:marBottom w:val="0"/>
          <w:divBdr>
            <w:top w:val="none" w:sz="0" w:space="0" w:color="auto"/>
            <w:left w:val="none" w:sz="0" w:space="0" w:color="auto"/>
            <w:bottom w:val="none" w:sz="0" w:space="0" w:color="auto"/>
            <w:right w:val="none" w:sz="0" w:space="0" w:color="auto"/>
          </w:divBdr>
        </w:div>
        <w:div w:id="1309045532">
          <w:marLeft w:val="0"/>
          <w:marRight w:val="0"/>
          <w:marTop w:val="0"/>
          <w:marBottom w:val="0"/>
          <w:divBdr>
            <w:top w:val="none" w:sz="0" w:space="0" w:color="auto"/>
            <w:left w:val="none" w:sz="0" w:space="0" w:color="auto"/>
            <w:bottom w:val="none" w:sz="0" w:space="0" w:color="auto"/>
            <w:right w:val="none" w:sz="0" w:space="0" w:color="auto"/>
          </w:divBdr>
        </w:div>
        <w:div w:id="787043082">
          <w:marLeft w:val="0"/>
          <w:marRight w:val="0"/>
          <w:marTop w:val="0"/>
          <w:marBottom w:val="0"/>
          <w:divBdr>
            <w:top w:val="none" w:sz="0" w:space="0" w:color="auto"/>
            <w:left w:val="none" w:sz="0" w:space="0" w:color="auto"/>
            <w:bottom w:val="none" w:sz="0" w:space="0" w:color="auto"/>
            <w:right w:val="none" w:sz="0" w:space="0" w:color="auto"/>
          </w:divBdr>
        </w:div>
        <w:div w:id="1303341914">
          <w:marLeft w:val="0"/>
          <w:marRight w:val="0"/>
          <w:marTop w:val="0"/>
          <w:marBottom w:val="0"/>
          <w:divBdr>
            <w:top w:val="none" w:sz="0" w:space="0" w:color="auto"/>
            <w:left w:val="none" w:sz="0" w:space="0" w:color="auto"/>
            <w:bottom w:val="none" w:sz="0" w:space="0" w:color="auto"/>
            <w:right w:val="none" w:sz="0" w:space="0" w:color="auto"/>
          </w:divBdr>
        </w:div>
        <w:div w:id="1923248447">
          <w:marLeft w:val="0"/>
          <w:marRight w:val="0"/>
          <w:marTop w:val="0"/>
          <w:marBottom w:val="0"/>
          <w:divBdr>
            <w:top w:val="none" w:sz="0" w:space="0" w:color="auto"/>
            <w:left w:val="none" w:sz="0" w:space="0" w:color="auto"/>
            <w:bottom w:val="none" w:sz="0" w:space="0" w:color="auto"/>
            <w:right w:val="none" w:sz="0" w:space="0" w:color="auto"/>
          </w:divBdr>
        </w:div>
      </w:divsChild>
    </w:div>
    <w:div w:id="687566328">
      <w:bodyDiv w:val="1"/>
      <w:marLeft w:val="0"/>
      <w:marRight w:val="0"/>
      <w:marTop w:val="0"/>
      <w:marBottom w:val="0"/>
      <w:divBdr>
        <w:top w:val="none" w:sz="0" w:space="0" w:color="auto"/>
        <w:left w:val="none" w:sz="0" w:space="0" w:color="auto"/>
        <w:bottom w:val="none" w:sz="0" w:space="0" w:color="auto"/>
        <w:right w:val="none" w:sz="0" w:space="0" w:color="auto"/>
      </w:divBdr>
      <w:divsChild>
        <w:div w:id="56245187">
          <w:marLeft w:val="0"/>
          <w:marRight w:val="0"/>
          <w:marTop w:val="0"/>
          <w:marBottom w:val="0"/>
          <w:divBdr>
            <w:top w:val="none" w:sz="0" w:space="0" w:color="auto"/>
            <w:left w:val="none" w:sz="0" w:space="0" w:color="auto"/>
            <w:bottom w:val="none" w:sz="0" w:space="0" w:color="auto"/>
            <w:right w:val="none" w:sz="0" w:space="0" w:color="auto"/>
          </w:divBdr>
        </w:div>
        <w:div w:id="785268295">
          <w:marLeft w:val="0"/>
          <w:marRight w:val="0"/>
          <w:marTop w:val="0"/>
          <w:marBottom w:val="0"/>
          <w:divBdr>
            <w:top w:val="none" w:sz="0" w:space="0" w:color="auto"/>
            <w:left w:val="none" w:sz="0" w:space="0" w:color="auto"/>
            <w:bottom w:val="none" w:sz="0" w:space="0" w:color="auto"/>
            <w:right w:val="none" w:sz="0" w:space="0" w:color="auto"/>
          </w:divBdr>
        </w:div>
        <w:div w:id="1176454618">
          <w:marLeft w:val="0"/>
          <w:marRight w:val="0"/>
          <w:marTop w:val="0"/>
          <w:marBottom w:val="0"/>
          <w:divBdr>
            <w:top w:val="none" w:sz="0" w:space="0" w:color="auto"/>
            <w:left w:val="none" w:sz="0" w:space="0" w:color="auto"/>
            <w:bottom w:val="none" w:sz="0" w:space="0" w:color="auto"/>
            <w:right w:val="none" w:sz="0" w:space="0" w:color="auto"/>
          </w:divBdr>
        </w:div>
        <w:div w:id="1401519092">
          <w:marLeft w:val="0"/>
          <w:marRight w:val="0"/>
          <w:marTop w:val="0"/>
          <w:marBottom w:val="0"/>
          <w:divBdr>
            <w:top w:val="none" w:sz="0" w:space="0" w:color="auto"/>
            <w:left w:val="none" w:sz="0" w:space="0" w:color="auto"/>
            <w:bottom w:val="none" w:sz="0" w:space="0" w:color="auto"/>
            <w:right w:val="none" w:sz="0" w:space="0" w:color="auto"/>
          </w:divBdr>
        </w:div>
        <w:div w:id="1877308264">
          <w:marLeft w:val="0"/>
          <w:marRight w:val="0"/>
          <w:marTop w:val="0"/>
          <w:marBottom w:val="0"/>
          <w:divBdr>
            <w:top w:val="none" w:sz="0" w:space="0" w:color="auto"/>
            <w:left w:val="none" w:sz="0" w:space="0" w:color="auto"/>
            <w:bottom w:val="none" w:sz="0" w:space="0" w:color="auto"/>
            <w:right w:val="none" w:sz="0" w:space="0" w:color="auto"/>
          </w:divBdr>
        </w:div>
        <w:div w:id="386538680">
          <w:marLeft w:val="0"/>
          <w:marRight w:val="0"/>
          <w:marTop w:val="0"/>
          <w:marBottom w:val="0"/>
          <w:divBdr>
            <w:top w:val="none" w:sz="0" w:space="0" w:color="auto"/>
            <w:left w:val="none" w:sz="0" w:space="0" w:color="auto"/>
            <w:bottom w:val="none" w:sz="0" w:space="0" w:color="auto"/>
            <w:right w:val="none" w:sz="0" w:space="0" w:color="auto"/>
          </w:divBdr>
        </w:div>
        <w:div w:id="1592007802">
          <w:marLeft w:val="0"/>
          <w:marRight w:val="0"/>
          <w:marTop w:val="0"/>
          <w:marBottom w:val="0"/>
          <w:divBdr>
            <w:top w:val="none" w:sz="0" w:space="0" w:color="auto"/>
            <w:left w:val="none" w:sz="0" w:space="0" w:color="auto"/>
            <w:bottom w:val="none" w:sz="0" w:space="0" w:color="auto"/>
            <w:right w:val="none" w:sz="0" w:space="0" w:color="auto"/>
          </w:divBdr>
        </w:div>
        <w:div w:id="1924873372">
          <w:marLeft w:val="0"/>
          <w:marRight w:val="0"/>
          <w:marTop w:val="0"/>
          <w:marBottom w:val="0"/>
          <w:divBdr>
            <w:top w:val="none" w:sz="0" w:space="0" w:color="auto"/>
            <w:left w:val="none" w:sz="0" w:space="0" w:color="auto"/>
            <w:bottom w:val="none" w:sz="0" w:space="0" w:color="auto"/>
            <w:right w:val="none" w:sz="0" w:space="0" w:color="auto"/>
          </w:divBdr>
        </w:div>
        <w:div w:id="883367853">
          <w:marLeft w:val="0"/>
          <w:marRight w:val="0"/>
          <w:marTop w:val="0"/>
          <w:marBottom w:val="0"/>
          <w:divBdr>
            <w:top w:val="none" w:sz="0" w:space="0" w:color="auto"/>
            <w:left w:val="none" w:sz="0" w:space="0" w:color="auto"/>
            <w:bottom w:val="none" w:sz="0" w:space="0" w:color="auto"/>
            <w:right w:val="none" w:sz="0" w:space="0" w:color="auto"/>
          </w:divBdr>
        </w:div>
        <w:div w:id="937518332">
          <w:marLeft w:val="0"/>
          <w:marRight w:val="0"/>
          <w:marTop w:val="0"/>
          <w:marBottom w:val="0"/>
          <w:divBdr>
            <w:top w:val="none" w:sz="0" w:space="0" w:color="auto"/>
            <w:left w:val="none" w:sz="0" w:space="0" w:color="auto"/>
            <w:bottom w:val="none" w:sz="0" w:space="0" w:color="auto"/>
            <w:right w:val="none" w:sz="0" w:space="0" w:color="auto"/>
          </w:divBdr>
        </w:div>
        <w:div w:id="810559971">
          <w:marLeft w:val="0"/>
          <w:marRight w:val="0"/>
          <w:marTop w:val="0"/>
          <w:marBottom w:val="0"/>
          <w:divBdr>
            <w:top w:val="none" w:sz="0" w:space="0" w:color="auto"/>
            <w:left w:val="none" w:sz="0" w:space="0" w:color="auto"/>
            <w:bottom w:val="none" w:sz="0" w:space="0" w:color="auto"/>
            <w:right w:val="none" w:sz="0" w:space="0" w:color="auto"/>
          </w:divBdr>
        </w:div>
        <w:div w:id="108356256">
          <w:marLeft w:val="0"/>
          <w:marRight w:val="0"/>
          <w:marTop w:val="0"/>
          <w:marBottom w:val="0"/>
          <w:divBdr>
            <w:top w:val="none" w:sz="0" w:space="0" w:color="auto"/>
            <w:left w:val="none" w:sz="0" w:space="0" w:color="auto"/>
            <w:bottom w:val="none" w:sz="0" w:space="0" w:color="auto"/>
            <w:right w:val="none" w:sz="0" w:space="0" w:color="auto"/>
          </w:divBdr>
        </w:div>
        <w:div w:id="807667443">
          <w:marLeft w:val="0"/>
          <w:marRight w:val="0"/>
          <w:marTop w:val="0"/>
          <w:marBottom w:val="0"/>
          <w:divBdr>
            <w:top w:val="none" w:sz="0" w:space="0" w:color="auto"/>
            <w:left w:val="none" w:sz="0" w:space="0" w:color="auto"/>
            <w:bottom w:val="none" w:sz="0" w:space="0" w:color="auto"/>
            <w:right w:val="none" w:sz="0" w:space="0" w:color="auto"/>
          </w:divBdr>
        </w:div>
        <w:div w:id="870993354">
          <w:marLeft w:val="0"/>
          <w:marRight w:val="0"/>
          <w:marTop w:val="0"/>
          <w:marBottom w:val="0"/>
          <w:divBdr>
            <w:top w:val="none" w:sz="0" w:space="0" w:color="auto"/>
            <w:left w:val="none" w:sz="0" w:space="0" w:color="auto"/>
            <w:bottom w:val="none" w:sz="0" w:space="0" w:color="auto"/>
            <w:right w:val="none" w:sz="0" w:space="0" w:color="auto"/>
          </w:divBdr>
        </w:div>
        <w:div w:id="1507473246">
          <w:marLeft w:val="0"/>
          <w:marRight w:val="0"/>
          <w:marTop w:val="0"/>
          <w:marBottom w:val="0"/>
          <w:divBdr>
            <w:top w:val="none" w:sz="0" w:space="0" w:color="auto"/>
            <w:left w:val="none" w:sz="0" w:space="0" w:color="auto"/>
            <w:bottom w:val="none" w:sz="0" w:space="0" w:color="auto"/>
            <w:right w:val="none" w:sz="0" w:space="0" w:color="auto"/>
          </w:divBdr>
        </w:div>
      </w:divsChild>
    </w:div>
    <w:div w:id="1312557095">
      <w:bodyDiv w:val="1"/>
      <w:marLeft w:val="0"/>
      <w:marRight w:val="0"/>
      <w:marTop w:val="0"/>
      <w:marBottom w:val="0"/>
      <w:divBdr>
        <w:top w:val="none" w:sz="0" w:space="0" w:color="auto"/>
        <w:left w:val="none" w:sz="0" w:space="0" w:color="auto"/>
        <w:bottom w:val="none" w:sz="0" w:space="0" w:color="auto"/>
        <w:right w:val="none" w:sz="0" w:space="0" w:color="auto"/>
      </w:divBdr>
      <w:divsChild>
        <w:div w:id="807432926">
          <w:marLeft w:val="0"/>
          <w:marRight w:val="0"/>
          <w:marTop w:val="0"/>
          <w:marBottom w:val="0"/>
          <w:divBdr>
            <w:top w:val="none" w:sz="0" w:space="0" w:color="auto"/>
            <w:left w:val="none" w:sz="0" w:space="0" w:color="auto"/>
            <w:bottom w:val="none" w:sz="0" w:space="0" w:color="auto"/>
            <w:right w:val="none" w:sz="0" w:space="0" w:color="auto"/>
          </w:divBdr>
        </w:div>
        <w:div w:id="1235821230">
          <w:marLeft w:val="0"/>
          <w:marRight w:val="0"/>
          <w:marTop w:val="0"/>
          <w:marBottom w:val="0"/>
          <w:divBdr>
            <w:top w:val="none" w:sz="0" w:space="0" w:color="auto"/>
            <w:left w:val="none" w:sz="0" w:space="0" w:color="auto"/>
            <w:bottom w:val="none" w:sz="0" w:space="0" w:color="auto"/>
            <w:right w:val="none" w:sz="0" w:space="0" w:color="auto"/>
          </w:divBdr>
        </w:div>
        <w:div w:id="137307733">
          <w:marLeft w:val="0"/>
          <w:marRight w:val="0"/>
          <w:marTop w:val="0"/>
          <w:marBottom w:val="0"/>
          <w:divBdr>
            <w:top w:val="none" w:sz="0" w:space="0" w:color="auto"/>
            <w:left w:val="none" w:sz="0" w:space="0" w:color="auto"/>
            <w:bottom w:val="none" w:sz="0" w:space="0" w:color="auto"/>
            <w:right w:val="none" w:sz="0" w:space="0" w:color="auto"/>
          </w:divBdr>
        </w:div>
        <w:div w:id="262298015">
          <w:marLeft w:val="0"/>
          <w:marRight w:val="0"/>
          <w:marTop w:val="0"/>
          <w:marBottom w:val="0"/>
          <w:divBdr>
            <w:top w:val="none" w:sz="0" w:space="0" w:color="auto"/>
            <w:left w:val="none" w:sz="0" w:space="0" w:color="auto"/>
            <w:bottom w:val="none" w:sz="0" w:space="0" w:color="auto"/>
            <w:right w:val="none" w:sz="0" w:space="0" w:color="auto"/>
          </w:divBdr>
        </w:div>
        <w:div w:id="1463841567">
          <w:marLeft w:val="0"/>
          <w:marRight w:val="0"/>
          <w:marTop w:val="0"/>
          <w:marBottom w:val="0"/>
          <w:divBdr>
            <w:top w:val="none" w:sz="0" w:space="0" w:color="auto"/>
            <w:left w:val="none" w:sz="0" w:space="0" w:color="auto"/>
            <w:bottom w:val="none" w:sz="0" w:space="0" w:color="auto"/>
            <w:right w:val="none" w:sz="0" w:space="0" w:color="auto"/>
          </w:divBdr>
        </w:div>
        <w:div w:id="272985395">
          <w:marLeft w:val="0"/>
          <w:marRight w:val="0"/>
          <w:marTop w:val="0"/>
          <w:marBottom w:val="0"/>
          <w:divBdr>
            <w:top w:val="none" w:sz="0" w:space="0" w:color="auto"/>
            <w:left w:val="none" w:sz="0" w:space="0" w:color="auto"/>
            <w:bottom w:val="none" w:sz="0" w:space="0" w:color="auto"/>
            <w:right w:val="none" w:sz="0" w:space="0" w:color="auto"/>
          </w:divBdr>
        </w:div>
        <w:div w:id="1867594545">
          <w:marLeft w:val="0"/>
          <w:marRight w:val="0"/>
          <w:marTop w:val="0"/>
          <w:marBottom w:val="0"/>
          <w:divBdr>
            <w:top w:val="none" w:sz="0" w:space="0" w:color="auto"/>
            <w:left w:val="none" w:sz="0" w:space="0" w:color="auto"/>
            <w:bottom w:val="none" w:sz="0" w:space="0" w:color="auto"/>
            <w:right w:val="none" w:sz="0" w:space="0" w:color="auto"/>
          </w:divBdr>
        </w:div>
        <w:div w:id="1540582990">
          <w:marLeft w:val="0"/>
          <w:marRight w:val="0"/>
          <w:marTop w:val="0"/>
          <w:marBottom w:val="0"/>
          <w:divBdr>
            <w:top w:val="none" w:sz="0" w:space="0" w:color="auto"/>
            <w:left w:val="none" w:sz="0" w:space="0" w:color="auto"/>
            <w:bottom w:val="none" w:sz="0" w:space="0" w:color="auto"/>
            <w:right w:val="none" w:sz="0" w:space="0" w:color="auto"/>
          </w:divBdr>
        </w:div>
        <w:div w:id="1503621754">
          <w:marLeft w:val="0"/>
          <w:marRight w:val="0"/>
          <w:marTop w:val="0"/>
          <w:marBottom w:val="0"/>
          <w:divBdr>
            <w:top w:val="none" w:sz="0" w:space="0" w:color="auto"/>
            <w:left w:val="none" w:sz="0" w:space="0" w:color="auto"/>
            <w:bottom w:val="none" w:sz="0" w:space="0" w:color="auto"/>
            <w:right w:val="none" w:sz="0" w:space="0" w:color="auto"/>
          </w:divBdr>
        </w:div>
        <w:div w:id="1741249559">
          <w:marLeft w:val="0"/>
          <w:marRight w:val="0"/>
          <w:marTop w:val="0"/>
          <w:marBottom w:val="0"/>
          <w:divBdr>
            <w:top w:val="none" w:sz="0" w:space="0" w:color="auto"/>
            <w:left w:val="none" w:sz="0" w:space="0" w:color="auto"/>
            <w:bottom w:val="none" w:sz="0" w:space="0" w:color="auto"/>
            <w:right w:val="none" w:sz="0" w:space="0" w:color="auto"/>
          </w:divBdr>
        </w:div>
        <w:div w:id="103118553">
          <w:marLeft w:val="0"/>
          <w:marRight w:val="0"/>
          <w:marTop w:val="0"/>
          <w:marBottom w:val="0"/>
          <w:divBdr>
            <w:top w:val="none" w:sz="0" w:space="0" w:color="auto"/>
            <w:left w:val="none" w:sz="0" w:space="0" w:color="auto"/>
            <w:bottom w:val="none" w:sz="0" w:space="0" w:color="auto"/>
            <w:right w:val="none" w:sz="0" w:space="0" w:color="auto"/>
          </w:divBdr>
        </w:div>
        <w:div w:id="428739174">
          <w:marLeft w:val="0"/>
          <w:marRight w:val="0"/>
          <w:marTop w:val="0"/>
          <w:marBottom w:val="0"/>
          <w:divBdr>
            <w:top w:val="none" w:sz="0" w:space="0" w:color="auto"/>
            <w:left w:val="none" w:sz="0" w:space="0" w:color="auto"/>
            <w:bottom w:val="none" w:sz="0" w:space="0" w:color="auto"/>
            <w:right w:val="none" w:sz="0" w:space="0" w:color="auto"/>
          </w:divBdr>
        </w:div>
        <w:div w:id="2052262592">
          <w:marLeft w:val="0"/>
          <w:marRight w:val="0"/>
          <w:marTop w:val="0"/>
          <w:marBottom w:val="0"/>
          <w:divBdr>
            <w:top w:val="none" w:sz="0" w:space="0" w:color="auto"/>
            <w:left w:val="none" w:sz="0" w:space="0" w:color="auto"/>
            <w:bottom w:val="none" w:sz="0" w:space="0" w:color="auto"/>
            <w:right w:val="none" w:sz="0" w:space="0" w:color="auto"/>
          </w:divBdr>
        </w:div>
        <w:div w:id="2059625474">
          <w:marLeft w:val="0"/>
          <w:marRight w:val="0"/>
          <w:marTop w:val="0"/>
          <w:marBottom w:val="0"/>
          <w:divBdr>
            <w:top w:val="none" w:sz="0" w:space="0" w:color="auto"/>
            <w:left w:val="none" w:sz="0" w:space="0" w:color="auto"/>
            <w:bottom w:val="none" w:sz="0" w:space="0" w:color="auto"/>
            <w:right w:val="none" w:sz="0" w:space="0" w:color="auto"/>
          </w:divBdr>
        </w:div>
        <w:div w:id="1110012041">
          <w:marLeft w:val="0"/>
          <w:marRight w:val="0"/>
          <w:marTop w:val="0"/>
          <w:marBottom w:val="0"/>
          <w:divBdr>
            <w:top w:val="none" w:sz="0" w:space="0" w:color="auto"/>
            <w:left w:val="none" w:sz="0" w:space="0" w:color="auto"/>
            <w:bottom w:val="none" w:sz="0" w:space="0" w:color="auto"/>
            <w:right w:val="none" w:sz="0" w:space="0" w:color="auto"/>
          </w:divBdr>
        </w:div>
      </w:divsChild>
    </w:div>
    <w:div w:id="1623337727">
      <w:bodyDiv w:val="1"/>
      <w:marLeft w:val="0"/>
      <w:marRight w:val="0"/>
      <w:marTop w:val="0"/>
      <w:marBottom w:val="0"/>
      <w:divBdr>
        <w:top w:val="none" w:sz="0" w:space="0" w:color="auto"/>
        <w:left w:val="none" w:sz="0" w:space="0" w:color="auto"/>
        <w:bottom w:val="none" w:sz="0" w:space="0" w:color="auto"/>
        <w:right w:val="none" w:sz="0" w:space="0" w:color="auto"/>
      </w:divBdr>
      <w:divsChild>
        <w:div w:id="606156409">
          <w:marLeft w:val="0"/>
          <w:marRight w:val="0"/>
          <w:marTop w:val="0"/>
          <w:marBottom w:val="0"/>
          <w:divBdr>
            <w:top w:val="none" w:sz="0" w:space="0" w:color="auto"/>
            <w:left w:val="none" w:sz="0" w:space="0" w:color="auto"/>
            <w:bottom w:val="none" w:sz="0" w:space="0" w:color="auto"/>
            <w:right w:val="none" w:sz="0" w:space="0" w:color="auto"/>
          </w:divBdr>
        </w:div>
        <w:div w:id="1707368128">
          <w:marLeft w:val="0"/>
          <w:marRight w:val="0"/>
          <w:marTop w:val="0"/>
          <w:marBottom w:val="0"/>
          <w:divBdr>
            <w:top w:val="none" w:sz="0" w:space="0" w:color="auto"/>
            <w:left w:val="none" w:sz="0" w:space="0" w:color="auto"/>
            <w:bottom w:val="none" w:sz="0" w:space="0" w:color="auto"/>
            <w:right w:val="none" w:sz="0" w:space="0" w:color="auto"/>
          </w:divBdr>
        </w:div>
        <w:div w:id="294219724">
          <w:marLeft w:val="0"/>
          <w:marRight w:val="0"/>
          <w:marTop w:val="0"/>
          <w:marBottom w:val="0"/>
          <w:divBdr>
            <w:top w:val="none" w:sz="0" w:space="0" w:color="auto"/>
            <w:left w:val="none" w:sz="0" w:space="0" w:color="auto"/>
            <w:bottom w:val="none" w:sz="0" w:space="0" w:color="auto"/>
            <w:right w:val="none" w:sz="0" w:space="0" w:color="auto"/>
          </w:divBdr>
        </w:div>
        <w:div w:id="172647332">
          <w:marLeft w:val="0"/>
          <w:marRight w:val="0"/>
          <w:marTop w:val="0"/>
          <w:marBottom w:val="0"/>
          <w:divBdr>
            <w:top w:val="none" w:sz="0" w:space="0" w:color="auto"/>
            <w:left w:val="none" w:sz="0" w:space="0" w:color="auto"/>
            <w:bottom w:val="none" w:sz="0" w:space="0" w:color="auto"/>
            <w:right w:val="none" w:sz="0" w:space="0" w:color="auto"/>
          </w:divBdr>
        </w:div>
        <w:div w:id="808476523">
          <w:marLeft w:val="0"/>
          <w:marRight w:val="0"/>
          <w:marTop w:val="0"/>
          <w:marBottom w:val="0"/>
          <w:divBdr>
            <w:top w:val="none" w:sz="0" w:space="0" w:color="auto"/>
            <w:left w:val="none" w:sz="0" w:space="0" w:color="auto"/>
            <w:bottom w:val="none" w:sz="0" w:space="0" w:color="auto"/>
            <w:right w:val="none" w:sz="0" w:space="0" w:color="auto"/>
          </w:divBdr>
        </w:div>
        <w:div w:id="846676067">
          <w:marLeft w:val="0"/>
          <w:marRight w:val="0"/>
          <w:marTop w:val="0"/>
          <w:marBottom w:val="0"/>
          <w:divBdr>
            <w:top w:val="none" w:sz="0" w:space="0" w:color="auto"/>
            <w:left w:val="none" w:sz="0" w:space="0" w:color="auto"/>
            <w:bottom w:val="none" w:sz="0" w:space="0" w:color="auto"/>
            <w:right w:val="none" w:sz="0" w:space="0" w:color="auto"/>
          </w:divBdr>
        </w:div>
        <w:div w:id="794835766">
          <w:marLeft w:val="0"/>
          <w:marRight w:val="0"/>
          <w:marTop w:val="0"/>
          <w:marBottom w:val="0"/>
          <w:divBdr>
            <w:top w:val="none" w:sz="0" w:space="0" w:color="auto"/>
            <w:left w:val="none" w:sz="0" w:space="0" w:color="auto"/>
            <w:bottom w:val="none" w:sz="0" w:space="0" w:color="auto"/>
            <w:right w:val="none" w:sz="0" w:space="0" w:color="auto"/>
          </w:divBdr>
        </w:div>
        <w:div w:id="406223255">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675103896">
          <w:marLeft w:val="0"/>
          <w:marRight w:val="0"/>
          <w:marTop w:val="0"/>
          <w:marBottom w:val="0"/>
          <w:divBdr>
            <w:top w:val="none" w:sz="0" w:space="0" w:color="auto"/>
            <w:left w:val="none" w:sz="0" w:space="0" w:color="auto"/>
            <w:bottom w:val="none" w:sz="0" w:space="0" w:color="auto"/>
            <w:right w:val="none" w:sz="0" w:space="0" w:color="auto"/>
          </w:divBdr>
        </w:div>
        <w:div w:id="1865947308">
          <w:marLeft w:val="0"/>
          <w:marRight w:val="0"/>
          <w:marTop w:val="0"/>
          <w:marBottom w:val="0"/>
          <w:divBdr>
            <w:top w:val="none" w:sz="0" w:space="0" w:color="auto"/>
            <w:left w:val="none" w:sz="0" w:space="0" w:color="auto"/>
            <w:bottom w:val="none" w:sz="0" w:space="0" w:color="auto"/>
            <w:right w:val="none" w:sz="0" w:space="0" w:color="auto"/>
          </w:divBdr>
        </w:div>
        <w:div w:id="79102460">
          <w:marLeft w:val="0"/>
          <w:marRight w:val="0"/>
          <w:marTop w:val="0"/>
          <w:marBottom w:val="0"/>
          <w:divBdr>
            <w:top w:val="none" w:sz="0" w:space="0" w:color="auto"/>
            <w:left w:val="none" w:sz="0" w:space="0" w:color="auto"/>
            <w:bottom w:val="none" w:sz="0" w:space="0" w:color="auto"/>
            <w:right w:val="none" w:sz="0" w:space="0" w:color="auto"/>
          </w:divBdr>
        </w:div>
        <w:div w:id="599334196">
          <w:marLeft w:val="0"/>
          <w:marRight w:val="0"/>
          <w:marTop w:val="0"/>
          <w:marBottom w:val="0"/>
          <w:divBdr>
            <w:top w:val="none" w:sz="0" w:space="0" w:color="auto"/>
            <w:left w:val="none" w:sz="0" w:space="0" w:color="auto"/>
            <w:bottom w:val="none" w:sz="0" w:space="0" w:color="auto"/>
            <w:right w:val="none" w:sz="0" w:space="0" w:color="auto"/>
          </w:divBdr>
        </w:div>
        <w:div w:id="1435788086">
          <w:marLeft w:val="0"/>
          <w:marRight w:val="0"/>
          <w:marTop w:val="0"/>
          <w:marBottom w:val="0"/>
          <w:divBdr>
            <w:top w:val="none" w:sz="0" w:space="0" w:color="auto"/>
            <w:left w:val="none" w:sz="0" w:space="0" w:color="auto"/>
            <w:bottom w:val="none" w:sz="0" w:space="0" w:color="auto"/>
            <w:right w:val="none" w:sz="0" w:space="0" w:color="auto"/>
          </w:divBdr>
        </w:div>
        <w:div w:id="1048577113">
          <w:marLeft w:val="0"/>
          <w:marRight w:val="0"/>
          <w:marTop w:val="0"/>
          <w:marBottom w:val="0"/>
          <w:divBdr>
            <w:top w:val="none" w:sz="0" w:space="0" w:color="auto"/>
            <w:left w:val="none" w:sz="0" w:space="0" w:color="auto"/>
            <w:bottom w:val="none" w:sz="0" w:space="0" w:color="auto"/>
            <w:right w:val="none" w:sz="0" w:space="0" w:color="auto"/>
          </w:divBdr>
        </w:div>
      </w:divsChild>
    </w:div>
    <w:div w:id="18485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orions</dc:creator>
  <cp:lastModifiedBy>Emily</cp:lastModifiedBy>
  <cp:revision>6</cp:revision>
  <dcterms:created xsi:type="dcterms:W3CDTF">2013-11-26T19:58:00Z</dcterms:created>
  <dcterms:modified xsi:type="dcterms:W3CDTF">2013-12-15T18:31:00Z</dcterms:modified>
</cp:coreProperties>
</file>