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Pr="0036127B" w:rsidRDefault="004D1292" w:rsidP="004D1292">
      <w:pPr>
        <w:autoSpaceDE w:val="0"/>
        <w:autoSpaceDN w:val="0"/>
        <w:adjustRightInd w:val="0"/>
        <w:jc w:val="center"/>
        <w:rPr>
          <w:b/>
          <w:color w:val="000000"/>
          <w:sz w:val="22"/>
          <w:szCs w:val="22"/>
        </w:rPr>
      </w:pPr>
      <w:r>
        <w:rPr>
          <w:b/>
          <w:color w:val="000000"/>
          <w:sz w:val="22"/>
          <w:szCs w:val="22"/>
        </w:rPr>
        <w:t>Biost 536</w:t>
      </w:r>
      <w:r w:rsidR="00C93A29" w:rsidRPr="0036127B">
        <w:rPr>
          <w:b/>
          <w:color w:val="000000"/>
          <w:sz w:val="22"/>
          <w:szCs w:val="22"/>
        </w:rPr>
        <w:t xml:space="preserve">: </w:t>
      </w:r>
      <w:r>
        <w:rPr>
          <w:b/>
          <w:color w:val="000000"/>
          <w:sz w:val="22"/>
          <w:szCs w:val="22"/>
        </w:rPr>
        <w:t>Categorical Data Analysis in Epidemiology</w:t>
      </w:r>
    </w:p>
    <w:p w:rsidR="00C93A29" w:rsidRPr="0036127B" w:rsidRDefault="004D1292" w:rsidP="0036127B">
      <w:pPr>
        <w:autoSpaceDE w:val="0"/>
        <w:autoSpaceDN w:val="0"/>
        <w:adjustRightInd w:val="0"/>
        <w:jc w:val="center"/>
        <w:rPr>
          <w:color w:val="000000"/>
          <w:sz w:val="22"/>
          <w:szCs w:val="22"/>
        </w:rPr>
      </w:pPr>
      <w:r>
        <w:rPr>
          <w:color w:val="000000"/>
          <w:sz w:val="22"/>
          <w:szCs w:val="22"/>
        </w:rPr>
        <w:t xml:space="preserve">Emerson, Fall </w:t>
      </w:r>
      <w:commentRangeStart w:id="0"/>
      <w:r>
        <w:rPr>
          <w:color w:val="000000"/>
          <w:sz w:val="22"/>
          <w:szCs w:val="22"/>
        </w:rPr>
        <w:t>2013</w:t>
      </w:r>
      <w:commentRangeEnd w:id="0"/>
      <w:r w:rsidR="000D6654">
        <w:rPr>
          <w:rStyle w:val="CommentReference"/>
        </w:rPr>
        <w:commentReference w:id="0"/>
      </w:r>
    </w:p>
    <w:p w:rsidR="00C93A29" w:rsidRPr="0036127B" w:rsidRDefault="00C93A29" w:rsidP="00C93A29">
      <w:pPr>
        <w:autoSpaceDE w:val="0"/>
        <w:autoSpaceDN w:val="0"/>
        <w:adjustRightInd w:val="0"/>
        <w:jc w:val="center"/>
        <w:rPr>
          <w:b/>
          <w:color w:val="000000"/>
          <w:sz w:val="22"/>
          <w:szCs w:val="22"/>
        </w:rPr>
      </w:pPr>
    </w:p>
    <w:p w:rsidR="00C93A29" w:rsidRPr="0036127B" w:rsidRDefault="00261CFB" w:rsidP="00C93A29">
      <w:pPr>
        <w:autoSpaceDE w:val="0"/>
        <w:autoSpaceDN w:val="0"/>
        <w:adjustRightInd w:val="0"/>
        <w:jc w:val="center"/>
        <w:rPr>
          <w:b/>
          <w:color w:val="000000"/>
          <w:sz w:val="22"/>
          <w:szCs w:val="22"/>
        </w:rPr>
      </w:pPr>
      <w:r>
        <w:rPr>
          <w:b/>
          <w:color w:val="000000"/>
          <w:sz w:val="22"/>
          <w:szCs w:val="22"/>
        </w:rPr>
        <w:t>Homework #3</w:t>
      </w:r>
    </w:p>
    <w:p w:rsidR="00C93A29" w:rsidRPr="0036127B" w:rsidRDefault="00261CFB" w:rsidP="00C93A29">
      <w:pPr>
        <w:autoSpaceDE w:val="0"/>
        <w:autoSpaceDN w:val="0"/>
        <w:adjustRightInd w:val="0"/>
        <w:jc w:val="center"/>
        <w:rPr>
          <w:color w:val="000000"/>
          <w:sz w:val="22"/>
          <w:szCs w:val="22"/>
        </w:rPr>
      </w:pPr>
      <w:r>
        <w:rPr>
          <w:color w:val="000000"/>
          <w:sz w:val="22"/>
          <w:szCs w:val="22"/>
        </w:rPr>
        <w:t>November 21</w:t>
      </w:r>
      <w:r w:rsidR="004D1292">
        <w:rPr>
          <w:color w:val="000000"/>
          <w:sz w:val="22"/>
          <w:szCs w:val="22"/>
        </w:rPr>
        <w:t>, 2013</w:t>
      </w:r>
    </w:p>
    <w:p w:rsidR="00C93A29" w:rsidRPr="0036127B" w:rsidRDefault="00C93A29" w:rsidP="00410B89">
      <w:pPr>
        <w:autoSpaceDE w:val="0"/>
        <w:autoSpaceDN w:val="0"/>
        <w:adjustRightInd w:val="0"/>
        <w:rPr>
          <w:b/>
          <w:color w:val="000000"/>
          <w:sz w:val="22"/>
          <w:szCs w:val="22"/>
        </w:rPr>
      </w:pPr>
    </w:p>
    <w:p w:rsidR="0036127B" w:rsidRDefault="00751474" w:rsidP="00261CFB">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4D1292">
        <w:rPr>
          <w:color w:val="000000"/>
          <w:sz w:val="22"/>
          <w:szCs w:val="22"/>
        </w:rPr>
        <w:t>submitted as an email attachment</w:t>
      </w:r>
      <w:r w:rsidRPr="0036127B">
        <w:rPr>
          <w:color w:val="000000"/>
          <w:sz w:val="22"/>
          <w:szCs w:val="22"/>
        </w:rPr>
        <w:t xml:space="preserve"> in </w:t>
      </w:r>
      <w:r w:rsidR="004D1292">
        <w:rPr>
          <w:color w:val="000000"/>
          <w:sz w:val="22"/>
          <w:szCs w:val="22"/>
        </w:rPr>
        <w:t>by 5pm</w:t>
      </w:r>
      <w:r w:rsidR="004514C0">
        <w:rPr>
          <w:color w:val="000000"/>
          <w:sz w:val="22"/>
          <w:szCs w:val="22"/>
        </w:rPr>
        <w:t xml:space="preserve"> on </w:t>
      </w:r>
      <w:r w:rsidR="00261CFB">
        <w:rPr>
          <w:color w:val="000000"/>
          <w:sz w:val="22"/>
          <w:szCs w:val="22"/>
        </w:rPr>
        <w:t>Wedne</w:t>
      </w:r>
      <w:r w:rsidR="004D1292">
        <w:rPr>
          <w:color w:val="000000"/>
          <w:sz w:val="22"/>
          <w:szCs w:val="22"/>
        </w:rPr>
        <w:t>s</w:t>
      </w:r>
      <w:r w:rsidR="006336A9">
        <w:rPr>
          <w:color w:val="000000"/>
          <w:sz w:val="22"/>
          <w:szCs w:val="22"/>
        </w:rPr>
        <w:t>day</w:t>
      </w:r>
      <w:r w:rsidR="00F507B9">
        <w:rPr>
          <w:color w:val="000000"/>
          <w:sz w:val="22"/>
          <w:szCs w:val="22"/>
        </w:rPr>
        <w:t xml:space="preserve">, </w:t>
      </w:r>
      <w:r w:rsidR="00261CFB">
        <w:rPr>
          <w:color w:val="000000"/>
          <w:sz w:val="22"/>
          <w:szCs w:val="22"/>
        </w:rPr>
        <w:t>November</w:t>
      </w:r>
      <w:r w:rsidR="00510B41">
        <w:rPr>
          <w:color w:val="000000"/>
          <w:sz w:val="22"/>
          <w:szCs w:val="22"/>
        </w:rPr>
        <w:t xml:space="preserve"> </w:t>
      </w:r>
      <w:r w:rsidR="00261CFB">
        <w:rPr>
          <w:color w:val="000000"/>
          <w:sz w:val="22"/>
          <w:szCs w:val="22"/>
        </w:rPr>
        <w:t>27</w:t>
      </w:r>
      <w:r w:rsidR="004D1292">
        <w:rPr>
          <w:color w:val="000000"/>
          <w:sz w:val="22"/>
          <w:szCs w:val="22"/>
        </w:rPr>
        <w:t>, 2013</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1E5158" w:rsidRDefault="001E5158" w:rsidP="00261CFB">
      <w:pPr>
        <w:autoSpaceDE w:val="0"/>
        <w:autoSpaceDN w:val="0"/>
        <w:adjustRightInd w:val="0"/>
        <w:spacing w:after="120"/>
        <w:rPr>
          <w:sz w:val="24"/>
          <w:szCs w:val="24"/>
        </w:rPr>
      </w:pPr>
    </w:p>
    <w:p w:rsidR="00261CFB" w:rsidRDefault="00261CFB" w:rsidP="00261CFB">
      <w:pPr>
        <w:numPr>
          <w:ilvl w:val="0"/>
          <w:numId w:val="19"/>
        </w:numPr>
        <w:autoSpaceDE w:val="0"/>
        <w:autoSpaceDN w:val="0"/>
        <w:adjustRightInd w:val="0"/>
        <w:spacing w:after="120"/>
        <w:rPr>
          <w:sz w:val="24"/>
          <w:szCs w:val="24"/>
        </w:rPr>
      </w:pPr>
      <w:commentRangeStart w:id="2"/>
      <w:r w:rsidRPr="00A3120A">
        <w:rPr>
          <w:sz w:val="24"/>
          <w:szCs w:val="24"/>
        </w:rPr>
        <w:t>Provide</w:t>
      </w:r>
      <w:commentRangeEnd w:id="2"/>
      <w:r w:rsidR="000D6654">
        <w:rPr>
          <w:rStyle w:val="CommentReference"/>
        </w:rPr>
        <w:commentReference w:id="2"/>
      </w:r>
      <w:r w:rsidRPr="00A3120A">
        <w:rPr>
          <w:sz w:val="24"/>
          <w:szCs w:val="24"/>
        </w:rPr>
        <w:t xml:space="preserve"> suitable descriptive statistics </w:t>
      </w:r>
      <w:r>
        <w:rPr>
          <w:sz w:val="24"/>
          <w:szCs w:val="24"/>
        </w:rPr>
        <w:t>for this dataset as might be presented in Table 1 of a manuscript appearing in the medical literature</w:t>
      </w:r>
      <w:r w:rsidRPr="00A3120A">
        <w:rPr>
          <w:sz w:val="24"/>
          <w:szCs w:val="24"/>
        </w:rPr>
        <w:t>.</w:t>
      </w:r>
      <w:r>
        <w:rPr>
          <w:sz w:val="24"/>
          <w:szCs w:val="24"/>
        </w:rPr>
        <w:t xml:space="preserve"> (Because the primary question is comparing 24 month relapse free survival across groups defined by nadir PSA, you might consider presenting descriptive statistics in groups according to some dichotomization of nadir PSA levels.</w:t>
      </w:r>
      <w:r w:rsidR="001E5158">
        <w:rPr>
          <w:sz w:val="24"/>
          <w:szCs w:val="24"/>
        </w:rPr>
        <w:t xml:space="preserve"> Alternatively, you could provide descriptive statistics within groups defined by whether the subjects relapse within 24 months or not.)</w:t>
      </w:r>
    </w:p>
    <w:p w:rsidR="009E1547" w:rsidRDefault="009E1547" w:rsidP="009E1547">
      <w:pPr>
        <w:autoSpaceDE w:val="0"/>
        <w:autoSpaceDN w:val="0"/>
        <w:adjustRightInd w:val="0"/>
        <w:spacing w:after="120"/>
        <w:rPr>
          <w:sz w:val="24"/>
          <w:szCs w:val="24"/>
        </w:rPr>
      </w:pPr>
    </w:p>
    <w:tbl>
      <w:tblPr>
        <w:tblW w:w="10440" w:type="dxa"/>
        <w:tblInd w:w="-342" w:type="dxa"/>
        <w:tblBorders>
          <w:top w:val="single" w:sz="12" w:space="0" w:color="000000"/>
          <w:bottom w:val="single" w:sz="12" w:space="0" w:color="000000"/>
        </w:tblBorders>
        <w:tblLook w:val="04A0" w:firstRow="1" w:lastRow="0" w:firstColumn="1" w:lastColumn="0" w:noHBand="0" w:noVBand="1"/>
      </w:tblPr>
      <w:tblGrid>
        <w:gridCol w:w="5580"/>
        <w:gridCol w:w="2250"/>
        <w:gridCol w:w="2610"/>
      </w:tblGrid>
      <w:tr w:rsidR="009E1547" w:rsidRPr="00145061" w:rsidTr="00145061">
        <w:trPr>
          <w:trHeight w:val="20"/>
        </w:trPr>
        <w:tc>
          <w:tcPr>
            <w:tcW w:w="10440" w:type="dxa"/>
            <w:gridSpan w:val="3"/>
            <w:tcBorders>
              <w:bottom w:val="single" w:sz="6" w:space="0" w:color="000000"/>
            </w:tcBorders>
            <w:shd w:val="solid" w:color="800080" w:fill="FFFFFF"/>
            <w:vAlign w:val="center"/>
          </w:tcPr>
          <w:p w:rsidR="009E1547" w:rsidRPr="00145061" w:rsidRDefault="009E1547" w:rsidP="00145061">
            <w:pPr>
              <w:autoSpaceDE w:val="0"/>
              <w:autoSpaceDN w:val="0"/>
              <w:adjustRightInd w:val="0"/>
              <w:spacing w:after="120"/>
              <w:rPr>
                <w:b/>
                <w:bCs/>
                <w:color w:val="FFFFFF"/>
                <w:sz w:val="24"/>
                <w:szCs w:val="24"/>
              </w:rPr>
            </w:pPr>
            <w:r w:rsidRPr="00145061">
              <w:rPr>
                <w:b/>
                <w:bCs/>
                <w:color w:val="FFFFFF"/>
                <w:sz w:val="24"/>
                <w:szCs w:val="24"/>
              </w:rPr>
              <w:t>Table 1. Characteristics</w:t>
            </w:r>
            <w:r w:rsidR="00BD5F83" w:rsidRPr="00145061">
              <w:rPr>
                <w:b/>
                <w:bCs/>
                <w:color w:val="FFFFFF"/>
                <w:sz w:val="24"/>
                <w:szCs w:val="24"/>
              </w:rPr>
              <w:t xml:space="preserve"> of Patients with Prostate Cancer </w:t>
            </w:r>
            <w:r w:rsidRPr="00145061">
              <w:rPr>
                <w:b/>
                <w:bCs/>
                <w:color w:val="FFFFFF"/>
                <w:sz w:val="24"/>
                <w:szCs w:val="24"/>
              </w:rPr>
              <w:t>by 24-Month Remission Status</w:t>
            </w:r>
          </w:p>
        </w:tc>
      </w:tr>
      <w:tr w:rsidR="009E1547" w:rsidRPr="00145061" w:rsidTr="00145061">
        <w:trPr>
          <w:trHeight w:val="20"/>
        </w:trPr>
        <w:tc>
          <w:tcPr>
            <w:tcW w:w="5580" w:type="dxa"/>
            <w:shd w:val="solid" w:color="C0C0C0" w:fill="FFFFFF"/>
          </w:tcPr>
          <w:p w:rsidR="009E1547" w:rsidRPr="00145061" w:rsidRDefault="009E1547" w:rsidP="00145061">
            <w:pPr>
              <w:autoSpaceDE w:val="0"/>
              <w:autoSpaceDN w:val="0"/>
              <w:adjustRightInd w:val="0"/>
              <w:spacing w:after="120"/>
              <w:rPr>
                <w:b/>
                <w:bCs/>
                <w:sz w:val="24"/>
                <w:szCs w:val="24"/>
              </w:rPr>
            </w:pPr>
          </w:p>
        </w:tc>
        <w:tc>
          <w:tcPr>
            <w:tcW w:w="2250" w:type="dxa"/>
            <w:shd w:val="clear" w:color="auto" w:fill="auto"/>
          </w:tcPr>
          <w:p w:rsidR="009E1547" w:rsidRPr="00145061" w:rsidRDefault="009E1547" w:rsidP="00145061">
            <w:pPr>
              <w:autoSpaceDE w:val="0"/>
              <w:autoSpaceDN w:val="0"/>
              <w:adjustRightInd w:val="0"/>
              <w:spacing w:after="120"/>
              <w:rPr>
                <w:sz w:val="24"/>
                <w:szCs w:val="24"/>
              </w:rPr>
            </w:pPr>
            <w:r w:rsidRPr="00145061">
              <w:rPr>
                <w:sz w:val="24"/>
                <w:szCs w:val="24"/>
              </w:rPr>
              <w:t>In Remission (n=28)</w:t>
            </w:r>
          </w:p>
        </w:tc>
        <w:tc>
          <w:tcPr>
            <w:tcW w:w="2610" w:type="dxa"/>
            <w:shd w:val="clear" w:color="auto" w:fill="auto"/>
          </w:tcPr>
          <w:p w:rsidR="009E1547" w:rsidRPr="00145061" w:rsidRDefault="009E1547" w:rsidP="00145061">
            <w:pPr>
              <w:autoSpaceDE w:val="0"/>
              <w:autoSpaceDN w:val="0"/>
              <w:adjustRightInd w:val="0"/>
              <w:spacing w:after="120"/>
              <w:rPr>
                <w:sz w:val="24"/>
                <w:szCs w:val="24"/>
              </w:rPr>
            </w:pPr>
            <w:r w:rsidRPr="00145061">
              <w:rPr>
                <w:sz w:val="24"/>
                <w:szCs w:val="24"/>
              </w:rPr>
              <w:t>Not in Remission(n=22)</w:t>
            </w:r>
          </w:p>
        </w:tc>
      </w:tr>
      <w:tr w:rsidR="009E1547" w:rsidRPr="00145061" w:rsidTr="00145061">
        <w:trPr>
          <w:trHeight w:val="20"/>
        </w:trPr>
        <w:tc>
          <w:tcPr>
            <w:tcW w:w="5580" w:type="dxa"/>
            <w:shd w:val="solid" w:color="C0C0C0" w:fill="FFFFFF"/>
          </w:tcPr>
          <w:p w:rsidR="009E1547" w:rsidRPr="00145061" w:rsidRDefault="009E1547" w:rsidP="00145061">
            <w:pPr>
              <w:autoSpaceDE w:val="0"/>
              <w:autoSpaceDN w:val="0"/>
              <w:adjustRightInd w:val="0"/>
              <w:spacing w:after="120"/>
              <w:rPr>
                <w:b/>
                <w:bCs/>
                <w:sz w:val="24"/>
                <w:szCs w:val="24"/>
              </w:rPr>
            </w:pPr>
            <w:r w:rsidRPr="00145061">
              <w:rPr>
                <w:b/>
                <w:bCs/>
                <w:sz w:val="24"/>
                <w:szCs w:val="24"/>
              </w:rPr>
              <w:t>Age, mean (SD)</w:t>
            </w:r>
          </w:p>
        </w:tc>
        <w:tc>
          <w:tcPr>
            <w:tcW w:w="2250" w:type="dxa"/>
            <w:shd w:val="clear" w:color="auto" w:fill="auto"/>
          </w:tcPr>
          <w:p w:rsidR="009E1547" w:rsidRPr="00145061" w:rsidRDefault="009E1547" w:rsidP="00145061">
            <w:pPr>
              <w:autoSpaceDE w:val="0"/>
              <w:autoSpaceDN w:val="0"/>
              <w:adjustRightInd w:val="0"/>
              <w:spacing w:after="120"/>
              <w:rPr>
                <w:sz w:val="24"/>
                <w:szCs w:val="24"/>
              </w:rPr>
            </w:pPr>
            <w:r w:rsidRPr="00145061">
              <w:rPr>
                <w:sz w:val="24"/>
                <w:szCs w:val="24"/>
              </w:rPr>
              <w:t>66.7 (5.8</w:t>
            </w:r>
            <w:r w:rsidR="00915FA3" w:rsidRPr="00145061">
              <w:rPr>
                <w:sz w:val="24"/>
                <w:szCs w:val="24"/>
              </w:rPr>
              <w:t>4</w:t>
            </w:r>
            <w:r w:rsidRPr="00145061">
              <w:rPr>
                <w:sz w:val="24"/>
                <w:szCs w:val="24"/>
              </w:rPr>
              <w:t>)</w:t>
            </w:r>
          </w:p>
        </w:tc>
        <w:tc>
          <w:tcPr>
            <w:tcW w:w="2610" w:type="dxa"/>
            <w:shd w:val="clear" w:color="auto" w:fill="auto"/>
          </w:tcPr>
          <w:p w:rsidR="009E1547" w:rsidRPr="00145061" w:rsidRDefault="009E1547" w:rsidP="00145061">
            <w:pPr>
              <w:autoSpaceDE w:val="0"/>
              <w:autoSpaceDN w:val="0"/>
              <w:adjustRightInd w:val="0"/>
              <w:spacing w:after="120"/>
              <w:rPr>
                <w:sz w:val="24"/>
                <w:szCs w:val="24"/>
              </w:rPr>
            </w:pPr>
            <w:r w:rsidRPr="00145061">
              <w:rPr>
                <w:sz w:val="24"/>
                <w:szCs w:val="24"/>
              </w:rPr>
              <w:t>68.4 (</w:t>
            </w:r>
            <w:r w:rsidR="00915FA3" w:rsidRPr="00145061">
              <w:rPr>
                <w:sz w:val="24"/>
                <w:szCs w:val="24"/>
              </w:rPr>
              <w:t>5.68</w:t>
            </w:r>
            <w:r w:rsidRPr="00145061">
              <w:rPr>
                <w:sz w:val="24"/>
                <w:szCs w:val="24"/>
              </w:rPr>
              <w:t>)</w:t>
            </w:r>
          </w:p>
        </w:tc>
      </w:tr>
      <w:tr w:rsidR="009E1547" w:rsidRPr="00145061" w:rsidTr="00145061">
        <w:trPr>
          <w:trHeight w:val="20"/>
        </w:trPr>
        <w:tc>
          <w:tcPr>
            <w:tcW w:w="5580" w:type="dxa"/>
            <w:shd w:val="solid" w:color="C0C0C0" w:fill="FFFFFF"/>
          </w:tcPr>
          <w:p w:rsidR="009E1547" w:rsidRPr="00145061" w:rsidRDefault="009E1547" w:rsidP="00145061">
            <w:pPr>
              <w:autoSpaceDE w:val="0"/>
              <w:autoSpaceDN w:val="0"/>
              <w:adjustRightInd w:val="0"/>
              <w:spacing w:after="120"/>
              <w:rPr>
                <w:b/>
                <w:bCs/>
                <w:sz w:val="24"/>
                <w:szCs w:val="24"/>
              </w:rPr>
            </w:pPr>
            <w:r w:rsidRPr="00145061">
              <w:rPr>
                <w:b/>
                <w:bCs/>
                <w:sz w:val="24"/>
                <w:szCs w:val="24"/>
              </w:rPr>
              <w:t>Time observed in remission (months), mean (SD)</w:t>
            </w:r>
          </w:p>
        </w:tc>
        <w:tc>
          <w:tcPr>
            <w:tcW w:w="2250" w:type="dxa"/>
            <w:shd w:val="clear" w:color="auto" w:fill="auto"/>
          </w:tcPr>
          <w:p w:rsidR="009E1547" w:rsidRPr="00145061" w:rsidRDefault="009E1547" w:rsidP="00145061">
            <w:pPr>
              <w:autoSpaceDE w:val="0"/>
              <w:autoSpaceDN w:val="0"/>
              <w:adjustRightInd w:val="0"/>
              <w:spacing w:after="120"/>
              <w:rPr>
                <w:sz w:val="24"/>
                <w:szCs w:val="24"/>
              </w:rPr>
            </w:pPr>
            <w:r w:rsidRPr="00145061">
              <w:rPr>
                <w:sz w:val="24"/>
                <w:szCs w:val="24"/>
              </w:rPr>
              <w:t>42.1 (1</w:t>
            </w:r>
            <w:r w:rsidR="00915FA3" w:rsidRPr="00145061">
              <w:rPr>
                <w:sz w:val="24"/>
                <w:szCs w:val="24"/>
              </w:rPr>
              <w:t>2.05</w:t>
            </w:r>
            <w:r w:rsidRPr="00145061">
              <w:rPr>
                <w:sz w:val="24"/>
                <w:szCs w:val="24"/>
              </w:rPr>
              <w:t>)</w:t>
            </w:r>
          </w:p>
        </w:tc>
        <w:tc>
          <w:tcPr>
            <w:tcW w:w="2610" w:type="dxa"/>
            <w:shd w:val="clear" w:color="auto" w:fill="auto"/>
          </w:tcPr>
          <w:p w:rsidR="009E1547" w:rsidRPr="00145061" w:rsidRDefault="009E1547" w:rsidP="00145061">
            <w:pPr>
              <w:autoSpaceDE w:val="0"/>
              <w:autoSpaceDN w:val="0"/>
              <w:adjustRightInd w:val="0"/>
              <w:spacing w:after="120"/>
              <w:rPr>
                <w:sz w:val="24"/>
                <w:szCs w:val="24"/>
              </w:rPr>
            </w:pPr>
            <w:r w:rsidRPr="00145061">
              <w:rPr>
                <w:sz w:val="24"/>
                <w:szCs w:val="24"/>
              </w:rPr>
              <w:t>11.1 (6.4</w:t>
            </w:r>
            <w:r w:rsidR="00915FA3" w:rsidRPr="00145061">
              <w:rPr>
                <w:sz w:val="24"/>
                <w:szCs w:val="24"/>
              </w:rPr>
              <w:t>0</w:t>
            </w:r>
            <w:r w:rsidRPr="00145061">
              <w:rPr>
                <w:sz w:val="24"/>
                <w:szCs w:val="24"/>
              </w:rPr>
              <w:t>)</w:t>
            </w:r>
          </w:p>
        </w:tc>
      </w:tr>
      <w:tr w:rsidR="009E1547" w:rsidRPr="00145061" w:rsidTr="00145061">
        <w:trPr>
          <w:trHeight w:val="20"/>
        </w:trPr>
        <w:tc>
          <w:tcPr>
            <w:tcW w:w="5580" w:type="dxa"/>
            <w:shd w:val="solid" w:color="C0C0C0" w:fill="FFFFFF"/>
          </w:tcPr>
          <w:p w:rsidR="009E1547" w:rsidRPr="00145061" w:rsidRDefault="009E1547" w:rsidP="00145061">
            <w:pPr>
              <w:autoSpaceDE w:val="0"/>
              <w:autoSpaceDN w:val="0"/>
              <w:adjustRightInd w:val="0"/>
              <w:spacing w:after="120"/>
              <w:rPr>
                <w:b/>
                <w:bCs/>
                <w:sz w:val="24"/>
                <w:szCs w:val="24"/>
              </w:rPr>
            </w:pPr>
            <w:r w:rsidRPr="00145061">
              <w:rPr>
                <w:b/>
                <w:bCs/>
                <w:sz w:val="24"/>
                <w:szCs w:val="24"/>
              </w:rPr>
              <w:t>Tumor grade (1= least aggressive, 3= most)</w:t>
            </w:r>
            <w:r w:rsidR="00915FA3" w:rsidRPr="00145061">
              <w:rPr>
                <w:b/>
                <w:bCs/>
                <w:sz w:val="24"/>
                <w:szCs w:val="24"/>
              </w:rPr>
              <w:t xml:space="preserve">, </w:t>
            </w:r>
            <w:r w:rsidRPr="00145061">
              <w:rPr>
                <w:b/>
                <w:bCs/>
                <w:sz w:val="24"/>
                <w:szCs w:val="24"/>
              </w:rPr>
              <w:t>n (</w:t>
            </w:r>
            <w:r w:rsidR="00915FA3" w:rsidRPr="00145061">
              <w:rPr>
                <w:b/>
                <w:bCs/>
                <w:sz w:val="24"/>
                <w:szCs w:val="24"/>
              </w:rPr>
              <w:t>%</w:t>
            </w:r>
            <w:r w:rsidRPr="00145061">
              <w:rPr>
                <w:b/>
                <w:bCs/>
                <w:sz w:val="24"/>
                <w:szCs w:val="24"/>
              </w:rPr>
              <w:t>)</w:t>
            </w:r>
          </w:p>
        </w:tc>
        <w:tc>
          <w:tcPr>
            <w:tcW w:w="2250" w:type="dxa"/>
            <w:shd w:val="clear" w:color="auto" w:fill="auto"/>
          </w:tcPr>
          <w:p w:rsidR="009E1547" w:rsidRPr="00145061" w:rsidRDefault="009E1547" w:rsidP="00145061">
            <w:pPr>
              <w:autoSpaceDE w:val="0"/>
              <w:autoSpaceDN w:val="0"/>
              <w:adjustRightInd w:val="0"/>
              <w:spacing w:after="120"/>
              <w:rPr>
                <w:sz w:val="24"/>
                <w:szCs w:val="24"/>
              </w:rPr>
            </w:pPr>
          </w:p>
        </w:tc>
        <w:tc>
          <w:tcPr>
            <w:tcW w:w="2610" w:type="dxa"/>
            <w:shd w:val="clear" w:color="auto" w:fill="auto"/>
          </w:tcPr>
          <w:p w:rsidR="009E1547" w:rsidRPr="00145061" w:rsidRDefault="009E1547" w:rsidP="00145061">
            <w:pPr>
              <w:autoSpaceDE w:val="0"/>
              <w:autoSpaceDN w:val="0"/>
              <w:adjustRightInd w:val="0"/>
              <w:spacing w:after="120"/>
              <w:rPr>
                <w:sz w:val="24"/>
                <w:szCs w:val="24"/>
              </w:rPr>
            </w:pPr>
          </w:p>
        </w:tc>
      </w:tr>
      <w:tr w:rsidR="00915FA3" w:rsidRPr="00145061" w:rsidTr="00145061">
        <w:trPr>
          <w:trHeight w:val="20"/>
        </w:trPr>
        <w:tc>
          <w:tcPr>
            <w:tcW w:w="5580" w:type="dxa"/>
            <w:shd w:val="solid" w:color="C0C0C0" w:fill="FFFFFF"/>
          </w:tcPr>
          <w:p w:rsidR="00915FA3" w:rsidRPr="00145061" w:rsidRDefault="00915FA3" w:rsidP="00145061">
            <w:pPr>
              <w:autoSpaceDE w:val="0"/>
              <w:autoSpaceDN w:val="0"/>
              <w:adjustRightInd w:val="0"/>
              <w:spacing w:after="120"/>
              <w:rPr>
                <w:b/>
                <w:bCs/>
                <w:sz w:val="24"/>
                <w:szCs w:val="24"/>
              </w:rPr>
            </w:pPr>
            <w:r w:rsidRPr="00145061">
              <w:rPr>
                <w:b/>
                <w:bCs/>
                <w:sz w:val="24"/>
                <w:szCs w:val="24"/>
              </w:rPr>
              <w:t xml:space="preserve">   Grade 1</w:t>
            </w:r>
          </w:p>
        </w:tc>
        <w:tc>
          <w:tcPr>
            <w:tcW w:w="225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7 (25)</w:t>
            </w:r>
          </w:p>
        </w:tc>
        <w:tc>
          <w:tcPr>
            <w:tcW w:w="261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3 (13.64)</w:t>
            </w:r>
          </w:p>
        </w:tc>
      </w:tr>
      <w:tr w:rsidR="00915FA3" w:rsidRPr="00145061" w:rsidTr="00145061">
        <w:trPr>
          <w:trHeight w:val="20"/>
        </w:trPr>
        <w:tc>
          <w:tcPr>
            <w:tcW w:w="5580" w:type="dxa"/>
            <w:shd w:val="solid" w:color="C0C0C0" w:fill="FFFFFF"/>
          </w:tcPr>
          <w:p w:rsidR="00915FA3" w:rsidRPr="00145061" w:rsidRDefault="00915FA3" w:rsidP="00145061">
            <w:pPr>
              <w:autoSpaceDE w:val="0"/>
              <w:autoSpaceDN w:val="0"/>
              <w:adjustRightInd w:val="0"/>
              <w:spacing w:after="120"/>
              <w:rPr>
                <w:b/>
                <w:bCs/>
                <w:sz w:val="24"/>
                <w:szCs w:val="24"/>
              </w:rPr>
            </w:pPr>
            <w:r w:rsidRPr="00145061">
              <w:rPr>
                <w:b/>
                <w:bCs/>
                <w:sz w:val="24"/>
                <w:szCs w:val="24"/>
              </w:rPr>
              <w:t xml:space="preserve">   Grade 2</w:t>
            </w:r>
          </w:p>
        </w:tc>
        <w:tc>
          <w:tcPr>
            <w:tcW w:w="225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8 (28.57)</w:t>
            </w:r>
          </w:p>
        </w:tc>
        <w:tc>
          <w:tcPr>
            <w:tcW w:w="261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7 (31.82)</w:t>
            </w:r>
          </w:p>
        </w:tc>
      </w:tr>
      <w:tr w:rsidR="00915FA3" w:rsidRPr="00145061" w:rsidTr="00145061">
        <w:trPr>
          <w:trHeight w:val="20"/>
        </w:trPr>
        <w:tc>
          <w:tcPr>
            <w:tcW w:w="5580" w:type="dxa"/>
            <w:shd w:val="solid" w:color="C0C0C0" w:fill="FFFFFF"/>
          </w:tcPr>
          <w:p w:rsidR="00915FA3" w:rsidRPr="00145061" w:rsidRDefault="00915FA3" w:rsidP="00145061">
            <w:pPr>
              <w:autoSpaceDE w:val="0"/>
              <w:autoSpaceDN w:val="0"/>
              <w:adjustRightInd w:val="0"/>
              <w:spacing w:after="120"/>
              <w:rPr>
                <w:b/>
                <w:bCs/>
                <w:sz w:val="24"/>
                <w:szCs w:val="24"/>
              </w:rPr>
            </w:pPr>
            <w:r w:rsidRPr="00145061">
              <w:rPr>
                <w:b/>
                <w:bCs/>
                <w:sz w:val="24"/>
                <w:szCs w:val="24"/>
              </w:rPr>
              <w:t xml:space="preserve">   Grade 3</w:t>
            </w:r>
          </w:p>
        </w:tc>
        <w:tc>
          <w:tcPr>
            <w:tcW w:w="225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9 (32.14)</w:t>
            </w:r>
          </w:p>
        </w:tc>
        <w:tc>
          <w:tcPr>
            <w:tcW w:w="261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7 (31.82)</w:t>
            </w:r>
          </w:p>
        </w:tc>
      </w:tr>
      <w:tr w:rsidR="00915FA3" w:rsidRPr="00145061" w:rsidTr="00145061">
        <w:trPr>
          <w:trHeight w:val="20"/>
        </w:trPr>
        <w:tc>
          <w:tcPr>
            <w:tcW w:w="5580" w:type="dxa"/>
            <w:shd w:val="solid" w:color="C0C0C0" w:fill="FFFFFF"/>
          </w:tcPr>
          <w:p w:rsidR="00915FA3" w:rsidRPr="00145061" w:rsidRDefault="00915FA3" w:rsidP="00145061">
            <w:pPr>
              <w:autoSpaceDE w:val="0"/>
              <w:autoSpaceDN w:val="0"/>
              <w:adjustRightInd w:val="0"/>
              <w:spacing w:after="120"/>
              <w:rPr>
                <w:b/>
                <w:bCs/>
                <w:sz w:val="24"/>
                <w:szCs w:val="24"/>
              </w:rPr>
            </w:pPr>
            <w:r w:rsidRPr="00145061">
              <w:rPr>
                <w:b/>
                <w:bCs/>
                <w:sz w:val="24"/>
                <w:szCs w:val="24"/>
              </w:rPr>
              <w:t xml:space="preserve">   Unknown</w:t>
            </w:r>
          </w:p>
        </w:tc>
        <w:tc>
          <w:tcPr>
            <w:tcW w:w="225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4 (14.29)</w:t>
            </w:r>
          </w:p>
        </w:tc>
        <w:tc>
          <w:tcPr>
            <w:tcW w:w="261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5 (22.73)</w:t>
            </w:r>
          </w:p>
        </w:tc>
      </w:tr>
      <w:tr w:rsidR="009E1547" w:rsidRPr="00145061" w:rsidTr="00145061">
        <w:trPr>
          <w:trHeight w:val="20"/>
        </w:trPr>
        <w:tc>
          <w:tcPr>
            <w:tcW w:w="5580" w:type="dxa"/>
            <w:shd w:val="solid" w:color="C0C0C0" w:fill="FFFFFF"/>
          </w:tcPr>
          <w:p w:rsidR="009E1547" w:rsidRPr="00145061" w:rsidRDefault="009E1547" w:rsidP="00145061">
            <w:pPr>
              <w:autoSpaceDE w:val="0"/>
              <w:autoSpaceDN w:val="0"/>
              <w:adjustRightInd w:val="0"/>
              <w:spacing w:after="120"/>
              <w:rPr>
                <w:b/>
                <w:bCs/>
                <w:sz w:val="24"/>
                <w:szCs w:val="24"/>
              </w:rPr>
            </w:pPr>
            <w:r w:rsidRPr="00145061">
              <w:rPr>
                <w:b/>
                <w:bCs/>
                <w:sz w:val="24"/>
                <w:szCs w:val="24"/>
              </w:rPr>
              <w:t>PSA value prior to therapy (ng/ml), mean (SD)</w:t>
            </w:r>
            <w:r w:rsidRPr="00145061">
              <w:rPr>
                <w:b/>
                <w:bCs/>
                <w:sz w:val="24"/>
                <w:szCs w:val="24"/>
                <w:vertAlign w:val="superscript"/>
              </w:rPr>
              <w:t>a</w:t>
            </w:r>
          </w:p>
        </w:tc>
        <w:tc>
          <w:tcPr>
            <w:tcW w:w="2250" w:type="dxa"/>
            <w:shd w:val="clear" w:color="auto" w:fill="auto"/>
          </w:tcPr>
          <w:p w:rsidR="009E1547" w:rsidRPr="00145061" w:rsidRDefault="009E1547" w:rsidP="00145061">
            <w:pPr>
              <w:autoSpaceDE w:val="0"/>
              <w:autoSpaceDN w:val="0"/>
              <w:adjustRightInd w:val="0"/>
              <w:spacing w:after="120"/>
              <w:rPr>
                <w:sz w:val="24"/>
                <w:szCs w:val="24"/>
              </w:rPr>
            </w:pPr>
            <w:r w:rsidRPr="00145061">
              <w:rPr>
                <w:sz w:val="24"/>
                <w:szCs w:val="24"/>
              </w:rPr>
              <w:t>617.2 (1252.1)</w:t>
            </w:r>
          </w:p>
        </w:tc>
        <w:tc>
          <w:tcPr>
            <w:tcW w:w="2610" w:type="dxa"/>
            <w:shd w:val="clear" w:color="auto" w:fill="auto"/>
          </w:tcPr>
          <w:p w:rsidR="009E1547" w:rsidRPr="00145061" w:rsidRDefault="009E1547" w:rsidP="00145061">
            <w:pPr>
              <w:autoSpaceDE w:val="0"/>
              <w:autoSpaceDN w:val="0"/>
              <w:adjustRightInd w:val="0"/>
              <w:spacing w:after="120"/>
              <w:rPr>
                <w:sz w:val="24"/>
                <w:szCs w:val="24"/>
              </w:rPr>
            </w:pPr>
            <w:r w:rsidRPr="00145061">
              <w:rPr>
                <w:sz w:val="24"/>
                <w:szCs w:val="24"/>
              </w:rPr>
              <w:t>732.4 (1357.3)</w:t>
            </w:r>
          </w:p>
        </w:tc>
      </w:tr>
      <w:tr w:rsidR="009E1547" w:rsidRPr="00145061" w:rsidTr="00145061">
        <w:trPr>
          <w:trHeight w:val="20"/>
        </w:trPr>
        <w:tc>
          <w:tcPr>
            <w:tcW w:w="5580" w:type="dxa"/>
            <w:shd w:val="solid" w:color="C0C0C0" w:fill="FFFFFF"/>
          </w:tcPr>
          <w:p w:rsidR="009E1547" w:rsidRPr="00145061" w:rsidRDefault="009E1547" w:rsidP="00145061">
            <w:pPr>
              <w:pStyle w:val="PlainText"/>
              <w:tabs>
                <w:tab w:val="left" w:pos="720"/>
                <w:tab w:val="left" w:pos="2160"/>
              </w:tabs>
              <w:rPr>
                <w:b/>
                <w:bCs/>
                <w:sz w:val="24"/>
                <w:szCs w:val="24"/>
              </w:rPr>
            </w:pPr>
            <w:r w:rsidRPr="00145061">
              <w:rPr>
                <w:rFonts w:ascii="Times New Roman" w:hAnsi="Times New Roman" w:cs="Times New Roman"/>
                <w:b/>
                <w:bCs/>
                <w:sz w:val="24"/>
                <w:szCs w:val="24"/>
              </w:rPr>
              <w:t>Lowest PSA value post therapy (ng/ml), mean (SD)</w:t>
            </w:r>
          </w:p>
        </w:tc>
        <w:tc>
          <w:tcPr>
            <w:tcW w:w="2250" w:type="dxa"/>
            <w:shd w:val="clear" w:color="auto" w:fill="auto"/>
          </w:tcPr>
          <w:p w:rsidR="009E1547" w:rsidRPr="00145061" w:rsidRDefault="009E1547" w:rsidP="00145061">
            <w:pPr>
              <w:autoSpaceDE w:val="0"/>
              <w:autoSpaceDN w:val="0"/>
              <w:adjustRightInd w:val="0"/>
              <w:spacing w:after="120"/>
              <w:rPr>
                <w:sz w:val="24"/>
                <w:szCs w:val="24"/>
              </w:rPr>
            </w:pPr>
            <w:r w:rsidRPr="00145061">
              <w:rPr>
                <w:sz w:val="24"/>
                <w:szCs w:val="24"/>
              </w:rPr>
              <w:t>4.1 (17.3)</w:t>
            </w:r>
          </w:p>
        </w:tc>
        <w:tc>
          <w:tcPr>
            <w:tcW w:w="2610" w:type="dxa"/>
            <w:shd w:val="clear" w:color="auto" w:fill="auto"/>
          </w:tcPr>
          <w:p w:rsidR="009E1547" w:rsidRPr="00145061" w:rsidRDefault="009E1547" w:rsidP="00145061">
            <w:pPr>
              <w:autoSpaceDE w:val="0"/>
              <w:autoSpaceDN w:val="0"/>
              <w:adjustRightInd w:val="0"/>
              <w:spacing w:after="120"/>
              <w:rPr>
                <w:sz w:val="24"/>
                <w:szCs w:val="24"/>
              </w:rPr>
            </w:pPr>
            <w:r w:rsidRPr="00145061">
              <w:rPr>
                <w:sz w:val="24"/>
                <w:szCs w:val="24"/>
              </w:rPr>
              <w:t>31.9 (52.5)</w:t>
            </w:r>
          </w:p>
        </w:tc>
      </w:tr>
      <w:tr w:rsidR="009E1547" w:rsidRPr="00145061" w:rsidTr="00145061">
        <w:trPr>
          <w:trHeight w:val="20"/>
        </w:trPr>
        <w:tc>
          <w:tcPr>
            <w:tcW w:w="5580" w:type="dxa"/>
            <w:shd w:val="solid" w:color="C0C0C0" w:fill="FFFFFF"/>
          </w:tcPr>
          <w:p w:rsidR="009E1547" w:rsidRPr="00145061" w:rsidRDefault="009E1547" w:rsidP="00145061">
            <w:pPr>
              <w:autoSpaceDE w:val="0"/>
              <w:autoSpaceDN w:val="0"/>
              <w:adjustRightInd w:val="0"/>
              <w:spacing w:after="120"/>
              <w:rPr>
                <w:b/>
                <w:bCs/>
                <w:sz w:val="24"/>
                <w:szCs w:val="24"/>
              </w:rPr>
            </w:pPr>
            <w:r w:rsidRPr="00145061">
              <w:rPr>
                <w:b/>
                <w:bCs/>
                <w:sz w:val="24"/>
                <w:szCs w:val="24"/>
              </w:rPr>
              <w:t>Bone scan score (1= least disease, 3= most)</w:t>
            </w:r>
            <w:r w:rsidR="00915FA3" w:rsidRPr="00145061">
              <w:rPr>
                <w:b/>
                <w:bCs/>
                <w:sz w:val="24"/>
                <w:szCs w:val="24"/>
              </w:rPr>
              <w:t>, n (%)</w:t>
            </w:r>
          </w:p>
        </w:tc>
        <w:tc>
          <w:tcPr>
            <w:tcW w:w="2250" w:type="dxa"/>
            <w:shd w:val="clear" w:color="auto" w:fill="auto"/>
          </w:tcPr>
          <w:p w:rsidR="009E1547" w:rsidRPr="00145061" w:rsidRDefault="009E1547" w:rsidP="00145061">
            <w:pPr>
              <w:autoSpaceDE w:val="0"/>
              <w:autoSpaceDN w:val="0"/>
              <w:adjustRightInd w:val="0"/>
              <w:spacing w:after="120"/>
              <w:rPr>
                <w:sz w:val="24"/>
                <w:szCs w:val="24"/>
              </w:rPr>
            </w:pPr>
          </w:p>
        </w:tc>
        <w:tc>
          <w:tcPr>
            <w:tcW w:w="2610" w:type="dxa"/>
            <w:shd w:val="clear" w:color="auto" w:fill="auto"/>
          </w:tcPr>
          <w:p w:rsidR="009E1547" w:rsidRPr="00145061" w:rsidRDefault="009E1547" w:rsidP="00145061">
            <w:pPr>
              <w:autoSpaceDE w:val="0"/>
              <w:autoSpaceDN w:val="0"/>
              <w:adjustRightInd w:val="0"/>
              <w:spacing w:after="120"/>
              <w:rPr>
                <w:sz w:val="24"/>
                <w:szCs w:val="24"/>
              </w:rPr>
            </w:pPr>
          </w:p>
        </w:tc>
      </w:tr>
      <w:tr w:rsidR="009E1547" w:rsidRPr="00145061" w:rsidTr="00145061">
        <w:trPr>
          <w:trHeight w:val="20"/>
        </w:trPr>
        <w:tc>
          <w:tcPr>
            <w:tcW w:w="5580" w:type="dxa"/>
            <w:shd w:val="solid" w:color="C0C0C0" w:fill="FFFFFF"/>
          </w:tcPr>
          <w:p w:rsidR="009E1547" w:rsidRPr="00145061" w:rsidRDefault="00915FA3" w:rsidP="00145061">
            <w:pPr>
              <w:autoSpaceDE w:val="0"/>
              <w:autoSpaceDN w:val="0"/>
              <w:adjustRightInd w:val="0"/>
              <w:spacing w:after="120"/>
              <w:rPr>
                <w:b/>
                <w:bCs/>
                <w:sz w:val="24"/>
                <w:szCs w:val="24"/>
              </w:rPr>
            </w:pPr>
            <w:r w:rsidRPr="00145061">
              <w:rPr>
                <w:b/>
                <w:bCs/>
                <w:sz w:val="24"/>
                <w:szCs w:val="24"/>
              </w:rPr>
              <w:t xml:space="preserve">   Score 1</w:t>
            </w:r>
          </w:p>
        </w:tc>
        <w:tc>
          <w:tcPr>
            <w:tcW w:w="2250" w:type="dxa"/>
            <w:shd w:val="clear" w:color="auto" w:fill="auto"/>
          </w:tcPr>
          <w:p w:rsidR="009E1547" w:rsidRPr="00145061" w:rsidRDefault="00915FA3" w:rsidP="00145061">
            <w:pPr>
              <w:autoSpaceDE w:val="0"/>
              <w:autoSpaceDN w:val="0"/>
              <w:adjustRightInd w:val="0"/>
              <w:spacing w:after="120"/>
              <w:rPr>
                <w:sz w:val="24"/>
                <w:szCs w:val="24"/>
              </w:rPr>
            </w:pPr>
            <w:r w:rsidRPr="00145061">
              <w:rPr>
                <w:sz w:val="24"/>
                <w:szCs w:val="24"/>
              </w:rPr>
              <w:t>5 (17.86)</w:t>
            </w:r>
          </w:p>
        </w:tc>
        <w:tc>
          <w:tcPr>
            <w:tcW w:w="2610" w:type="dxa"/>
            <w:shd w:val="clear" w:color="auto" w:fill="auto"/>
          </w:tcPr>
          <w:p w:rsidR="009E1547" w:rsidRPr="00145061" w:rsidRDefault="00915FA3" w:rsidP="00145061">
            <w:pPr>
              <w:autoSpaceDE w:val="0"/>
              <w:autoSpaceDN w:val="0"/>
              <w:adjustRightInd w:val="0"/>
              <w:spacing w:after="120"/>
              <w:rPr>
                <w:sz w:val="24"/>
                <w:szCs w:val="24"/>
              </w:rPr>
            </w:pPr>
            <w:r w:rsidRPr="00145061">
              <w:rPr>
                <w:sz w:val="24"/>
                <w:szCs w:val="24"/>
              </w:rPr>
              <w:t>0</w:t>
            </w:r>
          </w:p>
        </w:tc>
      </w:tr>
      <w:tr w:rsidR="00915FA3" w:rsidRPr="00145061" w:rsidTr="00145061">
        <w:trPr>
          <w:trHeight w:val="20"/>
        </w:trPr>
        <w:tc>
          <w:tcPr>
            <w:tcW w:w="5580" w:type="dxa"/>
            <w:shd w:val="solid" w:color="C0C0C0" w:fill="FFFFFF"/>
          </w:tcPr>
          <w:p w:rsidR="00915FA3" w:rsidRPr="00145061" w:rsidRDefault="00915FA3" w:rsidP="00145061">
            <w:pPr>
              <w:autoSpaceDE w:val="0"/>
              <w:autoSpaceDN w:val="0"/>
              <w:adjustRightInd w:val="0"/>
              <w:spacing w:after="120"/>
              <w:rPr>
                <w:b/>
                <w:bCs/>
                <w:sz w:val="24"/>
                <w:szCs w:val="24"/>
              </w:rPr>
            </w:pPr>
            <w:r w:rsidRPr="00145061">
              <w:rPr>
                <w:b/>
                <w:bCs/>
                <w:sz w:val="24"/>
                <w:szCs w:val="24"/>
              </w:rPr>
              <w:t xml:space="preserve">   Score 2</w:t>
            </w:r>
          </w:p>
        </w:tc>
        <w:tc>
          <w:tcPr>
            <w:tcW w:w="225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9 (32.14)</w:t>
            </w:r>
          </w:p>
        </w:tc>
        <w:tc>
          <w:tcPr>
            <w:tcW w:w="261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4 (18.18)</w:t>
            </w:r>
          </w:p>
        </w:tc>
      </w:tr>
      <w:tr w:rsidR="00915FA3" w:rsidRPr="00145061" w:rsidTr="00145061">
        <w:trPr>
          <w:trHeight w:val="20"/>
        </w:trPr>
        <w:tc>
          <w:tcPr>
            <w:tcW w:w="5580" w:type="dxa"/>
            <w:shd w:val="solid" w:color="C0C0C0" w:fill="FFFFFF"/>
          </w:tcPr>
          <w:p w:rsidR="00915FA3" w:rsidRPr="00145061" w:rsidRDefault="00915FA3" w:rsidP="00145061">
            <w:pPr>
              <w:autoSpaceDE w:val="0"/>
              <w:autoSpaceDN w:val="0"/>
              <w:adjustRightInd w:val="0"/>
              <w:spacing w:after="120"/>
              <w:rPr>
                <w:b/>
                <w:bCs/>
                <w:sz w:val="24"/>
                <w:szCs w:val="24"/>
              </w:rPr>
            </w:pPr>
            <w:r w:rsidRPr="00145061">
              <w:rPr>
                <w:b/>
                <w:bCs/>
                <w:sz w:val="24"/>
                <w:szCs w:val="24"/>
              </w:rPr>
              <w:t xml:space="preserve">   Score 3</w:t>
            </w:r>
          </w:p>
        </w:tc>
        <w:tc>
          <w:tcPr>
            <w:tcW w:w="225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14 (50)</w:t>
            </w:r>
          </w:p>
        </w:tc>
        <w:tc>
          <w:tcPr>
            <w:tcW w:w="261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16 (72.73)</w:t>
            </w:r>
          </w:p>
        </w:tc>
      </w:tr>
      <w:tr w:rsidR="00915FA3" w:rsidRPr="00145061" w:rsidTr="00145061">
        <w:trPr>
          <w:trHeight w:val="20"/>
        </w:trPr>
        <w:tc>
          <w:tcPr>
            <w:tcW w:w="5580" w:type="dxa"/>
            <w:shd w:val="solid" w:color="C0C0C0" w:fill="FFFFFF"/>
          </w:tcPr>
          <w:p w:rsidR="00915FA3" w:rsidRPr="00145061" w:rsidRDefault="00915FA3" w:rsidP="00145061">
            <w:pPr>
              <w:autoSpaceDE w:val="0"/>
              <w:autoSpaceDN w:val="0"/>
              <w:adjustRightInd w:val="0"/>
              <w:spacing w:after="120"/>
              <w:rPr>
                <w:b/>
                <w:bCs/>
                <w:sz w:val="24"/>
                <w:szCs w:val="24"/>
              </w:rPr>
            </w:pPr>
            <w:r w:rsidRPr="00145061">
              <w:rPr>
                <w:b/>
                <w:bCs/>
                <w:sz w:val="24"/>
                <w:szCs w:val="24"/>
              </w:rPr>
              <w:t xml:space="preserve">   Unknown</w:t>
            </w:r>
          </w:p>
        </w:tc>
        <w:tc>
          <w:tcPr>
            <w:tcW w:w="225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0</w:t>
            </w:r>
          </w:p>
        </w:tc>
        <w:tc>
          <w:tcPr>
            <w:tcW w:w="261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2 (9.09)</w:t>
            </w:r>
          </w:p>
        </w:tc>
      </w:tr>
      <w:tr w:rsidR="00915FA3" w:rsidRPr="00145061" w:rsidTr="00145061">
        <w:trPr>
          <w:trHeight w:val="20"/>
        </w:trPr>
        <w:tc>
          <w:tcPr>
            <w:tcW w:w="5580" w:type="dxa"/>
            <w:shd w:val="solid" w:color="C0C0C0" w:fill="FFFFFF"/>
          </w:tcPr>
          <w:p w:rsidR="00915FA3" w:rsidRPr="00145061" w:rsidRDefault="00915FA3" w:rsidP="00145061">
            <w:pPr>
              <w:autoSpaceDE w:val="0"/>
              <w:autoSpaceDN w:val="0"/>
              <w:adjustRightInd w:val="0"/>
              <w:spacing w:after="120"/>
              <w:rPr>
                <w:b/>
                <w:bCs/>
                <w:sz w:val="24"/>
                <w:szCs w:val="24"/>
              </w:rPr>
            </w:pPr>
            <w:r w:rsidRPr="00145061">
              <w:rPr>
                <w:b/>
                <w:bCs/>
                <w:sz w:val="24"/>
                <w:szCs w:val="24"/>
              </w:rPr>
              <w:t>Performance status (0=worst, 100= best), mean (SD)</w:t>
            </w:r>
          </w:p>
        </w:tc>
        <w:tc>
          <w:tcPr>
            <w:tcW w:w="225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83.9 (9.6)</w:t>
            </w:r>
          </w:p>
        </w:tc>
        <w:tc>
          <w:tcPr>
            <w:tcW w:w="261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76.5 (11.8)</w:t>
            </w:r>
          </w:p>
        </w:tc>
      </w:tr>
    </w:tbl>
    <w:p w:rsidR="009E1547" w:rsidRPr="00BD5F83" w:rsidRDefault="009E1547" w:rsidP="00BD5F83">
      <w:pPr>
        <w:autoSpaceDE w:val="0"/>
        <w:autoSpaceDN w:val="0"/>
        <w:adjustRightInd w:val="0"/>
        <w:spacing w:after="120"/>
        <w:ind w:hanging="360"/>
        <w:rPr>
          <w:sz w:val="22"/>
          <w:szCs w:val="24"/>
        </w:rPr>
      </w:pPr>
      <w:r w:rsidRPr="00BD5F83">
        <w:rPr>
          <w:sz w:val="22"/>
          <w:szCs w:val="24"/>
        </w:rPr>
        <w:t>a</w:t>
      </w:r>
      <w:r w:rsidR="00BD5F83">
        <w:rPr>
          <w:sz w:val="22"/>
          <w:szCs w:val="24"/>
        </w:rPr>
        <w:t>.</w:t>
      </w:r>
      <w:r w:rsidRPr="00BD5F83">
        <w:rPr>
          <w:sz w:val="22"/>
          <w:szCs w:val="24"/>
        </w:rPr>
        <w:t xml:space="preserve"> Pre-treatment PSA values available for 23 of the patient in remission, 20 of the patient</w:t>
      </w:r>
      <w:r w:rsidR="00BD5F83">
        <w:rPr>
          <w:sz w:val="22"/>
          <w:szCs w:val="24"/>
        </w:rPr>
        <w:t>s</w:t>
      </w:r>
      <w:r w:rsidRPr="00BD5F83">
        <w:rPr>
          <w:sz w:val="22"/>
          <w:szCs w:val="24"/>
        </w:rPr>
        <w:t xml:space="preserve"> not in remission.</w:t>
      </w:r>
    </w:p>
    <w:p w:rsidR="009E1547" w:rsidRDefault="009E1547" w:rsidP="009E1547">
      <w:pPr>
        <w:autoSpaceDE w:val="0"/>
        <w:autoSpaceDN w:val="0"/>
        <w:adjustRightInd w:val="0"/>
        <w:spacing w:after="120"/>
        <w:rPr>
          <w:sz w:val="24"/>
          <w:szCs w:val="24"/>
        </w:rPr>
      </w:pPr>
    </w:p>
    <w:p w:rsidR="009E1547" w:rsidRPr="00A3120A" w:rsidRDefault="009E1547" w:rsidP="009E1547">
      <w:pPr>
        <w:autoSpaceDE w:val="0"/>
        <w:autoSpaceDN w:val="0"/>
        <w:adjustRightInd w:val="0"/>
        <w:spacing w:after="120"/>
        <w:rPr>
          <w:sz w:val="24"/>
          <w:szCs w:val="24"/>
        </w:rPr>
      </w:pPr>
      <w:r>
        <w:rPr>
          <w:sz w:val="24"/>
          <w:szCs w:val="24"/>
        </w:rPr>
        <w:br w:type="page"/>
      </w:r>
    </w:p>
    <w:p w:rsidR="00261CFB" w:rsidRPr="00A3120A" w:rsidRDefault="00261CFB" w:rsidP="00261CFB">
      <w:pPr>
        <w:numPr>
          <w:ilvl w:val="0"/>
          <w:numId w:val="19"/>
        </w:numPr>
        <w:autoSpaceDE w:val="0"/>
        <w:autoSpaceDN w:val="0"/>
        <w:adjustRightInd w:val="0"/>
        <w:spacing w:after="120"/>
        <w:rPr>
          <w:sz w:val="24"/>
          <w:szCs w:val="24"/>
        </w:rPr>
      </w:pPr>
      <w:r w:rsidRPr="00A3120A">
        <w:rPr>
          <w:sz w:val="24"/>
          <w:szCs w:val="24"/>
        </w:rPr>
        <w:t xml:space="preserve">Perform </w:t>
      </w:r>
      <w:r>
        <w:rPr>
          <w:sz w:val="24"/>
          <w:szCs w:val="24"/>
        </w:rPr>
        <w:t>logistic regression analyses to determine whether the distribution of relapse within 24 months differs across groups defined by nadir PSA level after adjustment for bone scan score and performance status. For each of the following models, provide full statistical inference for your measure of association.</w:t>
      </w:r>
    </w:p>
    <w:p w:rsidR="00261CFB" w:rsidRDefault="00261CFB" w:rsidP="00261CFB">
      <w:pPr>
        <w:numPr>
          <w:ilvl w:val="1"/>
          <w:numId w:val="19"/>
        </w:numPr>
        <w:autoSpaceDE w:val="0"/>
        <w:autoSpaceDN w:val="0"/>
        <w:adjustRightInd w:val="0"/>
        <w:spacing w:after="120"/>
        <w:rPr>
          <w:sz w:val="24"/>
          <w:szCs w:val="24"/>
        </w:rPr>
      </w:pPr>
      <w:r>
        <w:rPr>
          <w:sz w:val="24"/>
          <w:szCs w:val="24"/>
        </w:rPr>
        <w:t>Perform an adjusted logistic regression comparing the odds of relapse within 24 months across groups defined by the nadir PSA level when modeled as a cont</w:t>
      </w:r>
      <w:r w:rsidR="00BD5F83">
        <w:rPr>
          <w:sz w:val="24"/>
          <w:szCs w:val="24"/>
        </w:rPr>
        <w:t>inuous, untransformed variable.</w:t>
      </w:r>
    </w:p>
    <w:p w:rsidR="00BD5F83" w:rsidRDefault="00BF4D7E" w:rsidP="00BD5F83">
      <w:pPr>
        <w:autoSpaceDE w:val="0"/>
        <w:autoSpaceDN w:val="0"/>
        <w:adjustRightInd w:val="0"/>
        <w:spacing w:after="120"/>
        <w:ind w:left="1440"/>
        <w:rPr>
          <w:sz w:val="24"/>
          <w:szCs w:val="24"/>
        </w:rPr>
      </w:pPr>
      <w:commentRangeStart w:id="3"/>
      <w:r>
        <w:rPr>
          <w:sz w:val="24"/>
          <w:szCs w:val="24"/>
        </w:rPr>
        <w:t>After</w:t>
      </w:r>
      <w:commentRangeEnd w:id="3"/>
      <w:r w:rsidR="000D6654">
        <w:rPr>
          <w:rStyle w:val="CommentReference"/>
        </w:rPr>
        <w:commentReference w:id="3"/>
      </w:r>
      <w:r>
        <w:rPr>
          <w:sz w:val="24"/>
          <w:szCs w:val="24"/>
        </w:rPr>
        <w:t xml:space="preserve"> adjusting for performance status and bone scan score, the odds</w:t>
      </w:r>
      <w:r w:rsidR="005359FA">
        <w:rPr>
          <w:sz w:val="24"/>
          <w:szCs w:val="24"/>
        </w:rPr>
        <w:t xml:space="preserve"> ratio for </w:t>
      </w:r>
      <w:r>
        <w:rPr>
          <w:sz w:val="24"/>
          <w:szCs w:val="24"/>
        </w:rPr>
        <w:t xml:space="preserve">relapse among patients with a nadir PSA level of 0 ng/mL is estimated to be 1.03 (95% CI 0.94, 1.13). No one in this dataset had a nadir PSA of 0 ng/mL, </w:t>
      </w:r>
      <w:r w:rsidR="005359FA">
        <w:rPr>
          <w:sz w:val="24"/>
          <w:szCs w:val="24"/>
        </w:rPr>
        <w:t xml:space="preserve">thus </w:t>
      </w:r>
      <w:r>
        <w:rPr>
          <w:sz w:val="24"/>
          <w:szCs w:val="24"/>
        </w:rPr>
        <w:t xml:space="preserve">we should be reluctant to extrapolate </w:t>
      </w:r>
      <w:r w:rsidR="005359FA">
        <w:rPr>
          <w:sz w:val="24"/>
          <w:szCs w:val="24"/>
        </w:rPr>
        <w:t xml:space="preserve">these results </w:t>
      </w:r>
      <w:r>
        <w:rPr>
          <w:sz w:val="24"/>
          <w:szCs w:val="24"/>
        </w:rPr>
        <w:t xml:space="preserve">to a group of patients with </w:t>
      </w:r>
      <w:r w:rsidR="005359FA">
        <w:rPr>
          <w:sz w:val="24"/>
          <w:szCs w:val="24"/>
        </w:rPr>
        <w:t xml:space="preserve">such a nadir </w:t>
      </w:r>
      <w:r>
        <w:rPr>
          <w:sz w:val="24"/>
          <w:szCs w:val="24"/>
        </w:rPr>
        <w:t>PSA value.</w:t>
      </w:r>
    </w:p>
    <w:p w:rsidR="00261CFB" w:rsidRDefault="00261CFB" w:rsidP="00261CFB">
      <w:pPr>
        <w:numPr>
          <w:ilvl w:val="1"/>
          <w:numId w:val="19"/>
        </w:numPr>
        <w:autoSpaceDE w:val="0"/>
        <w:autoSpaceDN w:val="0"/>
        <w:adjustRightInd w:val="0"/>
        <w:spacing w:after="120"/>
        <w:rPr>
          <w:sz w:val="24"/>
          <w:szCs w:val="24"/>
        </w:rPr>
      </w:pPr>
      <w:r>
        <w:rPr>
          <w:sz w:val="24"/>
          <w:szCs w:val="24"/>
        </w:rPr>
        <w:t xml:space="preserve">Perform an adjusted logistic regression comparing the odds of relapse within 24 months across groups defined by the nadir PSA level when modeled as a continuous, log transformed variable. </w:t>
      </w:r>
    </w:p>
    <w:p w:rsidR="005359FA" w:rsidRDefault="005359FA" w:rsidP="005359FA">
      <w:pPr>
        <w:autoSpaceDE w:val="0"/>
        <w:autoSpaceDN w:val="0"/>
        <w:adjustRightInd w:val="0"/>
        <w:spacing w:after="120"/>
        <w:ind w:left="1440"/>
        <w:rPr>
          <w:sz w:val="24"/>
          <w:szCs w:val="24"/>
        </w:rPr>
      </w:pPr>
      <w:r>
        <w:rPr>
          <w:sz w:val="24"/>
          <w:szCs w:val="24"/>
        </w:rPr>
        <w:t>After adjusting for performance status and bone scan score, the odds ratio for relapse among patients with a log nadir PSA level of 0 ng/mL is estimated to be 3.06 (95% CI 1.27, 4.40).</w:t>
      </w:r>
    </w:p>
    <w:p w:rsidR="00261CFB" w:rsidRDefault="00261CFB" w:rsidP="00261CFB">
      <w:pPr>
        <w:numPr>
          <w:ilvl w:val="1"/>
          <w:numId w:val="19"/>
        </w:numPr>
        <w:autoSpaceDE w:val="0"/>
        <w:autoSpaceDN w:val="0"/>
        <w:adjustRightInd w:val="0"/>
        <w:spacing w:after="120"/>
        <w:rPr>
          <w:sz w:val="24"/>
          <w:szCs w:val="24"/>
        </w:rPr>
      </w:pPr>
      <w:r>
        <w:rPr>
          <w:sz w:val="24"/>
          <w:szCs w:val="24"/>
        </w:rPr>
        <w:t xml:space="preserve">Perform an adjusted logistic regression comparing the odds of relapse within 24 months across groups defined by the nadir PSA level when modeled as linear splines with knots at 1, 4, and 16 ng/ml. </w:t>
      </w:r>
    </w:p>
    <w:p w:rsidR="005359FA" w:rsidRDefault="00045614" w:rsidP="00045614">
      <w:pPr>
        <w:tabs>
          <w:tab w:val="left" w:pos="1440"/>
        </w:tabs>
        <w:autoSpaceDE w:val="0"/>
        <w:autoSpaceDN w:val="0"/>
        <w:adjustRightInd w:val="0"/>
        <w:spacing w:after="120"/>
        <w:ind w:left="1440"/>
        <w:rPr>
          <w:sz w:val="24"/>
          <w:szCs w:val="24"/>
        </w:rPr>
      </w:pPr>
      <w:r>
        <w:rPr>
          <w:sz w:val="24"/>
          <w:szCs w:val="24"/>
        </w:rPr>
        <w:t>After adjusting for performance status and bone scan score, the odds ratio for relapse among patients with a nadir PSA level of 0 ng/mL is estimated to be 0.51 (95% CI 0.00, 2081).</w:t>
      </w:r>
      <w:r w:rsidR="00656321">
        <w:rPr>
          <w:sz w:val="24"/>
          <w:szCs w:val="24"/>
        </w:rPr>
        <w:t xml:space="preserve"> Again, no one in this dataset had a nadir PSA of 0 ng/mL, thus we should be reluctant to extrapolate these results to a group of patients with such a nadir PSA value.</w:t>
      </w:r>
    </w:p>
    <w:p w:rsidR="001E5158" w:rsidRDefault="001E5158" w:rsidP="001E5158">
      <w:pPr>
        <w:numPr>
          <w:ilvl w:val="0"/>
          <w:numId w:val="19"/>
        </w:numPr>
        <w:autoSpaceDE w:val="0"/>
        <w:autoSpaceDN w:val="0"/>
        <w:adjustRightInd w:val="0"/>
        <w:spacing w:after="120"/>
        <w:rPr>
          <w:sz w:val="24"/>
          <w:szCs w:val="24"/>
        </w:rPr>
      </w:pPr>
      <w:r>
        <w:rPr>
          <w:sz w:val="24"/>
          <w:szCs w:val="24"/>
        </w:rPr>
        <w:t>In this longitudinal study, we could instead have considered the “reverse” analyses in which nadir PSA is used as the response and the predictor is the indicator of relapse within 24 months.</w:t>
      </w:r>
    </w:p>
    <w:p w:rsidR="00656321" w:rsidRDefault="001E5158" w:rsidP="001E5158">
      <w:pPr>
        <w:numPr>
          <w:ilvl w:val="1"/>
          <w:numId w:val="19"/>
        </w:numPr>
        <w:autoSpaceDE w:val="0"/>
        <w:autoSpaceDN w:val="0"/>
        <w:adjustRightInd w:val="0"/>
        <w:spacing w:after="120"/>
        <w:rPr>
          <w:sz w:val="24"/>
          <w:szCs w:val="24"/>
        </w:rPr>
      </w:pPr>
      <w:r w:rsidRPr="00A3120A">
        <w:rPr>
          <w:sz w:val="24"/>
          <w:szCs w:val="24"/>
        </w:rPr>
        <w:t xml:space="preserve">Perform </w:t>
      </w:r>
      <w:r>
        <w:rPr>
          <w:sz w:val="24"/>
          <w:szCs w:val="24"/>
        </w:rPr>
        <w:t>linear regression analyses to determine whether there is an association between mean nadir PSA level and relapse within 24 months after adjustment for bone scan score and performance status. Make clear the statistical analysis you perform. Provide full statistical inference f</w:t>
      </w:r>
      <w:r w:rsidR="00656321">
        <w:rPr>
          <w:sz w:val="24"/>
          <w:szCs w:val="24"/>
        </w:rPr>
        <w:t>or your measure of association.</w:t>
      </w:r>
    </w:p>
    <w:p w:rsidR="001E5158" w:rsidRPr="00A3120A" w:rsidRDefault="00656321" w:rsidP="00656321">
      <w:pPr>
        <w:autoSpaceDE w:val="0"/>
        <w:autoSpaceDN w:val="0"/>
        <w:adjustRightInd w:val="0"/>
        <w:spacing w:after="120"/>
        <w:ind w:left="1440"/>
        <w:rPr>
          <w:sz w:val="24"/>
          <w:szCs w:val="24"/>
        </w:rPr>
      </w:pPr>
      <w:commentRangeStart w:id="4"/>
      <w:r>
        <w:rPr>
          <w:sz w:val="24"/>
          <w:szCs w:val="24"/>
        </w:rPr>
        <w:t>Using</w:t>
      </w:r>
      <w:commentRangeEnd w:id="4"/>
      <w:r w:rsidR="00854C98">
        <w:rPr>
          <w:rStyle w:val="CommentReference"/>
        </w:rPr>
        <w:commentReference w:id="4"/>
      </w:r>
      <w:r>
        <w:rPr>
          <w:sz w:val="24"/>
          <w:szCs w:val="24"/>
        </w:rPr>
        <w:t xml:space="preserve"> multivariable robust linear regression, after adjusting for performance status and bone scan score, the average nadir PSA value is estimated to differ between those who do and do not relapse at 24 months by 23.5 ng/mL, with higher values among those who relapse. This result is significantly different from 0 (p=0.046)</w:t>
      </w:r>
      <w:r w:rsidR="005C08F5">
        <w:rPr>
          <w:sz w:val="24"/>
          <w:szCs w:val="24"/>
        </w:rPr>
        <w:t>, with a 95% CI suggesting that such observed results would not be unusual if the true difference in mean nadir PSA value between remission groups were anywhere between 0.48 and  46.56 ng/mL. We thus reject the null hypothesis that mean nadir PSA does not differ across remission groups, in favor of a hypothesis that mean nadir PSA tends to be higher among those who relapse.</w:t>
      </w:r>
    </w:p>
    <w:p w:rsidR="001E5158" w:rsidRDefault="001E5158" w:rsidP="001E5158">
      <w:pPr>
        <w:numPr>
          <w:ilvl w:val="1"/>
          <w:numId w:val="19"/>
        </w:numPr>
        <w:autoSpaceDE w:val="0"/>
        <w:autoSpaceDN w:val="0"/>
        <w:adjustRightInd w:val="0"/>
        <w:spacing w:after="120"/>
        <w:rPr>
          <w:sz w:val="24"/>
          <w:szCs w:val="24"/>
        </w:rPr>
      </w:pPr>
      <w:r w:rsidRPr="00A3120A">
        <w:rPr>
          <w:sz w:val="24"/>
          <w:szCs w:val="24"/>
        </w:rPr>
        <w:t xml:space="preserve">Perform </w:t>
      </w:r>
      <w:r>
        <w:rPr>
          <w:sz w:val="24"/>
          <w:szCs w:val="24"/>
        </w:rPr>
        <w:t>linear regression analyses to determine whether there is an association between geometric mean nadir PSA level and relapse within 24 months after adjustment for bone scan score and performance status. Make clear the statistical analysis you perform. Provide full statistical inference for your measure of association. (Recall that inference on the geometric mean is obtained by performing linear regression on log transformed response variables.)</w:t>
      </w:r>
    </w:p>
    <w:p w:rsidR="005C08F5" w:rsidRPr="00A3120A" w:rsidRDefault="005C08F5" w:rsidP="005C08F5">
      <w:pPr>
        <w:autoSpaceDE w:val="0"/>
        <w:autoSpaceDN w:val="0"/>
        <w:adjustRightInd w:val="0"/>
        <w:spacing w:after="120"/>
        <w:ind w:left="1440"/>
        <w:rPr>
          <w:sz w:val="24"/>
          <w:szCs w:val="24"/>
        </w:rPr>
      </w:pPr>
      <w:r>
        <w:rPr>
          <w:sz w:val="24"/>
          <w:szCs w:val="24"/>
        </w:rPr>
        <w:t xml:space="preserve">Using multivariable robust linear regression, after adjusting for performance status and bone scan score, the geometric mean nadir PSA value is estimated to differ between those who do and do not relapse at 24 months by </w:t>
      </w:r>
      <w:r w:rsidR="00E051C9">
        <w:rPr>
          <w:sz w:val="24"/>
          <w:szCs w:val="24"/>
        </w:rPr>
        <w:t>13.66</w:t>
      </w:r>
      <w:r>
        <w:rPr>
          <w:sz w:val="24"/>
          <w:szCs w:val="24"/>
        </w:rPr>
        <w:t xml:space="preserve"> ng/mL, with higher values among those who relapse. This result is significantly different from 0 (p&lt;0.001), with a 95% CI suggesting that such observed results would not be unusual if the true difference in geometric mean nadir PSA value between remission groups were anywhere between </w:t>
      </w:r>
      <w:r w:rsidR="00E051C9">
        <w:rPr>
          <w:sz w:val="24"/>
          <w:szCs w:val="24"/>
        </w:rPr>
        <w:t>4.13</w:t>
      </w:r>
      <w:r>
        <w:rPr>
          <w:sz w:val="24"/>
          <w:szCs w:val="24"/>
        </w:rPr>
        <w:t xml:space="preserve"> and </w:t>
      </w:r>
      <w:r w:rsidR="00E051C9">
        <w:rPr>
          <w:sz w:val="24"/>
          <w:szCs w:val="24"/>
        </w:rPr>
        <w:t xml:space="preserve">45.16 </w:t>
      </w:r>
      <w:r>
        <w:rPr>
          <w:sz w:val="24"/>
          <w:szCs w:val="24"/>
        </w:rPr>
        <w:t>ng/mL. We thus reject the null hypothesis that geometric mean nadir PSA does not differ across remission groups, in favor of a hypothesis that geometric mean nadir PSA tends to be higher among those who relapse.</w:t>
      </w:r>
    </w:p>
    <w:p w:rsidR="00261CFB" w:rsidRDefault="00261CFB" w:rsidP="001E5158">
      <w:pPr>
        <w:numPr>
          <w:ilvl w:val="0"/>
          <w:numId w:val="19"/>
        </w:numPr>
        <w:autoSpaceDE w:val="0"/>
        <w:autoSpaceDN w:val="0"/>
        <w:adjustRightInd w:val="0"/>
        <w:spacing w:after="120"/>
        <w:rPr>
          <w:sz w:val="24"/>
          <w:szCs w:val="24"/>
        </w:rPr>
      </w:pPr>
      <w:r>
        <w:rPr>
          <w:sz w:val="24"/>
          <w:szCs w:val="24"/>
        </w:rPr>
        <w:t xml:space="preserve">Consider the </w:t>
      </w:r>
      <w:r w:rsidR="00DD6B80">
        <w:rPr>
          <w:sz w:val="24"/>
          <w:szCs w:val="24"/>
        </w:rPr>
        <w:t xml:space="preserve">analyses performed in problems 2 </w:t>
      </w:r>
      <w:r w:rsidR="001E5158">
        <w:rPr>
          <w:sz w:val="24"/>
          <w:szCs w:val="24"/>
        </w:rPr>
        <w:t>and 3</w:t>
      </w:r>
      <w:r>
        <w:rPr>
          <w:sz w:val="24"/>
          <w:szCs w:val="24"/>
        </w:rPr>
        <w:t xml:space="preserve"> </w:t>
      </w:r>
      <w:commentRangeStart w:id="5"/>
      <w:r>
        <w:rPr>
          <w:sz w:val="24"/>
          <w:szCs w:val="24"/>
        </w:rPr>
        <w:t>above</w:t>
      </w:r>
      <w:commentRangeEnd w:id="5"/>
      <w:r w:rsidR="002B6204">
        <w:rPr>
          <w:rStyle w:val="CommentReference"/>
        </w:rPr>
        <w:commentReference w:id="5"/>
      </w:r>
      <w:r>
        <w:rPr>
          <w:sz w:val="24"/>
          <w:szCs w:val="24"/>
        </w:rPr>
        <w:t>.</w:t>
      </w:r>
    </w:p>
    <w:p w:rsidR="00261CFB" w:rsidRDefault="00261CFB" w:rsidP="00DD6B80">
      <w:pPr>
        <w:numPr>
          <w:ilvl w:val="1"/>
          <w:numId w:val="19"/>
        </w:numPr>
        <w:autoSpaceDE w:val="0"/>
        <w:autoSpaceDN w:val="0"/>
        <w:adjustRightInd w:val="0"/>
        <w:spacing w:after="120"/>
        <w:rPr>
          <w:sz w:val="24"/>
          <w:szCs w:val="24"/>
        </w:rPr>
      </w:pPr>
      <w:r>
        <w:rPr>
          <w:sz w:val="24"/>
          <w:szCs w:val="24"/>
        </w:rPr>
        <w:t xml:space="preserve">What are the relative merits of the </w:t>
      </w:r>
      <w:r w:rsidR="00DD6B80">
        <w:rPr>
          <w:sz w:val="24"/>
          <w:szCs w:val="24"/>
        </w:rPr>
        <w:t>five</w:t>
      </w:r>
      <w:r>
        <w:rPr>
          <w:sz w:val="24"/>
          <w:szCs w:val="24"/>
        </w:rPr>
        <w:t xml:space="preserve"> </w:t>
      </w:r>
      <w:r w:rsidR="005C08F5">
        <w:rPr>
          <w:sz w:val="24"/>
          <w:szCs w:val="24"/>
        </w:rPr>
        <w:t>analyses?</w:t>
      </w:r>
      <w:r>
        <w:rPr>
          <w:sz w:val="24"/>
          <w:szCs w:val="24"/>
        </w:rPr>
        <w:t xml:space="preserve"> Which might you prefer </w:t>
      </w:r>
      <w:r>
        <w:rPr>
          <w:i/>
          <w:sz w:val="24"/>
          <w:szCs w:val="24"/>
        </w:rPr>
        <w:t>a priori</w:t>
      </w:r>
      <w:r>
        <w:rPr>
          <w:sz w:val="24"/>
          <w:szCs w:val="24"/>
        </w:rPr>
        <w:t>? Why?</w:t>
      </w:r>
    </w:p>
    <w:p w:rsidR="006077A0" w:rsidRDefault="00701645" w:rsidP="005C08F5">
      <w:pPr>
        <w:autoSpaceDE w:val="0"/>
        <w:autoSpaceDN w:val="0"/>
        <w:adjustRightInd w:val="0"/>
        <w:spacing w:after="120"/>
        <w:ind w:left="1440"/>
        <w:rPr>
          <w:sz w:val="24"/>
          <w:szCs w:val="24"/>
        </w:rPr>
      </w:pPr>
      <w:r>
        <w:rPr>
          <w:sz w:val="24"/>
          <w:szCs w:val="24"/>
        </w:rPr>
        <w:t>Five analyses (all adjusted for performance status and bone scan score): 1) logistic regression with relapse in 24 months as the outcome, nadir PSA as the predictor modeled as a continuous, untransformed variable; 2) logistic regression with relapse in 24 months as the outcome, nadir PSA as the predictor modeled as a continuous, log-transformed variable; 3) logistic regression with relapse in 24 months as the outcome, nadir PSA modeled as linear splines; 4) linear regression with nadir PSA as the outcome and relapse in 24 months as the predictor of interest</w:t>
      </w:r>
      <w:r w:rsidR="006077A0">
        <w:rPr>
          <w:sz w:val="24"/>
          <w:szCs w:val="24"/>
        </w:rPr>
        <w:t>; and 5) linear regression with log nadir PSA as the outcome and relapse in 24 months the predictor of interest.</w:t>
      </w:r>
    </w:p>
    <w:p w:rsidR="006077A0" w:rsidRDefault="006077A0" w:rsidP="005C08F5">
      <w:pPr>
        <w:autoSpaceDE w:val="0"/>
        <w:autoSpaceDN w:val="0"/>
        <w:adjustRightInd w:val="0"/>
        <w:spacing w:after="120"/>
        <w:ind w:left="1440"/>
        <w:rPr>
          <w:sz w:val="24"/>
          <w:szCs w:val="24"/>
        </w:rPr>
      </w:pPr>
      <w:r>
        <w:rPr>
          <w:sz w:val="24"/>
          <w:szCs w:val="24"/>
        </w:rPr>
        <w:t>Analysis 1 - if the truth is a straight-line</w:t>
      </w:r>
      <w:r w:rsidR="00365B01">
        <w:rPr>
          <w:sz w:val="24"/>
          <w:szCs w:val="24"/>
        </w:rPr>
        <w:t xml:space="preserve"> </w:t>
      </w:r>
      <w:r>
        <w:rPr>
          <w:sz w:val="24"/>
          <w:szCs w:val="24"/>
        </w:rPr>
        <w:t>relationship, this model would be an accurate and efficient way to detect associations.</w:t>
      </w:r>
    </w:p>
    <w:p w:rsidR="006077A0" w:rsidRDefault="006077A0" w:rsidP="005C08F5">
      <w:pPr>
        <w:autoSpaceDE w:val="0"/>
        <w:autoSpaceDN w:val="0"/>
        <w:adjustRightInd w:val="0"/>
        <w:spacing w:after="120"/>
        <w:ind w:left="1440"/>
        <w:rPr>
          <w:sz w:val="24"/>
          <w:szCs w:val="24"/>
        </w:rPr>
      </w:pPr>
      <w:r>
        <w:rPr>
          <w:sz w:val="24"/>
          <w:szCs w:val="24"/>
        </w:rPr>
        <w:t xml:space="preserve">Analysis 2 – log transformation of nadir PSA </w:t>
      </w:r>
      <w:r w:rsidR="00365B01">
        <w:rPr>
          <w:sz w:val="24"/>
          <w:szCs w:val="24"/>
        </w:rPr>
        <w:t xml:space="preserve">may allow </w:t>
      </w:r>
      <w:r>
        <w:rPr>
          <w:sz w:val="24"/>
          <w:szCs w:val="24"/>
        </w:rPr>
        <w:t>a more nor</w:t>
      </w:r>
      <w:r w:rsidR="00365B01">
        <w:rPr>
          <w:sz w:val="24"/>
          <w:szCs w:val="24"/>
        </w:rPr>
        <w:t>mal distribution of PSA values.</w:t>
      </w:r>
    </w:p>
    <w:p w:rsidR="00365B01" w:rsidRDefault="00365B01" w:rsidP="005C08F5">
      <w:pPr>
        <w:autoSpaceDE w:val="0"/>
        <w:autoSpaceDN w:val="0"/>
        <w:adjustRightInd w:val="0"/>
        <w:spacing w:after="120"/>
        <w:ind w:left="1440"/>
        <w:rPr>
          <w:sz w:val="24"/>
          <w:szCs w:val="24"/>
        </w:rPr>
      </w:pPr>
      <w:r>
        <w:rPr>
          <w:sz w:val="24"/>
          <w:szCs w:val="24"/>
        </w:rPr>
        <w:t>Analysis 3 – the utilization of linear splines may enhance our ability to detect a non-linear trend, if present.</w:t>
      </w:r>
    </w:p>
    <w:p w:rsidR="00365B01" w:rsidRDefault="00365B01" w:rsidP="005C08F5">
      <w:pPr>
        <w:autoSpaceDE w:val="0"/>
        <w:autoSpaceDN w:val="0"/>
        <w:adjustRightInd w:val="0"/>
        <w:spacing w:after="120"/>
        <w:ind w:left="1440"/>
        <w:rPr>
          <w:sz w:val="24"/>
          <w:szCs w:val="24"/>
        </w:rPr>
      </w:pPr>
      <w:r>
        <w:rPr>
          <w:sz w:val="24"/>
          <w:szCs w:val="24"/>
        </w:rPr>
        <w:t>For 4 &amp; 5, tests using linear regression may be more robust than logistic regression with a sample size &lt; 50.</w:t>
      </w:r>
    </w:p>
    <w:p w:rsidR="00365B01" w:rsidRDefault="00365B01" w:rsidP="005C08F5">
      <w:pPr>
        <w:autoSpaceDE w:val="0"/>
        <w:autoSpaceDN w:val="0"/>
        <w:adjustRightInd w:val="0"/>
        <w:spacing w:after="120"/>
        <w:ind w:left="1440"/>
        <w:rPr>
          <w:sz w:val="24"/>
          <w:szCs w:val="24"/>
        </w:rPr>
      </w:pPr>
      <w:r>
        <w:rPr>
          <w:sz w:val="24"/>
          <w:szCs w:val="24"/>
        </w:rPr>
        <w:t>Analysis 4 – if the truth is a straight-line relationship, this model would be an accurate and efficient way to detect associations.</w:t>
      </w:r>
    </w:p>
    <w:p w:rsidR="00365B01" w:rsidRDefault="00365B01" w:rsidP="005C08F5">
      <w:pPr>
        <w:autoSpaceDE w:val="0"/>
        <w:autoSpaceDN w:val="0"/>
        <w:adjustRightInd w:val="0"/>
        <w:spacing w:after="120"/>
        <w:ind w:left="1440"/>
        <w:rPr>
          <w:sz w:val="24"/>
          <w:szCs w:val="24"/>
        </w:rPr>
      </w:pPr>
      <w:r>
        <w:rPr>
          <w:sz w:val="24"/>
          <w:szCs w:val="24"/>
        </w:rPr>
        <w:t xml:space="preserve">Analysis 5 – </w:t>
      </w:r>
      <w:r w:rsidR="007A3482">
        <w:rPr>
          <w:sz w:val="24"/>
          <w:szCs w:val="24"/>
        </w:rPr>
        <w:t>log transformation of nadir PSA may allow a more normal distribution of PSA values and assist in detection of trends.</w:t>
      </w:r>
    </w:p>
    <w:p w:rsidR="007A3482" w:rsidRDefault="007A3482" w:rsidP="005C08F5">
      <w:pPr>
        <w:autoSpaceDE w:val="0"/>
        <w:autoSpaceDN w:val="0"/>
        <w:adjustRightInd w:val="0"/>
        <w:spacing w:after="120"/>
        <w:ind w:left="1440"/>
        <w:rPr>
          <w:sz w:val="24"/>
          <w:szCs w:val="24"/>
        </w:rPr>
      </w:pPr>
      <w:r>
        <w:rPr>
          <w:sz w:val="24"/>
          <w:szCs w:val="24"/>
        </w:rPr>
        <w:t xml:space="preserve">The analyses using nadir PSA do not make conceptual sense to me. How can </w:t>
      </w:r>
      <w:r w:rsidR="00801FE7">
        <w:rPr>
          <w:sz w:val="24"/>
          <w:szCs w:val="24"/>
        </w:rPr>
        <w:t xml:space="preserve">24-month </w:t>
      </w:r>
      <w:r>
        <w:rPr>
          <w:sz w:val="24"/>
          <w:szCs w:val="24"/>
        </w:rPr>
        <w:t>remission status serve as a predictor when it</w:t>
      </w:r>
      <w:r w:rsidR="00801FE7">
        <w:rPr>
          <w:sz w:val="24"/>
          <w:szCs w:val="24"/>
        </w:rPr>
        <w:t xml:space="preserve"> is likely to </w:t>
      </w:r>
      <w:r>
        <w:rPr>
          <w:sz w:val="24"/>
          <w:szCs w:val="24"/>
        </w:rPr>
        <w:t>follow the outcome of interest (nadir PSA)?</w:t>
      </w:r>
    </w:p>
    <w:p w:rsidR="00B42FB5" w:rsidRDefault="00801FE7" w:rsidP="00B42FB5">
      <w:pPr>
        <w:autoSpaceDE w:val="0"/>
        <w:autoSpaceDN w:val="0"/>
        <w:adjustRightInd w:val="0"/>
        <w:spacing w:after="120"/>
        <w:ind w:left="1440"/>
        <w:rPr>
          <w:sz w:val="24"/>
          <w:szCs w:val="24"/>
        </w:rPr>
      </w:pPr>
      <w:r>
        <w:rPr>
          <w:sz w:val="24"/>
          <w:szCs w:val="24"/>
        </w:rPr>
        <w:t>In terms of the models using remission status at 24 months as the outcome of interest, I prefer the model using the log transformed value for nadir PSA, as this smoothes the distribution of this variable. The model with the linear splines I find difficult to interpret and am unsure about the rationale behind choosing those particular values as the knots.</w:t>
      </w:r>
      <w:r w:rsidR="00B42FB5" w:rsidRPr="00B42FB5">
        <w:rPr>
          <w:sz w:val="24"/>
          <w:szCs w:val="24"/>
        </w:rPr>
        <w:t xml:space="preserve"> </w:t>
      </w:r>
    </w:p>
    <w:p w:rsidR="007A3482" w:rsidRDefault="00B42FB5" w:rsidP="005C08F5">
      <w:pPr>
        <w:autoSpaceDE w:val="0"/>
        <w:autoSpaceDN w:val="0"/>
        <w:adjustRightInd w:val="0"/>
        <w:spacing w:after="120"/>
        <w:ind w:left="1440"/>
        <w:rPr>
          <w:sz w:val="24"/>
          <w:szCs w:val="24"/>
        </w:rPr>
      </w:pPr>
      <w:r>
        <w:rPr>
          <w:sz w:val="24"/>
          <w:szCs w:val="24"/>
        </w:rPr>
        <w:t>There are patients in this study with varying times to follow-up and some patients who relapse before and some after 24 months. There will be patients who reach 24 months “in remission” but who relapse months later. The events that will happen sometime in the future beyond the minimum follow-up time are thus censored. Time to event analysis using the censored time to remission and the log nadir PSA as the predictor of interest might provide a better assessment of these data.</w:t>
      </w:r>
    </w:p>
    <w:p w:rsidR="00A51C3C" w:rsidRDefault="00261CFB" w:rsidP="00A51C3C">
      <w:pPr>
        <w:numPr>
          <w:ilvl w:val="1"/>
          <w:numId w:val="19"/>
        </w:numPr>
        <w:autoSpaceDE w:val="0"/>
        <w:autoSpaceDN w:val="0"/>
        <w:adjustRightInd w:val="0"/>
        <w:spacing w:after="120"/>
        <w:rPr>
          <w:sz w:val="24"/>
          <w:szCs w:val="24"/>
        </w:rPr>
      </w:pPr>
      <w:r>
        <w:rPr>
          <w:sz w:val="24"/>
          <w:szCs w:val="24"/>
        </w:rPr>
        <w:t>All of these analyses suffer from a serious definitional problem inherent in this study. Can you deduce this problem? (Hint: There is no analysis that you can do to address this problem. It is a problem with the study design.)</w:t>
      </w:r>
    </w:p>
    <w:p w:rsidR="00A51C3C" w:rsidRPr="00A51C3C" w:rsidRDefault="00A51C3C" w:rsidP="00A51C3C">
      <w:pPr>
        <w:autoSpaceDE w:val="0"/>
        <w:autoSpaceDN w:val="0"/>
        <w:adjustRightInd w:val="0"/>
        <w:spacing w:after="120"/>
        <w:ind w:left="1440"/>
        <w:rPr>
          <w:sz w:val="24"/>
          <w:szCs w:val="24"/>
        </w:rPr>
      </w:pPr>
      <w:r>
        <w:rPr>
          <w:sz w:val="24"/>
          <w:szCs w:val="24"/>
        </w:rPr>
        <w:t>How was “in remission” defined? Some of these patients had high bone scan scores (3) and were documented as in remission. If you don’t have a consistent way to define your outcome it would seem hard to offer much in the way of prediction.</w:t>
      </w:r>
    </w:p>
    <w:p w:rsidR="000817A7" w:rsidRPr="0036127B" w:rsidRDefault="000817A7" w:rsidP="00261CFB">
      <w:pPr>
        <w:pStyle w:val="PlainText"/>
      </w:pPr>
    </w:p>
    <w:sectPr w:rsidR="000817A7" w:rsidRPr="0036127B" w:rsidSect="001E515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0D6654" w:rsidRDefault="000D6654">
      <w:pPr>
        <w:pStyle w:val="CommentText"/>
      </w:pPr>
      <w:r>
        <w:rPr>
          <w:rStyle w:val="CommentReference"/>
        </w:rPr>
        <w:annotationRef/>
      </w:r>
      <w:r>
        <w:t>Total</w:t>
      </w:r>
      <w:r w:rsidR="002B6204">
        <w:t xml:space="preserve"> 32/50</w:t>
      </w:r>
      <w:bookmarkStart w:id="1" w:name="_GoBack"/>
      <w:bookmarkEnd w:id="1"/>
    </w:p>
  </w:comment>
  <w:comment w:id="2" w:author="Author" w:initials="A">
    <w:p w:rsidR="000D6654" w:rsidRDefault="000D6654">
      <w:pPr>
        <w:pStyle w:val="CommentText"/>
      </w:pPr>
      <w:r>
        <w:rPr>
          <w:rStyle w:val="CommentReference"/>
        </w:rPr>
        <w:annotationRef/>
      </w:r>
      <w:r>
        <w:t>5/5</w:t>
      </w:r>
    </w:p>
  </w:comment>
  <w:comment w:id="3" w:author="Author" w:initials="A">
    <w:p w:rsidR="000D6654" w:rsidRDefault="000D6654">
      <w:pPr>
        <w:pStyle w:val="CommentText"/>
      </w:pPr>
      <w:r>
        <w:rPr>
          <w:rStyle w:val="CommentReference"/>
        </w:rPr>
        <w:annotationRef/>
      </w:r>
      <w:r>
        <w:t>2/5</w:t>
      </w:r>
    </w:p>
    <w:p w:rsidR="000D6654" w:rsidRDefault="000D6654">
      <w:pPr>
        <w:pStyle w:val="CommentText"/>
      </w:pPr>
      <w:r>
        <w:t>2/5</w:t>
      </w:r>
    </w:p>
    <w:p w:rsidR="000D6654" w:rsidRDefault="000D6654">
      <w:pPr>
        <w:pStyle w:val="CommentText"/>
      </w:pPr>
      <w:r>
        <w:t>2/5</w:t>
      </w:r>
    </w:p>
    <w:p w:rsidR="000D6654" w:rsidRDefault="000D6654">
      <w:pPr>
        <w:pStyle w:val="CommentText"/>
      </w:pPr>
      <w:r>
        <w:t>0/5</w:t>
      </w:r>
    </w:p>
    <w:p w:rsidR="000D6654" w:rsidRDefault="000D6654">
      <w:pPr>
        <w:pStyle w:val="CommentText"/>
      </w:pPr>
      <w:r>
        <w:t>=6/20</w:t>
      </w:r>
    </w:p>
  </w:comment>
  <w:comment w:id="4" w:author="Author" w:initials="A">
    <w:p w:rsidR="00854C98" w:rsidRDefault="00854C98">
      <w:pPr>
        <w:pStyle w:val="CommentText"/>
      </w:pPr>
      <w:r>
        <w:rPr>
          <w:rStyle w:val="CommentReference"/>
        </w:rPr>
        <w:annotationRef/>
      </w:r>
      <w:r>
        <w:t>5/5</w:t>
      </w:r>
    </w:p>
    <w:p w:rsidR="00854C98" w:rsidRDefault="00854C98">
      <w:pPr>
        <w:pStyle w:val="CommentText"/>
      </w:pPr>
      <w:r>
        <w:t>5/5</w:t>
      </w:r>
    </w:p>
    <w:p w:rsidR="00854C98" w:rsidRDefault="00854C98">
      <w:pPr>
        <w:pStyle w:val="CommentText"/>
      </w:pPr>
      <w:r>
        <w:t>=10/10</w:t>
      </w:r>
    </w:p>
  </w:comment>
  <w:comment w:id="5" w:author="Author" w:initials="A">
    <w:p w:rsidR="002B6204" w:rsidRDefault="002B6204">
      <w:pPr>
        <w:pStyle w:val="CommentText"/>
      </w:pPr>
      <w:r>
        <w:rPr>
          <w:rStyle w:val="CommentReference"/>
        </w:rPr>
        <w:annotationRef/>
      </w:r>
      <w:r>
        <w:t>7/10</w:t>
      </w:r>
    </w:p>
    <w:p w:rsidR="002B6204" w:rsidRDefault="002B6204">
      <w:pPr>
        <w:pStyle w:val="CommentText"/>
      </w:pPr>
      <w:r>
        <w:t>4/5</w:t>
      </w:r>
    </w:p>
    <w:p w:rsidR="002B6204" w:rsidRDefault="002B6204">
      <w:pPr>
        <w:pStyle w:val="CommentText"/>
      </w:pPr>
      <w:r>
        <w:t>=11/15</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D3C" w:rsidRDefault="00EB0D3C">
      <w:r>
        <w:separator/>
      </w:r>
    </w:p>
  </w:endnote>
  <w:endnote w:type="continuationSeparator" w:id="0">
    <w:p w:rsidR="00EB0D3C" w:rsidRDefault="00EB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206" w:rsidRDefault="00C052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206" w:rsidRDefault="00C052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206" w:rsidRDefault="00C052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D3C" w:rsidRDefault="00EB0D3C">
      <w:r>
        <w:separator/>
      </w:r>
    </w:p>
  </w:footnote>
  <w:footnote w:type="continuationSeparator" w:id="0">
    <w:p w:rsidR="00EB0D3C" w:rsidRDefault="00EB0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206" w:rsidRDefault="00C052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7" w:rsidRDefault="00801FE7" w:rsidP="00F15D49">
    <w:pPr>
      <w:pStyle w:val="Header"/>
    </w:pPr>
    <w:r>
      <w:t>Biost 536, Fall 2013</w:t>
    </w:r>
    <w:r>
      <w:tab/>
      <w:t>Homework #3</w:t>
    </w:r>
    <w:r>
      <w:tab/>
      <w:t xml:space="preserve">November 21,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EB0D3C">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EB0D3C">
      <w:rPr>
        <w:noProof/>
        <w:snapToGrid w:val="0"/>
      </w:rPr>
      <w:t>1</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206" w:rsidRDefault="00C052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0B89"/>
    <w:rsid w:val="00004547"/>
    <w:rsid w:val="000263C2"/>
    <w:rsid w:val="00045614"/>
    <w:rsid w:val="00054A42"/>
    <w:rsid w:val="00060C13"/>
    <w:rsid w:val="000817A7"/>
    <w:rsid w:val="000A3E09"/>
    <w:rsid w:val="000D6654"/>
    <w:rsid w:val="000F52B6"/>
    <w:rsid w:val="0010428A"/>
    <w:rsid w:val="00132AEC"/>
    <w:rsid w:val="00140EC9"/>
    <w:rsid w:val="00145061"/>
    <w:rsid w:val="00160820"/>
    <w:rsid w:val="00195B2D"/>
    <w:rsid w:val="001D2DC2"/>
    <w:rsid w:val="001E36FF"/>
    <w:rsid w:val="001E5158"/>
    <w:rsid w:val="00202909"/>
    <w:rsid w:val="0021517E"/>
    <w:rsid w:val="002213A5"/>
    <w:rsid w:val="0024368C"/>
    <w:rsid w:val="00261CFB"/>
    <w:rsid w:val="002B6204"/>
    <w:rsid w:val="002D5B86"/>
    <w:rsid w:val="003471E3"/>
    <w:rsid w:val="00353B06"/>
    <w:rsid w:val="0036127B"/>
    <w:rsid w:val="00365B01"/>
    <w:rsid w:val="00385CD1"/>
    <w:rsid w:val="003A6D85"/>
    <w:rsid w:val="00410B89"/>
    <w:rsid w:val="00415759"/>
    <w:rsid w:val="0042294F"/>
    <w:rsid w:val="00422D91"/>
    <w:rsid w:val="00443606"/>
    <w:rsid w:val="004514C0"/>
    <w:rsid w:val="00452963"/>
    <w:rsid w:val="004664FD"/>
    <w:rsid w:val="004D1289"/>
    <w:rsid w:val="004D1292"/>
    <w:rsid w:val="00501EC4"/>
    <w:rsid w:val="00510B41"/>
    <w:rsid w:val="00511C56"/>
    <w:rsid w:val="00523AA4"/>
    <w:rsid w:val="005359FA"/>
    <w:rsid w:val="00567523"/>
    <w:rsid w:val="00586C10"/>
    <w:rsid w:val="005B14E3"/>
    <w:rsid w:val="005C08F5"/>
    <w:rsid w:val="005C35DF"/>
    <w:rsid w:val="005C5726"/>
    <w:rsid w:val="005D7E06"/>
    <w:rsid w:val="005E10EC"/>
    <w:rsid w:val="005E415C"/>
    <w:rsid w:val="006077A0"/>
    <w:rsid w:val="006138F9"/>
    <w:rsid w:val="006152BE"/>
    <w:rsid w:val="0062265F"/>
    <w:rsid w:val="006268D1"/>
    <w:rsid w:val="006336A9"/>
    <w:rsid w:val="0063762C"/>
    <w:rsid w:val="006508C5"/>
    <w:rsid w:val="00654208"/>
    <w:rsid w:val="00656321"/>
    <w:rsid w:val="00673A26"/>
    <w:rsid w:val="00676B73"/>
    <w:rsid w:val="006B1E11"/>
    <w:rsid w:val="006C49EE"/>
    <w:rsid w:val="006E16C5"/>
    <w:rsid w:val="006E5205"/>
    <w:rsid w:val="00701645"/>
    <w:rsid w:val="007356DE"/>
    <w:rsid w:val="007366CC"/>
    <w:rsid w:val="00741AE1"/>
    <w:rsid w:val="00751474"/>
    <w:rsid w:val="00767D4A"/>
    <w:rsid w:val="00785A87"/>
    <w:rsid w:val="007A3482"/>
    <w:rsid w:val="007B4E60"/>
    <w:rsid w:val="00801FE7"/>
    <w:rsid w:val="00836540"/>
    <w:rsid w:val="00854C98"/>
    <w:rsid w:val="0087636D"/>
    <w:rsid w:val="008A45D9"/>
    <w:rsid w:val="008F73A3"/>
    <w:rsid w:val="00905BC9"/>
    <w:rsid w:val="00905E82"/>
    <w:rsid w:val="00915FA3"/>
    <w:rsid w:val="0094708F"/>
    <w:rsid w:val="009B2370"/>
    <w:rsid w:val="009C542B"/>
    <w:rsid w:val="009E1547"/>
    <w:rsid w:val="009F413F"/>
    <w:rsid w:val="00A0233D"/>
    <w:rsid w:val="00A05CD5"/>
    <w:rsid w:val="00A31D8C"/>
    <w:rsid w:val="00A4205F"/>
    <w:rsid w:val="00A51C3C"/>
    <w:rsid w:val="00AD29C0"/>
    <w:rsid w:val="00B04F23"/>
    <w:rsid w:val="00B12B84"/>
    <w:rsid w:val="00B15F79"/>
    <w:rsid w:val="00B17CB5"/>
    <w:rsid w:val="00B212A5"/>
    <w:rsid w:val="00B42FB5"/>
    <w:rsid w:val="00B43F52"/>
    <w:rsid w:val="00B4705C"/>
    <w:rsid w:val="00B70375"/>
    <w:rsid w:val="00B814FA"/>
    <w:rsid w:val="00BD5F83"/>
    <w:rsid w:val="00BF4D7E"/>
    <w:rsid w:val="00C05206"/>
    <w:rsid w:val="00C15CDE"/>
    <w:rsid w:val="00C34EBC"/>
    <w:rsid w:val="00C642DD"/>
    <w:rsid w:val="00C74FEC"/>
    <w:rsid w:val="00C93A29"/>
    <w:rsid w:val="00D16C04"/>
    <w:rsid w:val="00D72BD7"/>
    <w:rsid w:val="00DC01FF"/>
    <w:rsid w:val="00DD6B80"/>
    <w:rsid w:val="00DE3817"/>
    <w:rsid w:val="00E051C9"/>
    <w:rsid w:val="00E642DA"/>
    <w:rsid w:val="00E741C7"/>
    <w:rsid w:val="00E81610"/>
    <w:rsid w:val="00E91856"/>
    <w:rsid w:val="00EB0D3C"/>
    <w:rsid w:val="00ED47B6"/>
    <w:rsid w:val="00F15D49"/>
    <w:rsid w:val="00F507B9"/>
    <w:rsid w:val="00FA2C0B"/>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table" w:styleId="TableGrid">
    <w:name w:val="Table Grid"/>
    <w:basedOn w:val="TableNormal"/>
    <w:rsid w:val="009E1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2">
    <w:name w:val="Table Classic 2"/>
    <w:basedOn w:val="TableNormal"/>
    <w:rsid w:val="00BD5F8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CommentReference">
    <w:name w:val="annotation reference"/>
    <w:rsid w:val="000D6654"/>
    <w:rPr>
      <w:sz w:val="16"/>
      <w:szCs w:val="16"/>
    </w:rPr>
  </w:style>
  <w:style w:type="paragraph" w:styleId="CommentText">
    <w:name w:val="annotation text"/>
    <w:basedOn w:val="Normal"/>
    <w:link w:val="CommentTextChar"/>
    <w:rsid w:val="000D6654"/>
  </w:style>
  <w:style w:type="character" w:customStyle="1" w:styleId="CommentTextChar">
    <w:name w:val="Comment Text Char"/>
    <w:basedOn w:val="DefaultParagraphFont"/>
    <w:link w:val="CommentText"/>
    <w:rsid w:val="000D6654"/>
  </w:style>
  <w:style w:type="paragraph" w:styleId="CommentSubject">
    <w:name w:val="annotation subject"/>
    <w:basedOn w:val="CommentText"/>
    <w:next w:val="CommentText"/>
    <w:link w:val="CommentSubjectChar"/>
    <w:rsid w:val="000D6654"/>
    <w:rPr>
      <w:b/>
      <w:bCs/>
    </w:rPr>
  </w:style>
  <w:style w:type="character" w:customStyle="1" w:styleId="CommentSubjectChar">
    <w:name w:val="Comment Subject Char"/>
    <w:link w:val="CommentSubject"/>
    <w:rsid w:val="000D6654"/>
    <w:rPr>
      <w:b/>
      <w:bCs/>
    </w:rPr>
  </w:style>
  <w:style w:type="paragraph" w:styleId="BalloonText">
    <w:name w:val="Balloon Text"/>
    <w:basedOn w:val="Normal"/>
    <w:link w:val="BalloonTextChar"/>
    <w:rsid w:val="000D6654"/>
    <w:rPr>
      <w:rFonts w:ascii="Tahoma" w:hAnsi="Tahoma" w:cs="Tahoma"/>
      <w:sz w:val="16"/>
      <w:szCs w:val="16"/>
    </w:rPr>
  </w:style>
  <w:style w:type="character" w:customStyle="1" w:styleId="BalloonTextChar">
    <w:name w:val="Balloon Text Char"/>
    <w:link w:val="BalloonText"/>
    <w:rsid w:val="000D66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7597</Characters>
  <Application>Microsoft Office Word</Application>
  <DocSecurity>0</DocSecurity>
  <Lines>63</Lines>
  <Paragraphs>17</Paragraphs>
  <ScaleCrop>false</ScaleCrop>
  <Company/>
  <LinksUpToDate>false</LinksUpToDate>
  <CharactersWithSpaces>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2013-11-26T01:02:00Z</dcterms:created>
  <dcterms:modified xsi:type="dcterms:W3CDTF">2013-12-15T18:12:00Z</dcterms:modified>
</cp:coreProperties>
</file>