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C23" w:rsidRDefault="00C011AA">
      <w:bookmarkStart w:id="0" w:name="_GoBack"/>
      <w:bookmarkEnd w:id="0"/>
      <w:r>
        <w:t>Homework 3</w:t>
      </w:r>
    </w:p>
    <w:p w:rsidR="00956DB3" w:rsidRDefault="00956DB3">
      <w:r>
        <w:t>#3074</w:t>
      </w:r>
    </w:p>
    <w:p w:rsidR="00C011AA" w:rsidRDefault="00C011AA"/>
    <w:p w:rsidR="001C45E4" w:rsidRDefault="001C45E4" w:rsidP="001C45E4"/>
    <w:tbl>
      <w:tblPr>
        <w:tblStyle w:val="TableGrid"/>
        <w:tblpPr w:leftFromText="180" w:rightFromText="180" w:vertAnchor="page" w:horzAnchor="margin" w:tblpX="-280" w:tblpY="1681"/>
        <w:tblW w:w="11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540"/>
        <w:gridCol w:w="1012"/>
        <w:gridCol w:w="1170"/>
        <w:gridCol w:w="1170"/>
        <w:gridCol w:w="1170"/>
        <w:gridCol w:w="990"/>
        <w:gridCol w:w="1170"/>
        <w:gridCol w:w="1188"/>
      </w:tblGrid>
      <w:tr w:rsidR="001C45E4" w:rsidRPr="001C45E4" w:rsidTr="00AB316B">
        <w:trPr>
          <w:trHeight w:val="425"/>
        </w:trPr>
        <w:tc>
          <w:tcPr>
            <w:tcW w:w="11385" w:type="dxa"/>
            <w:gridSpan w:val="9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r>
              <w:t>Table 1: Descriptive statistics of subjects followed for 24 months after hormonal treatment for prostate cancer by post-treatment relapse state (n=50)</w:t>
            </w:r>
          </w:p>
          <w:p w:rsidR="001C45E4" w:rsidRPr="001C45E4" w:rsidRDefault="001C45E4" w:rsidP="001C45E4"/>
        </w:tc>
      </w:tr>
      <w:tr w:rsidR="001C45E4" w:rsidRPr="001C45E4" w:rsidTr="001C45E4">
        <w:trPr>
          <w:trHeight w:val="425"/>
        </w:trPr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rPr>
                <w:b/>
              </w:rPr>
            </w:pPr>
            <w:r w:rsidRPr="001C45E4">
              <w:rPr>
                <w:b/>
              </w:rPr>
              <w:t>Relapse within 24 months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N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mean or %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standard deviation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minimum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25</w:t>
            </w:r>
            <w:r w:rsidRPr="001C45E4">
              <w:rPr>
                <w:vertAlign w:val="superscript"/>
              </w:rPr>
              <w:t xml:space="preserve">th </w:t>
            </w:r>
            <w:r w:rsidRPr="001C45E4">
              <w:t>percentile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median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75</w:t>
            </w:r>
            <w:r w:rsidRPr="001C45E4">
              <w:rPr>
                <w:vertAlign w:val="superscript"/>
              </w:rPr>
              <w:t xml:space="preserve">th </w:t>
            </w:r>
            <w:r w:rsidRPr="001C45E4">
              <w:t>percentile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1C45E4" w:rsidRPr="001C45E4" w:rsidRDefault="001C45E4" w:rsidP="001C45E4">
            <w:pPr>
              <w:jc w:val="center"/>
            </w:pPr>
            <w:r w:rsidRPr="001C45E4">
              <w:t>maximum</w:t>
            </w:r>
          </w:p>
        </w:tc>
      </w:tr>
      <w:tr w:rsidR="001C45E4" w:rsidRPr="00C805F4" w:rsidTr="001C45E4">
        <w:trPr>
          <w:trHeight w:val="395"/>
        </w:trPr>
        <w:tc>
          <w:tcPr>
            <w:tcW w:w="2975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ind w:left="337" w:hanging="180"/>
            </w:pPr>
            <w:r>
              <w:t>Age (years)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22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68.36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5.68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64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68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71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86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Default="001C45E4" w:rsidP="001C45E4">
            <w:pPr>
              <w:ind w:left="337" w:hanging="180"/>
            </w:pPr>
            <w:r>
              <w:t>Nadir post-therapy PSA value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22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31.94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52.50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0.50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1.20</w:t>
            </w: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  <w:r>
              <w:t>10.50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38</w:t>
            </w: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  <w:r>
              <w:t>183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Pr="002F4316" w:rsidRDefault="001C45E4" w:rsidP="001C45E4">
            <w:pPr>
              <w:ind w:left="337" w:hanging="180"/>
            </w:pPr>
            <w:r w:rsidRPr="002F4316">
              <w:t>Nadir post-therapy PSA value</w:t>
            </w:r>
            <w:r>
              <w:t xml:space="preserve"> </w:t>
            </w:r>
            <w:r w:rsidRPr="002F4316">
              <w:t>(log</w:t>
            </w:r>
            <w:r w:rsidRPr="002F4316">
              <w:rPr>
                <w:vertAlign w:val="subscript"/>
              </w:rPr>
              <w:t>10</w:t>
            </w:r>
            <w:r w:rsidRPr="002F4316">
              <w:t xml:space="preserve"> </w:t>
            </w:r>
            <w:proofErr w:type="spellStart"/>
            <w:r w:rsidRPr="002F4316">
              <w:t>ng</w:t>
            </w:r>
            <w:proofErr w:type="spellEnd"/>
            <w:r w:rsidRPr="002F4316">
              <w:t>/ml)</w:t>
            </w:r>
          </w:p>
        </w:tc>
        <w:tc>
          <w:tcPr>
            <w:tcW w:w="54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22</w:t>
            </w:r>
          </w:p>
        </w:tc>
        <w:tc>
          <w:tcPr>
            <w:tcW w:w="1012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0.92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0.81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-0.30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0.079</w:t>
            </w:r>
          </w:p>
        </w:tc>
        <w:tc>
          <w:tcPr>
            <w:tcW w:w="99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1.02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1.58</w:t>
            </w:r>
          </w:p>
        </w:tc>
        <w:tc>
          <w:tcPr>
            <w:tcW w:w="1188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2.26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Pr="002F4316" w:rsidRDefault="001C45E4" w:rsidP="001C45E4">
            <w:pPr>
              <w:ind w:left="337" w:hanging="180"/>
            </w:pPr>
            <w:r>
              <w:t>Pre-therapy PSA value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54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20</w:t>
            </w:r>
          </w:p>
        </w:tc>
        <w:tc>
          <w:tcPr>
            <w:tcW w:w="1012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732.40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1357.34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25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69.5</w:t>
            </w:r>
          </w:p>
        </w:tc>
        <w:tc>
          <w:tcPr>
            <w:tcW w:w="99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174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530</w:t>
            </w:r>
          </w:p>
        </w:tc>
        <w:tc>
          <w:tcPr>
            <w:tcW w:w="1188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4797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Default="001C45E4" w:rsidP="001C45E4">
            <w:pPr>
              <w:ind w:left="337" w:hanging="180"/>
            </w:pPr>
            <w:r>
              <w:t>Performance status</w:t>
            </w:r>
          </w:p>
          <w:p w:rsidR="001C45E4" w:rsidRDefault="001C45E4" w:rsidP="001C45E4">
            <w:pPr>
              <w:ind w:left="337" w:hanging="180"/>
            </w:pPr>
            <w:r>
              <w:t>(score 0</w:t>
            </w:r>
            <w:r>
              <w:rPr>
                <w:rFonts w:ascii="Calibri" w:hAnsi="Calibri"/>
              </w:rPr>
              <w:t>–</w:t>
            </w:r>
            <w:r>
              <w:t>100)*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22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76.50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11.82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50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70</w:t>
            </w: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  <w:r>
              <w:t>80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80</w:t>
            </w: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  <w:r>
              <w:t>100</w:t>
            </w:r>
          </w:p>
        </w:tc>
      </w:tr>
      <w:tr w:rsidR="001C45E4" w:rsidRPr="00C805F4" w:rsidTr="001C45E4">
        <w:trPr>
          <w:trHeight w:val="380"/>
        </w:trPr>
        <w:tc>
          <w:tcPr>
            <w:tcW w:w="2975" w:type="dxa"/>
            <w:vAlign w:val="bottom"/>
          </w:tcPr>
          <w:p w:rsidR="001C45E4" w:rsidRDefault="001C45E4" w:rsidP="001C45E4">
            <w:pPr>
              <w:ind w:left="157"/>
            </w:pPr>
            <w:r>
              <w:t>Bone scan score</w:t>
            </w:r>
          </w:p>
        </w:tc>
        <w:tc>
          <w:tcPr>
            <w:tcW w:w="540" w:type="dxa"/>
            <w:vAlign w:val="bottom"/>
          </w:tcPr>
          <w:p w:rsidR="001C45E4" w:rsidRDefault="001C45E4" w:rsidP="001C45E4">
            <w:pPr>
              <w:jc w:val="center"/>
            </w:pPr>
            <w:r>
              <w:t>20</w:t>
            </w:r>
          </w:p>
        </w:tc>
        <w:tc>
          <w:tcPr>
            <w:tcW w:w="1012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vAlign w:val="bottom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c>
          <w:tcPr>
            <w:tcW w:w="2975" w:type="dxa"/>
            <w:vAlign w:val="center"/>
          </w:tcPr>
          <w:p w:rsidR="001C45E4" w:rsidRDefault="001C45E4" w:rsidP="001C45E4">
            <w:pPr>
              <w:ind w:left="247"/>
            </w:pPr>
            <w:r>
              <w:t>most disease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16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80.00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c>
          <w:tcPr>
            <w:tcW w:w="2975" w:type="dxa"/>
            <w:vAlign w:val="center"/>
          </w:tcPr>
          <w:p w:rsidR="001C45E4" w:rsidRDefault="001C45E4" w:rsidP="001C45E4">
            <w:pPr>
              <w:ind w:left="247"/>
            </w:pPr>
            <w:r>
              <w:t>moderate disease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4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20.00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c>
          <w:tcPr>
            <w:tcW w:w="2975" w:type="dxa"/>
            <w:vAlign w:val="center"/>
          </w:tcPr>
          <w:p w:rsidR="001C45E4" w:rsidRDefault="001C45E4" w:rsidP="001C45E4">
            <w:pPr>
              <w:ind w:left="247"/>
            </w:pPr>
            <w:r>
              <w:t>least disease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0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rPr>
          <w:trHeight w:val="407"/>
        </w:trPr>
        <w:tc>
          <w:tcPr>
            <w:tcW w:w="2975" w:type="dxa"/>
            <w:vAlign w:val="bottom"/>
          </w:tcPr>
          <w:p w:rsidR="001C45E4" w:rsidRDefault="001C45E4" w:rsidP="001C45E4">
            <w:pPr>
              <w:ind w:left="157"/>
            </w:pPr>
            <w:r>
              <w:t>Tumor grade</w:t>
            </w:r>
          </w:p>
        </w:tc>
        <w:tc>
          <w:tcPr>
            <w:tcW w:w="540" w:type="dxa"/>
            <w:vAlign w:val="bottom"/>
          </w:tcPr>
          <w:p w:rsidR="001C45E4" w:rsidRDefault="001C45E4" w:rsidP="001C45E4">
            <w:pPr>
              <w:jc w:val="center"/>
            </w:pPr>
            <w:r>
              <w:t>17</w:t>
            </w:r>
          </w:p>
        </w:tc>
        <w:tc>
          <w:tcPr>
            <w:tcW w:w="1012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bottom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vAlign w:val="bottom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c>
          <w:tcPr>
            <w:tcW w:w="2975" w:type="dxa"/>
            <w:vAlign w:val="center"/>
          </w:tcPr>
          <w:p w:rsidR="001C45E4" w:rsidRDefault="001C45E4" w:rsidP="001C45E4">
            <w:pPr>
              <w:ind w:left="247"/>
            </w:pPr>
            <w:r>
              <w:t>most aggressive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7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41.18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c>
          <w:tcPr>
            <w:tcW w:w="2975" w:type="dxa"/>
            <w:vAlign w:val="center"/>
          </w:tcPr>
          <w:p w:rsidR="001C45E4" w:rsidRDefault="001C45E4" w:rsidP="001C45E4">
            <w:pPr>
              <w:ind w:left="247"/>
            </w:pPr>
            <w:r>
              <w:t>moderately aggressive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7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41.18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ind w:left="247"/>
            </w:pPr>
            <w:r>
              <w:t>least aggressive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3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17.65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c>
          <w:tcPr>
            <w:tcW w:w="2975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/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rPr>
          <w:trHeight w:val="425"/>
        </w:trPr>
        <w:tc>
          <w:tcPr>
            <w:tcW w:w="4527" w:type="dxa"/>
            <w:gridSpan w:val="3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r>
              <w:rPr>
                <w:b/>
              </w:rPr>
              <w:t>No r</w:t>
            </w:r>
            <w:r w:rsidRPr="00565B5B">
              <w:rPr>
                <w:b/>
              </w:rPr>
              <w:t>elapse within 24 months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</w:p>
        </w:tc>
      </w:tr>
      <w:tr w:rsidR="001C45E4" w:rsidRPr="00C805F4" w:rsidTr="001C45E4">
        <w:trPr>
          <w:trHeight w:val="395"/>
        </w:trPr>
        <w:tc>
          <w:tcPr>
            <w:tcW w:w="2975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ind w:left="337" w:hanging="180"/>
            </w:pPr>
            <w:r>
              <w:t>Age (years)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28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66.71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5.84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58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65.5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69.5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1C45E4" w:rsidRDefault="001C45E4" w:rsidP="001C45E4">
            <w:pPr>
              <w:jc w:val="center"/>
            </w:pPr>
            <w:r>
              <w:t>81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Default="001C45E4" w:rsidP="001C45E4">
            <w:pPr>
              <w:ind w:left="337" w:hanging="180"/>
            </w:pPr>
            <w:r>
              <w:t>Nadir post-therapy PSA value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28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4.12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17.28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0.10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0.20</w:t>
            </w: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  <w:r>
              <w:t>0.20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0.95</w:t>
            </w: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  <w:r>
              <w:t>92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Pr="002F4316" w:rsidRDefault="001C45E4" w:rsidP="001C45E4">
            <w:pPr>
              <w:ind w:left="337" w:hanging="180"/>
            </w:pPr>
            <w:r w:rsidRPr="002F4316">
              <w:t>Nadir post-therapy PSA value</w:t>
            </w:r>
            <w:r>
              <w:t xml:space="preserve"> </w:t>
            </w:r>
            <w:r w:rsidRPr="002F4316">
              <w:t>(log</w:t>
            </w:r>
            <w:r w:rsidRPr="002F4316">
              <w:rPr>
                <w:vertAlign w:val="subscript"/>
              </w:rPr>
              <w:t>10</w:t>
            </w:r>
            <w:r w:rsidRPr="002F4316">
              <w:t xml:space="preserve"> </w:t>
            </w:r>
            <w:proofErr w:type="spellStart"/>
            <w:r w:rsidRPr="002F4316">
              <w:t>ng</w:t>
            </w:r>
            <w:proofErr w:type="spellEnd"/>
            <w:r w:rsidRPr="002F4316">
              <w:t>/ml)</w:t>
            </w:r>
          </w:p>
        </w:tc>
        <w:tc>
          <w:tcPr>
            <w:tcW w:w="54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28</w:t>
            </w:r>
          </w:p>
        </w:tc>
        <w:tc>
          <w:tcPr>
            <w:tcW w:w="1012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-0.28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0.64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-1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-0.70</w:t>
            </w:r>
          </w:p>
        </w:tc>
        <w:tc>
          <w:tcPr>
            <w:tcW w:w="99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-0.70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-0.023</w:t>
            </w:r>
          </w:p>
        </w:tc>
        <w:tc>
          <w:tcPr>
            <w:tcW w:w="1188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1.96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Pr="002F4316" w:rsidRDefault="001C45E4" w:rsidP="001C45E4">
            <w:pPr>
              <w:ind w:left="337" w:hanging="180"/>
            </w:pPr>
            <w:r>
              <w:t>Pre-therapy PSA value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54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23</w:t>
            </w:r>
          </w:p>
        </w:tc>
        <w:tc>
          <w:tcPr>
            <w:tcW w:w="1012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617.19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1252.08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4.80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45</w:t>
            </w:r>
          </w:p>
        </w:tc>
        <w:tc>
          <w:tcPr>
            <w:tcW w:w="99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100</w:t>
            </w:r>
          </w:p>
        </w:tc>
        <w:tc>
          <w:tcPr>
            <w:tcW w:w="1170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387</w:t>
            </w:r>
          </w:p>
        </w:tc>
        <w:tc>
          <w:tcPr>
            <w:tcW w:w="1188" w:type="dxa"/>
            <w:vAlign w:val="center"/>
          </w:tcPr>
          <w:p w:rsidR="001C45E4" w:rsidRPr="002F4316" w:rsidRDefault="001C45E4" w:rsidP="001C45E4">
            <w:pPr>
              <w:jc w:val="center"/>
            </w:pPr>
            <w:r>
              <w:t>4377</w:t>
            </w:r>
          </w:p>
        </w:tc>
      </w:tr>
      <w:tr w:rsidR="001C45E4" w:rsidRPr="00C805F4" w:rsidTr="001C45E4">
        <w:trPr>
          <w:trHeight w:val="360"/>
        </w:trPr>
        <w:tc>
          <w:tcPr>
            <w:tcW w:w="2975" w:type="dxa"/>
            <w:vAlign w:val="center"/>
          </w:tcPr>
          <w:p w:rsidR="001C45E4" w:rsidRDefault="001C45E4" w:rsidP="001C45E4">
            <w:pPr>
              <w:ind w:left="337" w:hanging="180"/>
            </w:pPr>
            <w:r>
              <w:t>Performance status</w:t>
            </w:r>
          </w:p>
          <w:p w:rsidR="001C45E4" w:rsidRDefault="001C45E4" w:rsidP="001C45E4">
            <w:pPr>
              <w:ind w:left="337" w:hanging="180"/>
            </w:pPr>
            <w:r>
              <w:t>(score 0</w:t>
            </w:r>
            <w:r>
              <w:rPr>
                <w:rFonts w:ascii="Calibri" w:hAnsi="Calibri"/>
              </w:rPr>
              <w:t>–</w:t>
            </w:r>
            <w:r>
              <w:t>100)*</w:t>
            </w:r>
          </w:p>
        </w:tc>
        <w:tc>
          <w:tcPr>
            <w:tcW w:w="540" w:type="dxa"/>
            <w:vAlign w:val="center"/>
          </w:tcPr>
          <w:p w:rsidR="001C45E4" w:rsidRDefault="001C45E4" w:rsidP="001C45E4">
            <w:pPr>
              <w:jc w:val="center"/>
            </w:pPr>
            <w:r>
              <w:t>28</w:t>
            </w:r>
          </w:p>
        </w:tc>
        <w:tc>
          <w:tcPr>
            <w:tcW w:w="1012" w:type="dxa"/>
            <w:vAlign w:val="center"/>
          </w:tcPr>
          <w:p w:rsidR="001C45E4" w:rsidRDefault="001C45E4" w:rsidP="001C45E4">
            <w:pPr>
              <w:jc w:val="center"/>
            </w:pPr>
            <w:r>
              <w:t>83.93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9.56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50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80</w:t>
            </w:r>
          </w:p>
        </w:tc>
        <w:tc>
          <w:tcPr>
            <w:tcW w:w="990" w:type="dxa"/>
            <w:vAlign w:val="center"/>
          </w:tcPr>
          <w:p w:rsidR="001C45E4" w:rsidRDefault="001C45E4" w:rsidP="001C45E4">
            <w:pPr>
              <w:jc w:val="center"/>
            </w:pPr>
            <w:r>
              <w:t>80</w:t>
            </w:r>
          </w:p>
        </w:tc>
        <w:tc>
          <w:tcPr>
            <w:tcW w:w="1170" w:type="dxa"/>
            <w:vAlign w:val="center"/>
          </w:tcPr>
          <w:p w:rsidR="001C45E4" w:rsidRDefault="001C45E4" w:rsidP="001C45E4">
            <w:pPr>
              <w:jc w:val="center"/>
            </w:pPr>
            <w:r>
              <w:t>90</w:t>
            </w:r>
          </w:p>
        </w:tc>
        <w:tc>
          <w:tcPr>
            <w:tcW w:w="1188" w:type="dxa"/>
            <w:vAlign w:val="center"/>
          </w:tcPr>
          <w:p w:rsidR="001C45E4" w:rsidRDefault="001C45E4" w:rsidP="001C45E4">
            <w:pPr>
              <w:jc w:val="center"/>
            </w:pPr>
            <w:r>
              <w:t>100</w:t>
            </w:r>
          </w:p>
        </w:tc>
      </w:tr>
      <w:tr w:rsidR="002C344E" w:rsidRPr="00C805F4" w:rsidTr="001C45E4">
        <w:trPr>
          <w:trHeight w:val="380"/>
        </w:trPr>
        <w:tc>
          <w:tcPr>
            <w:tcW w:w="2975" w:type="dxa"/>
            <w:vAlign w:val="bottom"/>
          </w:tcPr>
          <w:p w:rsidR="002C344E" w:rsidRDefault="002C344E" w:rsidP="002C344E">
            <w:pPr>
              <w:ind w:left="157"/>
            </w:pPr>
            <w:r>
              <w:t>Bone scan score</w:t>
            </w:r>
          </w:p>
        </w:tc>
        <w:tc>
          <w:tcPr>
            <w:tcW w:w="540" w:type="dxa"/>
            <w:vAlign w:val="bottom"/>
          </w:tcPr>
          <w:p w:rsidR="002C344E" w:rsidRDefault="002C344E" w:rsidP="002C344E">
            <w:pPr>
              <w:jc w:val="center"/>
            </w:pPr>
            <w:r>
              <w:t>28</w:t>
            </w:r>
          </w:p>
        </w:tc>
        <w:tc>
          <w:tcPr>
            <w:tcW w:w="1012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vAlign w:val="bottom"/>
          </w:tcPr>
          <w:p w:rsidR="002C344E" w:rsidRDefault="002C344E" w:rsidP="002C344E">
            <w:pPr>
              <w:jc w:val="center"/>
            </w:pPr>
          </w:p>
        </w:tc>
      </w:tr>
      <w:tr w:rsidR="002C344E" w:rsidRPr="00C805F4" w:rsidTr="001C45E4">
        <w:tc>
          <w:tcPr>
            <w:tcW w:w="2975" w:type="dxa"/>
            <w:vAlign w:val="center"/>
          </w:tcPr>
          <w:p w:rsidR="002C344E" w:rsidRDefault="002C344E" w:rsidP="002C344E">
            <w:pPr>
              <w:ind w:left="247"/>
            </w:pPr>
            <w:r>
              <w:t>most disease</w:t>
            </w:r>
          </w:p>
        </w:tc>
        <w:tc>
          <w:tcPr>
            <w:tcW w:w="540" w:type="dxa"/>
            <w:vAlign w:val="center"/>
          </w:tcPr>
          <w:p w:rsidR="002C344E" w:rsidRDefault="002C344E" w:rsidP="002C344E">
            <w:pPr>
              <w:jc w:val="center"/>
            </w:pPr>
            <w:r>
              <w:t>14</w:t>
            </w:r>
          </w:p>
        </w:tc>
        <w:tc>
          <w:tcPr>
            <w:tcW w:w="1012" w:type="dxa"/>
            <w:vAlign w:val="center"/>
          </w:tcPr>
          <w:p w:rsidR="002C344E" w:rsidRDefault="002C344E" w:rsidP="002C344E">
            <w:pPr>
              <w:jc w:val="center"/>
            </w:pPr>
            <w:r>
              <w:t>50.00</w:t>
            </w: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vAlign w:val="center"/>
          </w:tcPr>
          <w:p w:rsidR="002C344E" w:rsidRDefault="002C344E" w:rsidP="002C344E">
            <w:pPr>
              <w:jc w:val="center"/>
            </w:pPr>
          </w:p>
        </w:tc>
      </w:tr>
      <w:tr w:rsidR="002C344E" w:rsidRPr="00C805F4" w:rsidTr="001C45E4">
        <w:tc>
          <w:tcPr>
            <w:tcW w:w="2975" w:type="dxa"/>
            <w:vAlign w:val="center"/>
          </w:tcPr>
          <w:p w:rsidR="002C344E" w:rsidRDefault="002C344E" w:rsidP="002C344E">
            <w:pPr>
              <w:ind w:left="247"/>
            </w:pPr>
            <w:r>
              <w:t>moderate disease</w:t>
            </w:r>
          </w:p>
        </w:tc>
        <w:tc>
          <w:tcPr>
            <w:tcW w:w="540" w:type="dxa"/>
            <w:vAlign w:val="center"/>
          </w:tcPr>
          <w:p w:rsidR="002C344E" w:rsidRDefault="002C344E" w:rsidP="002C344E">
            <w:pPr>
              <w:jc w:val="center"/>
            </w:pPr>
            <w:r>
              <w:t>9</w:t>
            </w:r>
          </w:p>
        </w:tc>
        <w:tc>
          <w:tcPr>
            <w:tcW w:w="1012" w:type="dxa"/>
            <w:vAlign w:val="center"/>
          </w:tcPr>
          <w:p w:rsidR="002C344E" w:rsidRDefault="002C344E" w:rsidP="002C344E">
            <w:pPr>
              <w:jc w:val="center"/>
            </w:pPr>
            <w:r>
              <w:t>32.14</w:t>
            </w: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vAlign w:val="center"/>
          </w:tcPr>
          <w:p w:rsidR="002C344E" w:rsidRDefault="002C344E" w:rsidP="002C344E">
            <w:pPr>
              <w:jc w:val="center"/>
            </w:pPr>
          </w:p>
        </w:tc>
      </w:tr>
      <w:tr w:rsidR="002C344E" w:rsidRPr="00C805F4" w:rsidTr="001C45E4">
        <w:tc>
          <w:tcPr>
            <w:tcW w:w="2975" w:type="dxa"/>
            <w:vAlign w:val="center"/>
          </w:tcPr>
          <w:p w:rsidR="002C344E" w:rsidRDefault="002C344E" w:rsidP="002C344E">
            <w:pPr>
              <w:ind w:left="247"/>
            </w:pPr>
            <w:r>
              <w:t>least disease</w:t>
            </w:r>
          </w:p>
        </w:tc>
        <w:tc>
          <w:tcPr>
            <w:tcW w:w="540" w:type="dxa"/>
            <w:vAlign w:val="center"/>
          </w:tcPr>
          <w:p w:rsidR="002C344E" w:rsidRDefault="002C344E" w:rsidP="002C344E">
            <w:pPr>
              <w:jc w:val="center"/>
            </w:pPr>
            <w:r>
              <w:t>5</w:t>
            </w:r>
          </w:p>
        </w:tc>
        <w:tc>
          <w:tcPr>
            <w:tcW w:w="1012" w:type="dxa"/>
            <w:vAlign w:val="center"/>
          </w:tcPr>
          <w:p w:rsidR="002C344E" w:rsidRDefault="002C344E" w:rsidP="002C344E">
            <w:pPr>
              <w:jc w:val="center"/>
            </w:pPr>
            <w:r>
              <w:t>17.86</w:t>
            </w: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vAlign w:val="center"/>
          </w:tcPr>
          <w:p w:rsidR="002C344E" w:rsidRDefault="002C344E" w:rsidP="002C344E">
            <w:pPr>
              <w:jc w:val="center"/>
            </w:pPr>
          </w:p>
        </w:tc>
      </w:tr>
      <w:tr w:rsidR="002C344E" w:rsidRPr="00C805F4" w:rsidTr="001C45E4">
        <w:trPr>
          <w:trHeight w:val="407"/>
        </w:trPr>
        <w:tc>
          <w:tcPr>
            <w:tcW w:w="2975" w:type="dxa"/>
            <w:vAlign w:val="bottom"/>
          </w:tcPr>
          <w:p w:rsidR="002C344E" w:rsidRDefault="002C344E" w:rsidP="002C344E">
            <w:pPr>
              <w:ind w:left="157"/>
            </w:pPr>
            <w:r>
              <w:t>Tumor grade</w:t>
            </w:r>
          </w:p>
        </w:tc>
        <w:tc>
          <w:tcPr>
            <w:tcW w:w="540" w:type="dxa"/>
            <w:vAlign w:val="bottom"/>
          </w:tcPr>
          <w:p w:rsidR="002C344E" w:rsidRDefault="002C344E" w:rsidP="002C344E">
            <w:pPr>
              <w:jc w:val="center"/>
            </w:pPr>
            <w:r>
              <w:t>24</w:t>
            </w:r>
          </w:p>
        </w:tc>
        <w:tc>
          <w:tcPr>
            <w:tcW w:w="1012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bottom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vAlign w:val="bottom"/>
          </w:tcPr>
          <w:p w:rsidR="002C344E" w:rsidRDefault="002C344E" w:rsidP="002C344E">
            <w:pPr>
              <w:jc w:val="center"/>
            </w:pPr>
          </w:p>
        </w:tc>
      </w:tr>
      <w:tr w:rsidR="002C344E" w:rsidRPr="00C805F4" w:rsidTr="001C45E4">
        <w:tc>
          <w:tcPr>
            <w:tcW w:w="2975" w:type="dxa"/>
            <w:vAlign w:val="center"/>
          </w:tcPr>
          <w:p w:rsidR="002C344E" w:rsidRDefault="002C344E" w:rsidP="002C344E">
            <w:pPr>
              <w:ind w:left="247"/>
            </w:pPr>
            <w:r>
              <w:t>most aggressive</w:t>
            </w:r>
          </w:p>
        </w:tc>
        <w:tc>
          <w:tcPr>
            <w:tcW w:w="540" w:type="dxa"/>
            <w:vAlign w:val="center"/>
          </w:tcPr>
          <w:p w:rsidR="002C344E" w:rsidRDefault="002C344E" w:rsidP="002C344E">
            <w:pPr>
              <w:jc w:val="center"/>
            </w:pPr>
            <w:r>
              <w:t>9</w:t>
            </w:r>
          </w:p>
        </w:tc>
        <w:tc>
          <w:tcPr>
            <w:tcW w:w="1012" w:type="dxa"/>
            <w:vAlign w:val="center"/>
          </w:tcPr>
          <w:p w:rsidR="002C344E" w:rsidRDefault="002C344E" w:rsidP="002C344E">
            <w:pPr>
              <w:jc w:val="center"/>
            </w:pPr>
            <w:r>
              <w:t>37.50</w:t>
            </w: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vAlign w:val="center"/>
          </w:tcPr>
          <w:p w:rsidR="002C344E" w:rsidRDefault="002C344E" w:rsidP="002C344E">
            <w:pPr>
              <w:jc w:val="center"/>
            </w:pPr>
          </w:p>
        </w:tc>
      </w:tr>
      <w:tr w:rsidR="002C344E" w:rsidRPr="00C805F4" w:rsidTr="001C45E4">
        <w:tc>
          <w:tcPr>
            <w:tcW w:w="2975" w:type="dxa"/>
            <w:vAlign w:val="center"/>
          </w:tcPr>
          <w:p w:rsidR="002C344E" w:rsidRDefault="002C344E" w:rsidP="002C344E">
            <w:pPr>
              <w:ind w:left="247"/>
            </w:pPr>
            <w:r>
              <w:t>moderately aggressive</w:t>
            </w:r>
          </w:p>
        </w:tc>
        <w:tc>
          <w:tcPr>
            <w:tcW w:w="540" w:type="dxa"/>
            <w:vAlign w:val="center"/>
          </w:tcPr>
          <w:p w:rsidR="002C344E" w:rsidRDefault="002C344E" w:rsidP="002C344E">
            <w:pPr>
              <w:jc w:val="center"/>
            </w:pPr>
            <w:r>
              <w:t>8</w:t>
            </w:r>
          </w:p>
        </w:tc>
        <w:tc>
          <w:tcPr>
            <w:tcW w:w="1012" w:type="dxa"/>
            <w:vAlign w:val="center"/>
          </w:tcPr>
          <w:p w:rsidR="002C344E" w:rsidRDefault="002C344E" w:rsidP="002C344E">
            <w:pPr>
              <w:jc w:val="center"/>
            </w:pPr>
            <w:r>
              <w:t>33.33</w:t>
            </w: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vAlign w:val="center"/>
          </w:tcPr>
          <w:p w:rsidR="002C344E" w:rsidRDefault="002C344E" w:rsidP="002C344E">
            <w:pPr>
              <w:jc w:val="center"/>
            </w:pPr>
          </w:p>
        </w:tc>
      </w:tr>
      <w:tr w:rsidR="002C344E" w:rsidRPr="00C805F4" w:rsidTr="001C45E4"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ind w:left="247"/>
            </w:pPr>
            <w:r>
              <w:t>least aggressive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  <w:r>
              <w:t>7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  <w:r>
              <w:t>29.17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2C344E" w:rsidRDefault="002C344E" w:rsidP="002C344E">
            <w:pPr>
              <w:jc w:val="center"/>
            </w:pPr>
          </w:p>
        </w:tc>
      </w:tr>
    </w:tbl>
    <w:p w:rsidR="001545DC" w:rsidRDefault="001545DC"/>
    <w:p w:rsidR="000E50A4" w:rsidRDefault="000E50A4">
      <w:r>
        <w:br w:type="page"/>
      </w:r>
    </w:p>
    <w:p w:rsidR="001545DC" w:rsidRDefault="001545DC">
      <w:r>
        <w:lastRenderedPageBreak/>
        <w:t xml:space="preserve">2. </w:t>
      </w:r>
      <w:r w:rsidR="00272C9F">
        <w:t>Association</w:t>
      </w:r>
      <w:r w:rsidR="000E18C7">
        <w:t xml:space="preserve"> of relapse within 24 months by nadir </w:t>
      </w:r>
      <w:r w:rsidR="00E94042">
        <w:t xml:space="preserve">post-hormonal treatment </w:t>
      </w:r>
      <w:r w:rsidR="000E18C7">
        <w:t>PSA level adjusting for bone scan score and performance status, n=48</w:t>
      </w:r>
    </w:p>
    <w:p w:rsidR="000E18C7" w:rsidRDefault="000E18C7"/>
    <w:tbl>
      <w:tblPr>
        <w:tblStyle w:val="TableGrid"/>
        <w:tblW w:w="8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821"/>
        <w:gridCol w:w="1409"/>
      </w:tblGrid>
      <w:tr w:rsidR="000E18C7" w:rsidTr="00272C9F">
        <w:tc>
          <w:tcPr>
            <w:tcW w:w="4320" w:type="dxa"/>
            <w:tcBorders>
              <w:bottom w:val="single" w:sz="4" w:space="0" w:color="auto"/>
            </w:tcBorders>
          </w:tcPr>
          <w:p w:rsidR="000E18C7" w:rsidRDefault="00D1254F">
            <w:r>
              <w:t xml:space="preserve">a. 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0E18C7" w:rsidRDefault="000E18C7" w:rsidP="000E18C7">
            <w:pPr>
              <w:jc w:val="center"/>
            </w:pPr>
            <w:r>
              <w:t>Adjusted OR*</w:t>
            </w:r>
          </w:p>
          <w:p w:rsidR="000E18C7" w:rsidRDefault="000E18C7" w:rsidP="000E18C7">
            <w:pPr>
              <w:jc w:val="center"/>
            </w:pPr>
            <w:r>
              <w:t>(95% confidence interval)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0E18C7" w:rsidRDefault="000E18C7" w:rsidP="000E18C7">
            <w:pPr>
              <w:jc w:val="center"/>
            </w:pPr>
            <w:r>
              <w:t>p value</w:t>
            </w:r>
          </w:p>
        </w:tc>
      </w:tr>
      <w:tr w:rsidR="000E18C7" w:rsidTr="00272C9F">
        <w:trPr>
          <w:trHeight w:val="458"/>
        </w:trPr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:rsidR="000E18C7" w:rsidRDefault="000E18C7">
            <w:r>
              <w:t>Nadir post-therapy PSA value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2821" w:type="dxa"/>
            <w:tcBorders>
              <w:top w:val="single" w:sz="4" w:space="0" w:color="auto"/>
            </w:tcBorders>
            <w:vAlign w:val="center"/>
          </w:tcPr>
          <w:p w:rsidR="000E18C7" w:rsidRDefault="000E18C7" w:rsidP="000E18C7">
            <w:pPr>
              <w:jc w:val="center"/>
            </w:pPr>
            <w:r>
              <w:t>1.03 (0.987, 1.083)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0E18C7" w:rsidRDefault="000E18C7" w:rsidP="000E18C7">
            <w:pPr>
              <w:jc w:val="center"/>
            </w:pPr>
            <w:r>
              <w:t>0.156</w:t>
            </w:r>
          </w:p>
        </w:tc>
      </w:tr>
      <w:tr w:rsidR="00272C9F" w:rsidTr="00013D3E">
        <w:trPr>
          <w:trHeight w:val="252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272C9F" w:rsidRDefault="00272C9F">
            <w:r>
              <w:t>Intercept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272C9F" w:rsidRDefault="00316F57" w:rsidP="000E18C7">
            <w:pPr>
              <w:jc w:val="center"/>
            </w:pPr>
            <w:r>
              <w:t>2.072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272C9F" w:rsidRDefault="00272C9F" w:rsidP="000E18C7">
            <w:pPr>
              <w:jc w:val="center"/>
            </w:pPr>
          </w:p>
        </w:tc>
      </w:tr>
      <w:tr w:rsidR="00D1254F" w:rsidTr="00D1254F">
        <w:trPr>
          <w:trHeight w:val="323"/>
        </w:trPr>
        <w:tc>
          <w:tcPr>
            <w:tcW w:w="8550" w:type="dxa"/>
            <w:gridSpan w:val="3"/>
            <w:tcBorders>
              <w:top w:val="single" w:sz="4" w:space="0" w:color="auto"/>
            </w:tcBorders>
            <w:vAlign w:val="center"/>
          </w:tcPr>
          <w:p w:rsidR="00272C9F" w:rsidRPr="00272C9F" w:rsidRDefault="00D1254F" w:rsidP="00272C9F">
            <w:pPr>
              <w:rPr>
                <w:sz w:val="18"/>
                <w:szCs w:val="18"/>
              </w:rPr>
            </w:pPr>
            <w:r w:rsidRPr="000E18C7">
              <w:rPr>
                <w:sz w:val="18"/>
                <w:szCs w:val="18"/>
              </w:rPr>
              <w:t xml:space="preserve">* Adjusted for </w:t>
            </w:r>
            <w:r>
              <w:rPr>
                <w:sz w:val="18"/>
                <w:szCs w:val="18"/>
              </w:rPr>
              <w:t>bone scan score and performance status</w:t>
            </w:r>
          </w:p>
        </w:tc>
      </w:tr>
    </w:tbl>
    <w:p w:rsidR="00272C9F" w:rsidRDefault="00272C9F"/>
    <w:p w:rsidR="00846BB2" w:rsidRDefault="0031099B" w:rsidP="00272C9F">
      <w:r>
        <w:t>On average, t</w:t>
      </w:r>
      <w:r w:rsidR="00272C9F">
        <w:t xml:space="preserve">he </w:t>
      </w:r>
      <w:r w:rsidR="00FB1549">
        <w:t xml:space="preserve">log </w:t>
      </w:r>
      <w:r w:rsidR="00272C9F">
        <w:t>odds of</w:t>
      </w:r>
      <w:r w:rsidR="0062435F">
        <w:t xml:space="preserve"> prostate cancer</w:t>
      </w:r>
      <w:r w:rsidR="00272C9F">
        <w:t xml:space="preserve"> relapse within 24 months</w:t>
      </w:r>
      <w:r w:rsidR="00AE2822">
        <w:t xml:space="preserve"> of hormonal treatment</w:t>
      </w:r>
      <w:r w:rsidR="00E0728F">
        <w:t xml:space="preserve"> is estimated to</w:t>
      </w:r>
      <w:r w:rsidR="00272C9F">
        <w:t xml:space="preserve"> </w:t>
      </w:r>
      <w:r w:rsidR="00E0728F">
        <w:t>increase</w:t>
      </w:r>
      <w:r w:rsidR="00272C9F">
        <w:t xml:space="preserve"> by 1.03 </w:t>
      </w:r>
      <w:r w:rsidR="00AE2822">
        <w:t xml:space="preserve">for every </w:t>
      </w:r>
      <w:proofErr w:type="spellStart"/>
      <w:r w:rsidR="00C2540E">
        <w:t>ng</w:t>
      </w:r>
      <w:proofErr w:type="spellEnd"/>
      <w:r w:rsidR="00C2540E">
        <w:t>/ml</w:t>
      </w:r>
      <w:r w:rsidR="00272C9F">
        <w:t xml:space="preserve"> </w:t>
      </w:r>
      <w:r w:rsidR="00AE2822">
        <w:t xml:space="preserve">increase in </w:t>
      </w:r>
      <w:r w:rsidR="00272C9F">
        <w:t xml:space="preserve">nadir </w:t>
      </w:r>
      <w:r w:rsidR="00AE2822">
        <w:t>post-therapy PSA value</w:t>
      </w:r>
      <w:r w:rsidR="00E0728F">
        <w:t>, with higher PSA scores having more relapse,</w:t>
      </w:r>
      <w:r w:rsidR="00272C9F">
        <w:t xml:space="preserve"> </w:t>
      </w:r>
      <w:r w:rsidR="00AE2822">
        <w:t>while</w:t>
      </w:r>
      <w:r w:rsidR="00272C9F">
        <w:t xml:space="preserve"> holding bone scan score and performance status constant</w:t>
      </w:r>
      <w:r w:rsidR="00E0728F">
        <w:t xml:space="preserve"> (95% CI 0.987 to 1.083)</w:t>
      </w:r>
      <w:r w:rsidR="00272C9F">
        <w:t xml:space="preserve">. </w:t>
      </w:r>
      <w:r w:rsidR="00013D3E">
        <w:t xml:space="preserve">This association is not statistically significant </w:t>
      </w:r>
      <w:r w:rsidR="00303B16">
        <w:t>on</w:t>
      </w:r>
      <w:r w:rsidR="00013D3E">
        <w:t xml:space="preserve"> the alpha=0.05 level. </w:t>
      </w:r>
      <w:r w:rsidR="00AE074C">
        <w:t>This</w:t>
      </w:r>
      <w:r w:rsidR="00E0728F">
        <w:t xml:space="preserve"> result would be typical when there is no true difference in nadir post-therapy PSA levels between men who relapsed within 24 months and men who did not relapse</w:t>
      </w:r>
      <w:r w:rsidR="00AE2822">
        <w:t xml:space="preserve"> within 24 months of receiving hormonal treatment</w:t>
      </w:r>
      <w:r w:rsidR="00E0728F">
        <w:t xml:space="preserve"> </w:t>
      </w:r>
      <w:r w:rsidR="00F03C00">
        <w:t xml:space="preserve">while holding bone scan score and performance status constant </w:t>
      </w:r>
      <w:r w:rsidR="00E0728F">
        <w:t>(p=0.156).</w:t>
      </w:r>
    </w:p>
    <w:p w:rsidR="00316F57" w:rsidRDefault="00316F57"/>
    <w:tbl>
      <w:tblPr>
        <w:tblStyle w:val="TableGrid"/>
        <w:tblW w:w="8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2821"/>
        <w:gridCol w:w="1409"/>
      </w:tblGrid>
      <w:tr w:rsidR="00D1254F" w:rsidTr="00013D3E">
        <w:tc>
          <w:tcPr>
            <w:tcW w:w="4582" w:type="dxa"/>
            <w:tcBorders>
              <w:bottom w:val="single" w:sz="4" w:space="0" w:color="auto"/>
            </w:tcBorders>
          </w:tcPr>
          <w:p w:rsidR="00D1254F" w:rsidRDefault="00D1254F" w:rsidP="00581625">
            <w:r>
              <w:t xml:space="preserve">b. 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D1254F" w:rsidRDefault="00D1254F" w:rsidP="00581625">
            <w:pPr>
              <w:jc w:val="center"/>
            </w:pPr>
            <w:r>
              <w:t>Adjusted OR*</w:t>
            </w:r>
          </w:p>
          <w:p w:rsidR="00D1254F" w:rsidRDefault="00D1254F" w:rsidP="00581625">
            <w:pPr>
              <w:jc w:val="center"/>
            </w:pPr>
            <w:r>
              <w:t>(95% confidence interval)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D1254F" w:rsidRDefault="00D1254F" w:rsidP="00581625">
            <w:pPr>
              <w:jc w:val="center"/>
            </w:pPr>
            <w:r>
              <w:t>p value</w:t>
            </w:r>
          </w:p>
        </w:tc>
      </w:tr>
      <w:tr w:rsidR="00D1254F" w:rsidTr="00013D3E">
        <w:trPr>
          <w:trHeight w:val="395"/>
        </w:trPr>
        <w:tc>
          <w:tcPr>
            <w:tcW w:w="4582" w:type="dxa"/>
            <w:tcBorders>
              <w:top w:val="single" w:sz="4" w:space="0" w:color="auto"/>
            </w:tcBorders>
            <w:vAlign w:val="center"/>
          </w:tcPr>
          <w:p w:rsidR="00D1254F" w:rsidRDefault="00D1254F" w:rsidP="00581625">
            <w:r>
              <w:t>Nadir post-therapy PSA value (log</w:t>
            </w:r>
            <w:r w:rsidRPr="00D1254F">
              <w:rPr>
                <w:vertAlign w:val="subscript"/>
              </w:rPr>
              <w:t>10</w:t>
            </w:r>
            <w:r>
              <w:t xml:space="preserve"> 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2821" w:type="dxa"/>
            <w:tcBorders>
              <w:top w:val="single" w:sz="4" w:space="0" w:color="auto"/>
            </w:tcBorders>
            <w:vAlign w:val="center"/>
          </w:tcPr>
          <w:p w:rsidR="00D1254F" w:rsidRDefault="00316F57" w:rsidP="00D1254F">
            <w:pPr>
              <w:jc w:val="center"/>
            </w:pPr>
            <w:r>
              <w:t>7.24</w:t>
            </w:r>
            <w:r w:rsidR="00D1254F">
              <w:t xml:space="preserve"> (2.239, 23.407)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D1254F" w:rsidRDefault="00316F57" w:rsidP="00D1254F">
            <w:pPr>
              <w:jc w:val="center"/>
            </w:pPr>
            <w:r>
              <w:t>0</w:t>
            </w:r>
            <w:r w:rsidR="00D1254F">
              <w:t>.001</w:t>
            </w:r>
          </w:p>
        </w:tc>
      </w:tr>
      <w:tr w:rsidR="00013D3E" w:rsidTr="0063508B">
        <w:trPr>
          <w:trHeight w:val="405"/>
        </w:trPr>
        <w:tc>
          <w:tcPr>
            <w:tcW w:w="4582" w:type="dxa"/>
            <w:tcBorders>
              <w:bottom w:val="single" w:sz="4" w:space="0" w:color="auto"/>
            </w:tcBorders>
            <w:vAlign w:val="center"/>
          </w:tcPr>
          <w:p w:rsidR="00013D3E" w:rsidRDefault="00013D3E" w:rsidP="00581625">
            <w:r>
              <w:t>Intercept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013D3E" w:rsidRDefault="001204C6" w:rsidP="00D1254F">
            <w:pPr>
              <w:jc w:val="center"/>
            </w:pPr>
            <w:r>
              <w:t>3.061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013D3E" w:rsidRDefault="00013D3E" w:rsidP="00D1254F">
            <w:pPr>
              <w:jc w:val="center"/>
            </w:pPr>
          </w:p>
        </w:tc>
      </w:tr>
      <w:tr w:rsidR="00D1254F" w:rsidTr="00D1254F">
        <w:trPr>
          <w:trHeight w:val="305"/>
        </w:trPr>
        <w:tc>
          <w:tcPr>
            <w:tcW w:w="8812" w:type="dxa"/>
            <w:gridSpan w:val="3"/>
            <w:tcBorders>
              <w:top w:val="single" w:sz="4" w:space="0" w:color="auto"/>
            </w:tcBorders>
            <w:vAlign w:val="center"/>
          </w:tcPr>
          <w:p w:rsidR="00D1254F" w:rsidRPr="000E18C7" w:rsidRDefault="00D1254F" w:rsidP="00D1254F">
            <w:pPr>
              <w:rPr>
                <w:sz w:val="18"/>
                <w:szCs w:val="18"/>
              </w:rPr>
            </w:pPr>
            <w:r w:rsidRPr="000E18C7">
              <w:rPr>
                <w:sz w:val="18"/>
                <w:szCs w:val="18"/>
              </w:rPr>
              <w:t xml:space="preserve">* Adjusted for </w:t>
            </w:r>
            <w:r>
              <w:rPr>
                <w:sz w:val="18"/>
                <w:szCs w:val="18"/>
              </w:rPr>
              <w:t>bone scan score and performance status</w:t>
            </w:r>
          </w:p>
          <w:p w:rsidR="00D1254F" w:rsidRDefault="00D1254F" w:rsidP="00581625">
            <w:pPr>
              <w:jc w:val="center"/>
            </w:pPr>
          </w:p>
        </w:tc>
      </w:tr>
    </w:tbl>
    <w:p w:rsidR="00846BB2" w:rsidRDefault="00846BB2" w:rsidP="00846BB2">
      <w:r>
        <w:t xml:space="preserve">On average, the </w:t>
      </w:r>
      <w:r w:rsidR="00FB1549">
        <w:t xml:space="preserve">log </w:t>
      </w:r>
      <w:r>
        <w:t xml:space="preserve">odds of </w:t>
      </w:r>
      <w:r w:rsidR="00AE074C">
        <w:t xml:space="preserve">prostate cancer </w:t>
      </w:r>
      <w:r>
        <w:t>relapse within 24 months</w:t>
      </w:r>
      <w:r w:rsidR="00AE074C">
        <w:t xml:space="preserve"> of hormonal treatment</w:t>
      </w:r>
      <w:r>
        <w:t xml:space="preserve"> is estimated to increase by 7.23 </w:t>
      </w:r>
      <w:r w:rsidR="00303B16">
        <w:t>for every</w:t>
      </w:r>
      <w:r w:rsidR="00AE2822">
        <w:t xml:space="preserve"> </w:t>
      </w:r>
      <w:r w:rsidR="00CF6CB0">
        <w:t xml:space="preserve">one </w:t>
      </w:r>
      <w:proofErr w:type="spellStart"/>
      <w:r w:rsidR="00244F77">
        <w:t>ng</w:t>
      </w:r>
      <w:proofErr w:type="spellEnd"/>
      <w:r w:rsidR="00244F77">
        <w:t xml:space="preserve">/ml increase in </w:t>
      </w:r>
      <w:r w:rsidR="00CF6CB0">
        <w:t>log</w:t>
      </w:r>
      <w:r w:rsidR="00CF6CB0" w:rsidRPr="00846BB2">
        <w:rPr>
          <w:vertAlign w:val="subscript"/>
        </w:rPr>
        <w:t>10</w:t>
      </w:r>
      <w:r w:rsidR="00CF6CB0">
        <w:t xml:space="preserve"> </w:t>
      </w:r>
      <w:r>
        <w:t xml:space="preserve">nadir post-therapy PSA value, with higher PSA scores having more relapse, when holding bone scan score and performance status constant (95% CI 2.239 to 23.407). This association is </w:t>
      </w:r>
      <w:r w:rsidR="00303B16">
        <w:t>statistically significant on</w:t>
      </w:r>
      <w:r>
        <w:t xml:space="preserve"> the alpha=0.05 level. </w:t>
      </w:r>
      <w:r w:rsidR="00AE074C">
        <w:t>This</w:t>
      </w:r>
      <w:r>
        <w:t xml:space="preserve"> result would not be typical when</w:t>
      </w:r>
      <w:r w:rsidR="00B966CC">
        <w:t xml:space="preserve"> there is no true difference in</w:t>
      </w:r>
      <w:r>
        <w:t xml:space="preserve"> log</w:t>
      </w:r>
      <w:r w:rsidRPr="00846BB2">
        <w:rPr>
          <w:vertAlign w:val="subscript"/>
        </w:rPr>
        <w:t>10</w:t>
      </w:r>
      <w:r>
        <w:t xml:space="preserve"> nadir post-therapy PSA levels between men who relapsed within 24 months and men who did not relapse</w:t>
      </w:r>
      <w:r w:rsidR="00AE074C">
        <w:t xml:space="preserve"> within 24 months of receiving hormonal treatment</w:t>
      </w:r>
      <w:r>
        <w:t xml:space="preserve"> </w:t>
      </w:r>
      <w:r w:rsidR="00F03C00">
        <w:t xml:space="preserve">while holding bone scan score and performance status constant </w:t>
      </w:r>
      <w:r>
        <w:t>(p=0.001).</w:t>
      </w:r>
    </w:p>
    <w:p w:rsidR="00DF2DF5" w:rsidRDefault="00DF2DF5"/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2821"/>
        <w:gridCol w:w="3505"/>
      </w:tblGrid>
      <w:tr w:rsidR="00C43A5C" w:rsidTr="00C43A5C">
        <w:tc>
          <w:tcPr>
            <w:tcW w:w="4582" w:type="dxa"/>
            <w:tcBorders>
              <w:bottom w:val="single" w:sz="4" w:space="0" w:color="auto"/>
            </w:tcBorders>
          </w:tcPr>
          <w:p w:rsidR="00D1254F" w:rsidRDefault="00D1254F" w:rsidP="00581625">
            <w:r>
              <w:t xml:space="preserve">c. 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bottom"/>
          </w:tcPr>
          <w:p w:rsidR="00D1254F" w:rsidRDefault="00D1254F" w:rsidP="00581625">
            <w:pPr>
              <w:jc w:val="center"/>
            </w:pPr>
            <w:r>
              <w:t>Adjusted OR*</w:t>
            </w:r>
          </w:p>
          <w:p w:rsidR="00D1254F" w:rsidRDefault="00D1254F" w:rsidP="00581625">
            <w:pPr>
              <w:jc w:val="center"/>
            </w:pPr>
            <w:r>
              <w:t>(95% confidence interval)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:rsidR="00C43A5C" w:rsidRDefault="00C43A5C" w:rsidP="00581625">
            <w:pPr>
              <w:jc w:val="center"/>
            </w:pPr>
          </w:p>
          <w:p w:rsidR="00D1254F" w:rsidRDefault="00D1254F" w:rsidP="00581625">
            <w:pPr>
              <w:jc w:val="center"/>
            </w:pPr>
            <w:r>
              <w:t>p value</w:t>
            </w:r>
            <w:r w:rsidR="00C43A5C">
              <w:t>,</w:t>
            </w:r>
          </w:p>
          <w:p w:rsidR="00C43A5C" w:rsidRDefault="00C43A5C" w:rsidP="00C43A5C">
            <w:pPr>
              <w:jc w:val="center"/>
            </w:pPr>
            <w:r>
              <w:t>overall relationship between nadir PSA and prostate cancer relapse</w:t>
            </w:r>
          </w:p>
        </w:tc>
      </w:tr>
      <w:tr w:rsidR="00C43A5C" w:rsidTr="00C43A5C">
        <w:trPr>
          <w:trHeight w:val="377"/>
        </w:trPr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D1254F" w:rsidRDefault="00D1254F" w:rsidP="00DF2DF5">
            <w:r>
              <w:t>Nadir post-therapy PSA value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2821" w:type="dxa"/>
            <w:tcBorders>
              <w:top w:val="single" w:sz="4" w:space="0" w:color="auto"/>
            </w:tcBorders>
            <w:vAlign w:val="bottom"/>
          </w:tcPr>
          <w:p w:rsidR="00D1254F" w:rsidRDefault="00D1254F" w:rsidP="00581625">
            <w:pPr>
              <w:jc w:val="center"/>
            </w:pPr>
          </w:p>
        </w:tc>
        <w:tc>
          <w:tcPr>
            <w:tcW w:w="3505" w:type="dxa"/>
            <w:tcBorders>
              <w:top w:val="single" w:sz="4" w:space="0" w:color="auto"/>
            </w:tcBorders>
            <w:vAlign w:val="bottom"/>
          </w:tcPr>
          <w:p w:rsidR="00D1254F" w:rsidRDefault="00D1254F" w:rsidP="00C43A5C">
            <w:pPr>
              <w:jc w:val="center"/>
            </w:pPr>
            <w:r>
              <w:t>0.</w:t>
            </w:r>
            <w:r w:rsidR="00BD29D6">
              <w:t>026</w:t>
            </w:r>
          </w:p>
        </w:tc>
      </w:tr>
      <w:tr w:rsidR="00DF2DF5" w:rsidTr="00C43A5C">
        <w:trPr>
          <w:trHeight w:val="288"/>
        </w:trPr>
        <w:tc>
          <w:tcPr>
            <w:tcW w:w="4582" w:type="dxa"/>
            <w:vAlign w:val="center"/>
          </w:tcPr>
          <w:p w:rsidR="00DF2DF5" w:rsidRDefault="00DF2DF5" w:rsidP="00C43A5C">
            <w:r>
              <w:t xml:space="preserve">    0</w:t>
            </w:r>
            <w:r>
              <w:rPr>
                <w:rFonts w:ascii="Calibri" w:hAnsi="Calibri"/>
              </w:rPr>
              <w:t>–</w:t>
            </w:r>
            <w:r>
              <w:t>0.9</w:t>
            </w:r>
            <w:r w:rsidR="00C805F4">
              <w:t>9</w:t>
            </w:r>
          </w:p>
        </w:tc>
        <w:tc>
          <w:tcPr>
            <w:tcW w:w="2821" w:type="dxa"/>
            <w:vAlign w:val="center"/>
          </w:tcPr>
          <w:p w:rsidR="00DF2DF5" w:rsidRDefault="00BD29D6" w:rsidP="00581625">
            <w:pPr>
              <w:jc w:val="center"/>
            </w:pPr>
            <w:r>
              <w:t>29.62 (0.721, 1217.343</w:t>
            </w:r>
            <w:r w:rsidR="00C43A5C">
              <w:t>)</w:t>
            </w:r>
          </w:p>
        </w:tc>
        <w:tc>
          <w:tcPr>
            <w:tcW w:w="3505" w:type="dxa"/>
            <w:vAlign w:val="center"/>
          </w:tcPr>
          <w:p w:rsidR="00DF2DF5" w:rsidRDefault="00DF2DF5" w:rsidP="00581625">
            <w:pPr>
              <w:jc w:val="center"/>
            </w:pPr>
          </w:p>
        </w:tc>
      </w:tr>
      <w:tr w:rsidR="00DF2DF5" w:rsidTr="00C43A5C">
        <w:trPr>
          <w:trHeight w:val="180"/>
        </w:trPr>
        <w:tc>
          <w:tcPr>
            <w:tcW w:w="4582" w:type="dxa"/>
            <w:vAlign w:val="center"/>
          </w:tcPr>
          <w:p w:rsidR="00DF2DF5" w:rsidRDefault="00DF2DF5" w:rsidP="00C43A5C">
            <w:r>
              <w:t xml:space="preserve">    1</w:t>
            </w:r>
            <w:r w:rsidR="00C805F4">
              <w:t>.00</w:t>
            </w:r>
            <w:r>
              <w:rPr>
                <w:rFonts w:ascii="Calibri" w:hAnsi="Calibri"/>
              </w:rPr>
              <w:t>–</w:t>
            </w:r>
            <w:r>
              <w:t>3.9</w:t>
            </w:r>
            <w:r w:rsidR="00C805F4">
              <w:t>9</w:t>
            </w:r>
          </w:p>
        </w:tc>
        <w:tc>
          <w:tcPr>
            <w:tcW w:w="2821" w:type="dxa"/>
            <w:vAlign w:val="center"/>
          </w:tcPr>
          <w:p w:rsidR="00DF2DF5" w:rsidRDefault="00BD29D6" w:rsidP="00581625">
            <w:pPr>
              <w:jc w:val="center"/>
            </w:pPr>
            <w:r>
              <w:t>0.90</w:t>
            </w:r>
            <w:r w:rsidR="00AE2822">
              <w:t xml:space="preserve"> </w:t>
            </w:r>
            <w:r>
              <w:t>(0.287</w:t>
            </w:r>
            <w:r w:rsidR="00C43A5C">
              <w:t xml:space="preserve">, </w:t>
            </w:r>
            <w:r>
              <w:t>2.846</w:t>
            </w:r>
            <w:r w:rsidR="00C43A5C">
              <w:t>)</w:t>
            </w:r>
          </w:p>
        </w:tc>
        <w:tc>
          <w:tcPr>
            <w:tcW w:w="3505" w:type="dxa"/>
            <w:vAlign w:val="center"/>
          </w:tcPr>
          <w:p w:rsidR="00DF2DF5" w:rsidRDefault="00DF2DF5" w:rsidP="00581625">
            <w:pPr>
              <w:jc w:val="center"/>
            </w:pPr>
          </w:p>
        </w:tc>
      </w:tr>
      <w:tr w:rsidR="00DF2DF5" w:rsidTr="009554C7">
        <w:trPr>
          <w:trHeight w:val="288"/>
        </w:trPr>
        <w:tc>
          <w:tcPr>
            <w:tcW w:w="4582" w:type="dxa"/>
            <w:vAlign w:val="center"/>
          </w:tcPr>
          <w:p w:rsidR="00DF2DF5" w:rsidRDefault="00DF2DF5" w:rsidP="00C43A5C">
            <w:r>
              <w:t xml:space="preserve">    4</w:t>
            </w:r>
            <w:r w:rsidR="00C805F4">
              <w:t>.00</w:t>
            </w:r>
            <w:r>
              <w:rPr>
                <w:rFonts w:ascii="Calibri" w:hAnsi="Calibri"/>
              </w:rPr>
              <w:t>–</w:t>
            </w:r>
            <w:r>
              <w:t>15.9</w:t>
            </w:r>
            <w:r w:rsidR="00C805F4">
              <w:t>9</w:t>
            </w:r>
          </w:p>
        </w:tc>
        <w:tc>
          <w:tcPr>
            <w:tcW w:w="2821" w:type="dxa"/>
            <w:vAlign w:val="center"/>
          </w:tcPr>
          <w:p w:rsidR="00DF2DF5" w:rsidRDefault="00BD29D6" w:rsidP="00C43A5C">
            <w:pPr>
              <w:jc w:val="center"/>
            </w:pPr>
            <w:r>
              <w:t>1.38 (0.891, 2.138</w:t>
            </w:r>
            <w:r w:rsidR="00C43A5C">
              <w:t>)</w:t>
            </w:r>
          </w:p>
        </w:tc>
        <w:tc>
          <w:tcPr>
            <w:tcW w:w="3505" w:type="dxa"/>
            <w:vAlign w:val="center"/>
          </w:tcPr>
          <w:p w:rsidR="00DF2DF5" w:rsidRDefault="00DF2DF5" w:rsidP="00581625">
            <w:pPr>
              <w:jc w:val="center"/>
            </w:pPr>
          </w:p>
        </w:tc>
      </w:tr>
      <w:tr w:rsidR="00DF2DF5" w:rsidTr="009554C7">
        <w:trPr>
          <w:trHeight w:val="288"/>
        </w:trPr>
        <w:tc>
          <w:tcPr>
            <w:tcW w:w="4582" w:type="dxa"/>
            <w:vAlign w:val="center"/>
          </w:tcPr>
          <w:p w:rsidR="00DF2DF5" w:rsidRDefault="00DF2DF5" w:rsidP="00C43A5C">
            <w:r>
              <w:t xml:space="preserve">    16</w:t>
            </w:r>
            <w:r w:rsidR="00C805F4">
              <w:t>.00</w:t>
            </w:r>
            <w:r>
              <w:t xml:space="preserve"> and over</w:t>
            </w:r>
          </w:p>
        </w:tc>
        <w:tc>
          <w:tcPr>
            <w:tcW w:w="2821" w:type="dxa"/>
            <w:vAlign w:val="center"/>
          </w:tcPr>
          <w:p w:rsidR="00DF2DF5" w:rsidRDefault="00BD29D6" w:rsidP="00581625">
            <w:pPr>
              <w:jc w:val="center"/>
            </w:pPr>
            <w:r>
              <w:t>0.98 (0.948, 1.017</w:t>
            </w:r>
            <w:r w:rsidR="00C43A5C">
              <w:t>)</w:t>
            </w:r>
          </w:p>
        </w:tc>
        <w:tc>
          <w:tcPr>
            <w:tcW w:w="3505" w:type="dxa"/>
            <w:vAlign w:val="center"/>
          </w:tcPr>
          <w:p w:rsidR="00DF2DF5" w:rsidRDefault="00DF2DF5" w:rsidP="00581625">
            <w:pPr>
              <w:jc w:val="center"/>
            </w:pPr>
          </w:p>
        </w:tc>
      </w:tr>
      <w:tr w:rsidR="009554C7" w:rsidTr="009554C7">
        <w:trPr>
          <w:trHeight w:val="288"/>
        </w:trPr>
        <w:tc>
          <w:tcPr>
            <w:tcW w:w="4582" w:type="dxa"/>
            <w:tcBorders>
              <w:bottom w:val="single" w:sz="4" w:space="0" w:color="auto"/>
            </w:tcBorders>
            <w:vAlign w:val="center"/>
          </w:tcPr>
          <w:p w:rsidR="009554C7" w:rsidRDefault="009554C7" w:rsidP="00C43A5C">
            <w:r>
              <w:t>Intercept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9554C7" w:rsidRDefault="009554C7" w:rsidP="00AF79C7">
            <w:pPr>
              <w:jc w:val="center"/>
            </w:pPr>
            <w:r>
              <w:t>0.</w:t>
            </w:r>
            <w:r w:rsidR="00AF79C7">
              <w:t>507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:rsidR="009554C7" w:rsidRDefault="009554C7" w:rsidP="00581625">
            <w:pPr>
              <w:jc w:val="center"/>
            </w:pPr>
          </w:p>
        </w:tc>
      </w:tr>
      <w:tr w:rsidR="00D1254F" w:rsidTr="00C43A5C">
        <w:trPr>
          <w:trHeight w:val="305"/>
        </w:trPr>
        <w:tc>
          <w:tcPr>
            <w:tcW w:w="10908" w:type="dxa"/>
            <w:gridSpan w:val="3"/>
            <w:tcBorders>
              <w:top w:val="single" w:sz="4" w:space="0" w:color="auto"/>
            </w:tcBorders>
            <w:vAlign w:val="center"/>
          </w:tcPr>
          <w:p w:rsidR="00D1254F" w:rsidRPr="000E18C7" w:rsidRDefault="00D1254F" w:rsidP="00581625">
            <w:pPr>
              <w:rPr>
                <w:sz w:val="18"/>
                <w:szCs w:val="18"/>
              </w:rPr>
            </w:pPr>
            <w:r w:rsidRPr="000E18C7">
              <w:rPr>
                <w:sz w:val="18"/>
                <w:szCs w:val="18"/>
              </w:rPr>
              <w:t xml:space="preserve">* Adjusted for </w:t>
            </w:r>
            <w:r>
              <w:rPr>
                <w:sz w:val="18"/>
                <w:szCs w:val="18"/>
              </w:rPr>
              <w:t>bone scan score and performance status</w:t>
            </w:r>
          </w:p>
          <w:p w:rsidR="00D1254F" w:rsidRDefault="00D1254F" w:rsidP="00581625">
            <w:pPr>
              <w:jc w:val="center"/>
            </w:pPr>
          </w:p>
        </w:tc>
      </w:tr>
    </w:tbl>
    <w:p w:rsidR="00D1254F" w:rsidRDefault="00D1254F"/>
    <w:p w:rsidR="00A23B0C" w:rsidRDefault="00A23B0C" w:rsidP="00A57280">
      <w:r>
        <w:t>For interpretation of the linear spline results and changes that occur at the knots, see the graph on Figure 1.</w:t>
      </w:r>
    </w:p>
    <w:p w:rsidR="00C805F4" w:rsidRPr="00B328E0" w:rsidRDefault="00A57280" w:rsidP="00A57280">
      <w:r w:rsidRPr="00B328E0">
        <w:t xml:space="preserve">On average, </w:t>
      </w:r>
      <w:r w:rsidR="00C805F4" w:rsidRPr="00B328E0">
        <w:t xml:space="preserve">for nadir post-therapy PSA values from 0 </w:t>
      </w:r>
      <w:proofErr w:type="spellStart"/>
      <w:r w:rsidR="00E46220">
        <w:t>ng</w:t>
      </w:r>
      <w:proofErr w:type="spellEnd"/>
      <w:r w:rsidR="00E46220">
        <w:t xml:space="preserve">/ml </w:t>
      </w:r>
      <w:r w:rsidR="00C805F4" w:rsidRPr="00B328E0">
        <w:t>to 0.99</w:t>
      </w:r>
      <w:r w:rsidR="00E46220">
        <w:t xml:space="preserve"> </w:t>
      </w:r>
      <w:proofErr w:type="spellStart"/>
      <w:r w:rsidR="00E46220">
        <w:t>ng</w:t>
      </w:r>
      <w:proofErr w:type="spellEnd"/>
      <w:r w:rsidR="00E46220">
        <w:t>/ml</w:t>
      </w:r>
      <w:r w:rsidR="00C805F4" w:rsidRPr="00B328E0">
        <w:t xml:space="preserve">, </w:t>
      </w:r>
      <w:r w:rsidRPr="00B328E0">
        <w:t xml:space="preserve">the </w:t>
      </w:r>
      <w:r w:rsidR="00FB1549">
        <w:t xml:space="preserve">log </w:t>
      </w:r>
      <w:r w:rsidRPr="00B328E0">
        <w:t xml:space="preserve">odds of </w:t>
      </w:r>
      <w:r w:rsidR="00C805F4" w:rsidRPr="00B328E0">
        <w:t xml:space="preserve">prostate cancer </w:t>
      </w:r>
      <w:r w:rsidRPr="00B328E0">
        <w:t>relapse within 24 months</w:t>
      </w:r>
      <w:r w:rsidR="00B328E0">
        <w:t xml:space="preserve"> of hormonal treatment</w:t>
      </w:r>
      <w:r w:rsidRPr="00B328E0">
        <w:t xml:space="preserve"> is estimated to increase by </w:t>
      </w:r>
      <w:r w:rsidR="00BD29D6">
        <w:t>29.62</w:t>
      </w:r>
      <w:r w:rsidRPr="00B328E0">
        <w:t xml:space="preserve"> </w:t>
      </w:r>
      <w:r w:rsidR="00C805F4" w:rsidRPr="00B328E0">
        <w:t xml:space="preserve">for </w:t>
      </w:r>
      <w:r w:rsidR="00B328E0">
        <w:t>one</w:t>
      </w:r>
      <w:r w:rsidR="00C805F4" w:rsidRPr="00B328E0">
        <w:t xml:space="preserve"> </w:t>
      </w:r>
      <w:proofErr w:type="spellStart"/>
      <w:r w:rsidR="00C805F4" w:rsidRPr="00B328E0">
        <w:t>ng</w:t>
      </w:r>
      <w:proofErr w:type="spellEnd"/>
      <w:r w:rsidR="00C805F4" w:rsidRPr="00B328E0">
        <w:t xml:space="preserve">/ml increase in </w:t>
      </w:r>
      <w:r w:rsidRPr="00B328E0">
        <w:lastRenderedPageBreak/>
        <w:t xml:space="preserve">nadir post-therapy PSA value, with higher PSA scores having more relapse, when holding bone scan score and performance status constant (95% CI </w:t>
      </w:r>
      <w:r w:rsidR="00BD29D6">
        <w:t>0.721</w:t>
      </w:r>
      <w:r w:rsidRPr="00B328E0">
        <w:t xml:space="preserve"> to </w:t>
      </w:r>
      <w:r w:rsidR="00BD29D6">
        <w:t>1217.343</w:t>
      </w:r>
      <w:r w:rsidRPr="00B328E0">
        <w:t xml:space="preserve">). </w:t>
      </w:r>
    </w:p>
    <w:p w:rsidR="00C805F4" w:rsidRDefault="00C805F4" w:rsidP="00A57280">
      <w:r w:rsidRPr="00B328E0">
        <w:t xml:space="preserve">For nadir post-therapy PSA values from 1.00 </w:t>
      </w:r>
      <w:proofErr w:type="spellStart"/>
      <w:r w:rsidR="00E46220">
        <w:t>ng</w:t>
      </w:r>
      <w:proofErr w:type="spellEnd"/>
      <w:r w:rsidR="00E46220">
        <w:t xml:space="preserve">/ml </w:t>
      </w:r>
      <w:r w:rsidRPr="00B328E0">
        <w:t>to 3.99</w:t>
      </w:r>
      <w:r w:rsidR="00E46220">
        <w:t xml:space="preserve"> </w:t>
      </w:r>
      <w:proofErr w:type="spellStart"/>
      <w:r w:rsidR="00E46220">
        <w:t>ng</w:t>
      </w:r>
      <w:proofErr w:type="spellEnd"/>
      <w:r w:rsidR="00E46220">
        <w:t>/ml</w:t>
      </w:r>
      <w:r w:rsidRPr="00B328E0">
        <w:t xml:space="preserve">, the </w:t>
      </w:r>
      <w:r w:rsidR="00FB1549">
        <w:t xml:space="preserve">log </w:t>
      </w:r>
      <w:r w:rsidRPr="00B328E0">
        <w:t xml:space="preserve">odds of </w:t>
      </w:r>
      <w:r w:rsidR="00B328E0">
        <w:t xml:space="preserve">prostate cancer </w:t>
      </w:r>
      <w:r w:rsidRPr="00B328E0">
        <w:t xml:space="preserve">relapse within 24 months of </w:t>
      </w:r>
      <w:r w:rsidR="00B328E0">
        <w:t xml:space="preserve">hormonal treatment </w:t>
      </w:r>
      <w:r w:rsidR="00BD29D6">
        <w:t>is estimated to increase by 0.90</w:t>
      </w:r>
      <w:r w:rsidR="00B328E0">
        <w:t xml:space="preserve"> for each </w:t>
      </w:r>
      <w:proofErr w:type="spellStart"/>
      <w:r w:rsidR="00B328E0">
        <w:t>ng</w:t>
      </w:r>
      <w:proofErr w:type="spellEnd"/>
      <w:r w:rsidR="00B328E0">
        <w:t>/ml increase in nadir post-therapy PSA value, with higher PSA scores having more relapse, when holding bone scan score and performance</w:t>
      </w:r>
      <w:r w:rsidR="00BD29D6">
        <w:t xml:space="preserve"> status constant (95% CI 0.287 to 2.846</w:t>
      </w:r>
      <w:r w:rsidR="00B328E0">
        <w:t xml:space="preserve">). </w:t>
      </w:r>
    </w:p>
    <w:p w:rsidR="00B328E0" w:rsidRDefault="00B328E0" w:rsidP="00A57280">
      <w:r>
        <w:t>For nadir post-therapy PSA values from 4.00</w:t>
      </w:r>
      <w:r w:rsidR="00E46220">
        <w:t xml:space="preserve"> </w:t>
      </w:r>
      <w:proofErr w:type="spellStart"/>
      <w:r w:rsidR="00E46220">
        <w:t>ng</w:t>
      </w:r>
      <w:proofErr w:type="spellEnd"/>
      <w:r w:rsidR="00E46220">
        <w:t>/ml</w:t>
      </w:r>
      <w:r>
        <w:t xml:space="preserve"> to 15.99</w:t>
      </w:r>
      <w:r w:rsidR="00E46220">
        <w:t xml:space="preserve"> </w:t>
      </w:r>
      <w:proofErr w:type="spellStart"/>
      <w:r w:rsidR="00E46220">
        <w:t>ng</w:t>
      </w:r>
      <w:proofErr w:type="spellEnd"/>
      <w:r w:rsidR="00E46220">
        <w:t>/ml</w:t>
      </w:r>
      <w:r>
        <w:t xml:space="preserve">, the </w:t>
      </w:r>
      <w:r w:rsidR="00FB1549">
        <w:t xml:space="preserve">log </w:t>
      </w:r>
      <w:r>
        <w:t xml:space="preserve">odds of prostate cancer relapse within 24 months of hormonal treatment </w:t>
      </w:r>
      <w:r w:rsidR="00BD29D6">
        <w:t>is estimated to increase by 1.38</w:t>
      </w:r>
      <w:r>
        <w:t xml:space="preserve"> for each </w:t>
      </w:r>
      <w:proofErr w:type="spellStart"/>
      <w:r>
        <w:t>ng</w:t>
      </w:r>
      <w:proofErr w:type="spellEnd"/>
      <w:r>
        <w:t>/ml increase in nadir post-therapy PSA value, with higher PSA scores having more relapse, when holding bone scan score and performance status consta</w:t>
      </w:r>
      <w:r w:rsidR="00BD29D6">
        <w:t>nt (95% CI 0.891 to 2.138</w:t>
      </w:r>
      <w:r>
        <w:t>).</w:t>
      </w:r>
    </w:p>
    <w:p w:rsidR="00B328E0" w:rsidRDefault="00B328E0" w:rsidP="00A57280">
      <w:r>
        <w:t>For nadir post-therapy PSA values of 16.00</w:t>
      </w:r>
      <w:r w:rsidR="00E46220">
        <w:t xml:space="preserve"> </w:t>
      </w:r>
      <w:proofErr w:type="spellStart"/>
      <w:r w:rsidR="00E46220">
        <w:t>ng</w:t>
      </w:r>
      <w:proofErr w:type="spellEnd"/>
      <w:r w:rsidR="00E46220">
        <w:t>/ml</w:t>
      </w:r>
      <w:r>
        <w:t xml:space="preserve"> and over, the </w:t>
      </w:r>
      <w:r w:rsidR="00FB1549">
        <w:t xml:space="preserve">log </w:t>
      </w:r>
      <w:r>
        <w:t xml:space="preserve">odds of prostate cancer relapse within 24 months of hormonal treatment </w:t>
      </w:r>
      <w:r w:rsidR="0049642E">
        <w:t>is estimated to increase by 0.98</w:t>
      </w:r>
      <w:r>
        <w:t xml:space="preserve"> for each </w:t>
      </w:r>
      <w:proofErr w:type="spellStart"/>
      <w:r>
        <w:t>ng</w:t>
      </w:r>
      <w:proofErr w:type="spellEnd"/>
      <w:r>
        <w:t>/ml increase in nadir post-therapy PSA value, with higher PSA scores having more relapse, when holding bone scan score and performan</w:t>
      </w:r>
      <w:r w:rsidR="0049642E">
        <w:t>ce status constant (95% CI 0.948 to 1.017</w:t>
      </w:r>
      <w:r>
        <w:t>).</w:t>
      </w:r>
    </w:p>
    <w:p w:rsidR="00A57280" w:rsidRDefault="00F03C00" w:rsidP="00A57280">
      <w:r>
        <w:t xml:space="preserve">The overall </w:t>
      </w:r>
      <w:r w:rsidR="00A57280" w:rsidRPr="00B328E0">
        <w:t xml:space="preserve">association </w:t>
      </w:r>
      <w:r>
        <w:t xml:space="preserve">between nadir post-therapy PSA value and prostate cancer relapse within 24 months of hormonal treatment </w:t>
      </w:r>
      <w:r w:rsidR="00A57280" w:rsidRPr="00B328E0">
        <w:t xml:space="preserve">is statistically significant </w:t>
      </w:r>
      <w:r w:rsidR="00303B16" w:rsidRPr="00B328E0">
        <w:t>on</w:t>
      </w:r>
      <w:r w:rsidR="00A57280" w:rsidRPr="00B328E0">
        <w:t xml:space="preserve"> the alpha=0.05 level. </w:t>
      </w:r>
      <w:r>
        <w:t>This</w:t>
      </w:r>
      <w:r w:rsidR="00A57280" w:rsidRPr="00B328E0">
        <w:t xml:space="preserve"> result would </w:t>
      </w:r>
      <w:r w:rsidR="0049642E">
        <w:t xml:space="preserve">not </w:t>
      </w:r>
      <w:r w:rsidR="00A57280" w:rsidRPr="00B328E0">
        <w:t>be typical when there is no true difference in nadir post-therapy PSA levels between men who relapsed within 24 months and men who did not relapse</w:t>
      </w:r>
      <w:r>
        <w:t xml:space="preserve"> within 24 months of hormonal treatment</w:t>
      </w:r>
      <w:r w:rsidR="00A57280" w:rsidRPr="00B328E0">
        <w:t xml:space="preserve"> </w:t>
      </w:r>
      <w:r>
        <w:t xml:space="preserve">while holding bone scan score and performance status constant </w:t>
      </w:r>
      <w:r w:rsidR="0049642E">
        <w:t>(p=0.026</w:t>
      </w:r>
      <w:r w:rsidR="00A57280" w:rsidRPr="00B328E0">
        <w:t>).</w:t>
      </w:r>
    </w:p>
    <w:p w:rsidR="0049642E" w:rsidRDefault="0049642E" w:rsidP="00A57280"/>
    <w:p w:rsidR="00530DF0" w:rsidRDefault="00530DF0" w:rsidP="00A57280">
      <w:r>
        <w:t xml:space="preserve">Figure 1. </w:t>
      </w:r>
      <w:r w:rsidR="0049642E">
        <w:t xml:space="preserve">Graph of relapse within 24 months </w:t>
      </w:r>
      <w:r>
        <w:t xml:space="preserve">after hormonal treatment for prostate cancer </w:t>
      </w:r>
      <w:r w:rsidR="0049642E">
        <w:t xml:space="preserve">by nadir post-hormonal treatment PSA level </w:t>
      </w:r>
      <w:r>
        <w:t>holding</w:t>
      </w:r>
      <w:r w:rsidR="0049642E">
        <w:t xml:space="preserve"> bone scan score=3 and performance status=80 showing knots at </w:t>
      </w:r>
    </w:p>
    <w:p w:rsidR="0049642E" w:rsidRDefault="0049642E" w:rsidP="00A57280">
      <w:r>
        <w:t xml:space="preserve">1 </w:t>
      </w:r>
      <w:proofErr w:type="spellStart"/>
      <w:r>
        <w:t>ng</w:t>
      </w:r>
      <w:proofErr w:type="spellEnd"/>
      <w:r>
        <w:t xml:space="preserve">/ml, 4 </w:t>
      </w:r>
      <w:proofErr w:type="spellStart"/>
      <w:r>
        <w:t>ng</w:t>
      </w:r>
      <w:proofErr w:type="spellEnd"/>
      <w:r>
        <w:t xml:space="preserve">/ml, and 16 </w:t>
      </w:r>
      <w:proofErr w:type="spellStart"/>
      <w:r>
        <w:t>ng</w:t>
      </w:r>
      <w:proofErr w:type="spellEnd"/>
      <w:r>
        <w:t>/ml.</w:t>
      </w:r>
    </w:p>
    <w:p w:rsidR="00530DF0" w:rsidRDefault="00530DF0" w:rsidP="00A57280"/>
    <w:p w:rsidR="00530DF0" w:rsidRDefault="00530DF0" w:rsidP="00A57280">
      <w:r w:rsidRPr="00530DF0">
        <w:rPr>
          <w:noProof/>
        </w:rPr>
        <w:drawing>
          <wp:inline distT="0" distB="0" distL="0" distR="0">
            <wp:extent cx="5114925" cy="3743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F0" w:rsidRDefault="00530DF0" w:rsidP="00A57280"/>
    <w:p w:rsidR="00BD29D6" w:rsidRDefault="00BD29D6" w:rsidP="00A57280"/>
    <w:p w:rsidR="00AF79C7" w:rsidRDefault="00831097">
      <w:r>
        <w:t xml:space="preserve">d. </w:t>
      </w:r>
      <w:r w:rsidR="00AF44A6">
        <w:t>Interpretation of the intercept.</w:t>
      </w:r>
    </w:p>
    <w:p w:rsidR="003C6E65" w:rsidRDefault="00AF44A6">
      <w:r>
        <w:lastRenderedPageBreak/>
        <w:t>q</w:t>
      </w:r>
      <w:r w:rsidR="003C6E65">
        <w:t xml:space="preserve">2a. On average, the </w:t>
      </w:r>
      <w:r w:rsidR="00FB1549">
        <w:t xml:space="preserve">log </w:t>
      </w:r>
      <w:r w:rsidR="003C6E65">
        <w:t xml:space="preserve">odds of prostate cancer relapse within 24 months post-hormonal treatment is 2.072 when post-treatment nadir PSA is zero, bone scan score is zero, and performance score is zero. </w:t>
      </w:r>
      <w:r w:rsidR="00AF79C7">
        <w:t>The intercept is not meaningful since PSA level in men does not go to zero and bone scan score does not go to zero.</w:t>
      </w:r>
    </w:p>
    <w:p w:rsidR="00AF44A6" w:rsidRDefault="00AF44A6">
      <w:r>
        <w:t>q</w:t>
      </w:r>
      <w:r w:rsidR="003C6E65">
        <w:t xml:space="preserve">2b. </w:t>
      </w:r>
      <w:r w:rsidR="003C6E65" w:rsidRPr="00337613">
        <w:t xml:space="preserve">On average, the </w:t>
      </w:r>
      <w:r w:rsidR="005119AF">
        <w:t xml:space="preserve">log </w:t>
      </w:r>
      <w:r w:rsidR="003C6E65" w:rsidRPr="00337613">
        <w:t>odds of prostate cancer relapse within 24 months post-hormonal treatment is 3.061 when the log</w:t>
      </w:r>
      <w:r w:rsidR="003C6E65" w:rsidRPr="00337613">
        <w:rPr>
          <w:vertAlign w:val="subscript"/>
        </w:rPr>
        <w:t>10</w:t>
      </w:r>
      <w:r w:rsidR="003C6E65" w:rsidRPr="00337613">
        <w:t xml:space="preserve"> nadir post-treatment PSA is </w:t>
      </w:r>
      <w:r w:rsidR="00337613" w:rsidRPr="00337613">
        <w:t>zero</w:t>
      </w:r>
      <w:r w:rsidR="003C6E65" w:rsidRPr="00337613">
        <w:t>, bone scan score is zero, and performance score is zero.</w:t>
      </w:r>
      <w:r w:rsidR="00AF79C7" w:rsidRPr="00337613">
        <w:t xml:space="preserve"> </w:t>
      </w:r>
      <w:r w:rsidR="00337613">
        <w:t xml:space="preserve">A </w:t>
      </w:r>
      <w:r w:rsidR="00337613" w:rsidRPr="00337613">
        <w:t>log</w:t>
      </w:r>
      <w:r w:rsidR="00337613" w:rsidRPr="00337613">
        <w:rPr>
          <w:vertAlign w:val="subscript"/>
        </w:rPr>
        <w:t>10</w:t>
      </w:r>
      <w:r w:rsidR="00CA7AC3">
        <w:t xml:space="preserve"> nadir post-treatment PSA of</w:t>
      </w:r>
      <w:r w:rsidR="00337613">
        <w:t xml:space="preserve"> 0 is equivalent to a nadir post-treatment PSA of 1.</w:t>
      </w:r>
      <w:r w:rsidR="00337613" w:rsidRPr="00337613">
        <w:t xml:space="preserve"> </w:t>
      </w:r>
    </w:p>
    <w:p w:rsidR="00CA7AC3" w:rsidRDefault="00CA7AC3"/>
    <w:p w:rsidR="003C6E65" w:rsidRPr="003C6E65" w:rsidRDefault="00AF44A6">
      <w:r>
        <w:t>q</w:t>
      </w:r>
      <w:r w:rsidR="003C6E65">
        <w:t xml:space="preserve">2c. On average, the </w:t>
      </w:r>
      <w:r w:rsidR="005119AF">
        <w:t xml:space="preserve">log </w:t>
      </w:r>
      <w:r w:rsidR="003C6E65">
        <w:t>odds of prostate cancer relapse within 24 months p</w:t>
      </w:r>
      <w:r w:rsidR="00AF79C7">
        <w:t>ost-hormonal treatment is 0.507</w:t>
      </w:r>
      <w:r w:rsidR="003C6E65">
        <w:t xml:space="preserve"> when post-treatment nadir PSA is zero, bone scan score is zero, and performance score is zero. </w:t>
      </w:r>
      <w:r w:rsidR="00AF79C7">
        <w:t>The intercept is not meaningful since PSA level in men does not go to zero and bone scan score does not go to zero.</w:t>
      </w:r>
    </w:p>
    <w:p w:rsidR="00831097" w:rsidRDefault="00831097"/>
    <w:p w:rsidR="00831097" w:rsidRDefault="00831097">
      <w:r>
        <w:t xml:space="preserve">3. </w:t>
      </w:r>
      <w:r w:rsidR="00E94042">
        <w:t>Association of nadir post-hormonal treatment PSA level by relapse within 24 months adjusting for bone scan score and performance status</w:t>
      </w:r>
      <w:r w:rsidR="00F109FD">
        <w:t xml:space="preserve"> using linear regression with robust standard errors</w:t>
      </w:r>
      <w:r w:rsidR="00E94042">
        <w:t>, n=48</w:t>
      </w:r>
    </w:p>
    <w:p w:rsidR="00E878E6" w:rsidRDefault="00E878E6"/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2821"/>
        <w:gridCol w:w="1409"/>
      </w:tblGrid>
      <w:tr w:rsidR="00E94042" w:rsidTr="00D70B40">
        <w:tc>
          <w:tcPr>
            <w:tcW w:w="5120" w:type="dxa"/>
            <w:tcBorders>
              <w:bottom w:val="single" w:sz="4" w:space="0" w:color="auto"/>
            </w:tcBorders>
          </w:tcPr>
          <w:p w:rsidR="00E94042" w:rsidRDefault="00E94042" w:rsidP="00AB766F">
            <w:r>
              <w:t xml:space="preserve">a. 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E94042" w:rsidRDefault="00877338" w:rsidP="00AB766F">
            <w:pPr>
              <w:jc w:val="center"/>
            </w:pPr>
            <w:r>
              <w:t>Adjusted R</w:t>
            </w:r>
            <w:r w:rsidR="00E94042">
              <w:t>R*</w:t>
            </w:r>
          </w:p>
          <w:p w:rsidR="00E94042" w:rsidRDefault="00E94042" w:rsidP="00AB766F">
            <w:pPr>
              <w:jc w:val="center"/>
            </w:pPr>
            <w:r>
              <w:t>(95% confidence interval)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E94042" w:rsidRDefault="00E94042" w:rsidP="00AB766F">
            <w:pPr>
              <w:jc w:val="center"/>
            </w:pPr>
            <w:r>
              <w:t>p value</w:t>
            </w:r>
          </w:p>
        </w:tc>
      </w:tr>
      <w:tr w:rsidR="00E94042" w:rsidTr="00D70B40">
        <w:trPr>
          <w:trHeight w:val="395"/>
        </w:trPr>
        <w:tc>
          <w:tcPr>
            <w:tcW w:w="5120" w:type="dxa"/>
            <w:tcBorders>
              <w:top w:val="single" w:sz="4" w:space="0" w:color="auto"/>
            </w:tcBorders>
            <w:vAlign w:val="center"/>
          </w:tcPr>
          <w:p w:rsidR="00E94042" w:rsidRDefault="00877338" w:rsidP="00AB766F">
            <w:r>
              <w:t>Relapse within 24 months post-hormonal therapy</w:t>
            </w:r>
          </w:p>
        </w:tc>
        <w:tc>
          <w:tcPr>
            <w:tcW w:w="2821" w:type="dxa"/>
            <w:tcBorders>
              <w:top w:val="single" w:sz="4" w:space="0" w:color="auto"/>
            </w:tcBorders>
            <w:vAlign w:val="center"/>
          </w:tcPr>
          <w:p w:rsidR="00E94042" w:rsidRDefault="00F109FD" w:rsidP="00F109FD">
            <w:pPr>
              <w:jc w:val="center"/>
            </w:pPr>
            <w:r>
              <w:t>23.52</w:t>
            </w:r>
            <w:r w:rsidR="00E94042">
              <w:t xml:space="preserve"> (</w:t>
            </w:r>
            <w:r w:rsidR="00D70B40">
              <w:t>0.476</w:t>
            </w:r>
            <w:r w:rsidR="00E94042">
              <w:t xml:space="preserve">, </w:t>
            </w:r>
            <w:r>
              <w:t>46.559</w:t>
            </w:r>
            <w:r w:rsidR="00E94042">
              <w:t>)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E94042" w:rsidRDefault="00E94042" w:rsidP="00AB766F">
            <w:pPr>
              <w:jc w:val="center"/>
            </w:pPr>
            <w:r>
              <w:t>0</w:t>
            </w:r>
            <w:r w:rsidR="00F109FD">
              <w:t>.046</w:t>
            </w:r>
          </w:p>
        </w:tc>
      </w:tr>
      <w:tr w:rsidR="00E94042" w:rsidTr="00877338">
        <w:trPr>
          <w:trHeight w:val="305"/>
        </w:trPr>
        <w:tc>
          <w:tcPr>
            <w:tcW w:w="9350" w:type="dxa"/>
            <w:gridSpan w:val="3"/>
            <w:tcBorders>
              <w:top w:val="single" w:sz="4" w:space="0" w:color="auto"/>
            </w:tcBorders>
            <w:vAlign w:val="center"/>
          </w:tcPr>
          <w:p w:rsidR="00E94042" w:rsidRPr="000E18C7" w:rsidRDefault="00E94042" w:rsidP="00AB766F">
            <w:pPr>
              <w:rPr>
                <w:sz w:val="18"/>
                <w:szCs w:val="18"/>
              </w:rPr>
            </w:pPr>
            <w:r w:rsidRPr="000E18C7">
              <w:rPr>
                <w:sz w:val="18"/>
                <w:szCs w:val="18"/>
              </w:rPr>
              <w:t xml:space="preserve">* Adjusted for </w:t>
            </w:r>
            <w:r>
              <w:rPr>
                <w:sz w:val="18"/>
                <w:szCs w:val="18"/>
              </w:rPr>
              <w:t>bone scan score and performance status</w:t>
            </w:r>
          </w:p>
          <w:p w:rsidR="00E94042" w:rsidRDefault="00E94042" w:rsidP="00AB766F">
            <w:pPr>
              <w:jc w:val="center"/>
            </w:pPr>
          </w:p>
        </w:tc>
      </w:tr>
    </w:tbl>
    <w:p w:rsidR="00F109FD" w:rsidRDefault="00F109FD" w:rsidP="00F109FD">
      <w:r>
        <w:t xml:space="preserve">Using linear regression with robust standard errors, on average, </w:t>
      </w:r>
      <w:r w:rsidR="00293A87">
        <w:t xml:space="preserve">the </w:t>
      </w:r>
      <w:r w:rsidR="00D70B40">
        <w:t xml:space="preserve">mean of </w:t>
      </w:r>
      <w:r w:rsidR="00293A87">
        <w:t>post-hormonal therapy nadir PSA score</w:t>
      </w:r>
      <w:r w:rsidR="00286865">
        <w:t xml:space="preserve"> is </w:t>
      </w:r>
      <w:r w:rsidR="00F3556F">
        <w:t xml:space="preserve">expected to be </w:t>
      </w:r>
      <w:r w:rsidR="00286865">
        <w:t>23.52</w:t>
      </w:r>
      <w:r w:rsidR="00CA7AC3">
        <w:t xml:space="preserve"> </w:t>
      </w:r>
      <w:proofErr w:type="spellStart"/>
      <w:r w:rsidR="00CA7AC3">
        <w:t>ng</w:t>
      </w:r>
      <w:proofErr w:type="spellEnd"/>
      <w:r w:rsidR="00CA7AC3">
        <w:t>/ml</w:t>
      </w:r>
      <w:r w:rsidR="00286865">
        <w:t xml:space="preserve"> higher among men who relapsed within 24 months compared to men who</w:t>
      </w:r>
      <w:r w:rsidR="00CA7AC3">
        <w:t xml:space="preserve"> did not relapse within 24 months</w:t>
      </w:r>
      <w:r w:rsidR="00286865">
        <w:t xml:space="preserve"> </w:t>
      </w:r>
      <w:r>
        <w:t>while holding bone scan score and performance status constant</w:t>
      </w:r>
      <w:r w:rsidR="00D00F81">
        <w:t xml:space="preserve"> (95% CI 0.476 to 46.559)</w:t>
      </w:r>
      <w:r>
        <w:t xml:space="preserve">. This </w:t>
      </w:r>
      <w:r w:rsidR="00CA7AC3">
        <w:t xml:space="preserve">difference </w:t>
      </w:r>
      <w:r>
        <w:t xml:space="preserve">is statistically significant on the alpha=0.05 level. This result would not be typical when there is no true difference in </w:t>
      </w:r>
      <w:r w:rsidR="00293A87">
        <w:t xml:space="preserve">mean </w:t>
      </w:r>
      <w:r>
        <w:t xml:space="preserve">nadir post-therapy PSA levels </w:t>
      </w:r>
      <w:r w:rsidR="00CA7AC3">
        <w:t xml:space="preserve">between men who relapsed and men who did not </w:t>
      </w:r>
      <w:r>
        <w:t>while holding bone scan score and performance status constant (p=0.046).</w:t>
      </w:r>
    </w:p>
    <w:p w:rsidR="00E878E6" w:rsidRDefault="00E878E6" w:rsidP="00F109FD"/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2821"/>
        <w:gridCol w:w="1409"/>
      </w:tblGrid>
      <w:tr w:rsidR="00F109FD" w:rsidTr="00AB766F">
        <w:tc>
          <w:tcPr>
            <w:tcW w:w="5120" w:type="dxa"/>
            <w:tcBorders>
              <w:bottom w:val="single" w:sz="4" w:space="0" w:color="auto"/>
            </w:tcBorders>
          </w:tcPr>
          <w:p w:rsidR="00F109FD" w:rsidRDefault="00F109FD" w:rsidP="00AB766F">
            <w:r>
              <w:t xml:space="preserve">b. 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F109FD" w:rsidRDefault="00F109FD" w:rsidP="00AB766F">
            <w:pPr>
              <w:jc w:val="center"/>
            </w:pPr>
            <w:r>
              <w:t>Adjusted RR*</w:t>
            </w:r>
          </w:p>
          <w:p w:rsidR="00F109FD" w:rsidRDefault="00F109FD" w:rsidP="00AB766F">
            <w:pPr>
              <w:jc w:val="center"/>
            </w:pPr>
            <w:r>
              <w:t>(95% confidence interval)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F109FD" w:rsidRDefault="00F109FD" w:rsidP="00AB766F">
            <w:pPr>
              <w:jc w:val="center"/>
            </w:pPr>
            <w:r>
              <w:t>p value</w:t>
            </w:r>
          </w:p>
        </w:tc>
      </w:tr>
      <w:tr w:rsidR="00F109FD" w:rsidTr="00AB766F">
        <w:trPr>
          <w:trHeight w:val="395"/>
        </w:trPr>
        <w:tc>
          <w:tcPr>
            <w:tcW w:w="5120" w:type="dxa"/>
            <w:tcBorders>
              <w:top w:val="single" w:sz="4" w:space="0" w:color="auto"/>
            </w:tcBorders>
            <w:vAlign w:val="center"/>
          </w:tcPr>
          <w:p w:rsidR="00F109FD" w:rsidRDefault="00F109FD" w:rsidP="00AB766F">
            <w:r>
              <w:t>Relapse within 24 months post-hormonal therapy</w:t>
            </w:r>
          </w:p>
        </w:tc>
        <w:tc>
          <w:tcPr>
            <w:tcW w:w="2821" w:type="dxa"/>
            <w:tcBorders>
              <w:top w:val="single" w:sz="4" w:space="0" w:color="auto"/>
            </w:tcBorders>
            <w:vAlign w:val="center"/>
          </w:tcPr>
          <w:p w:rsidR="00F109FD" w:rsidRDefault="00377CCC" w:rsidP="00AB766F">
            <w:pPr>
              <w:jc w:val="center"/>
            </w:pPr>
            <w:r>
              <w:t>1.14</w:t>
            </w:r>
            <w:r w:rsidR="00F109FD">
              <w:t xml:space="preserve"> (</w:t>
            </w:r>
            <w:r>
              <w:t>0.616</w:t>
            </w:r>
            <w:r w:rsidR="00F109FD">
              <w:t xml:space="preserve">, </w:t>
            </w:r>
            <w:r>
              <w:t>1.655</w:t>
            </w:r>
            <w:r w:rsidR="00F109FD">
              <w:t>)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F109FD" w:rsidRDefault="00377CCC" w:rsidP="00AB766F">
            <w:pPr>
              <w:jc w:val="center"/>
            </w:pPr>
            <w:r>
              <w:t>&lt;</w:t>
            </w:r>
            <w:r w:rsidR="00F109FD">
              <w:t>0</w:t>
            </w:r>
            <w:r>
              <w:t>.001</w:t>
            </w:r>
          </w:p>
        </w:tc>
      </w:tr>
      <w:tr w:rsidR="00F109FD" w:rsidTr="00AB766F">
        <w:trPr>
          <w:trHeight w:val="305"/>
        </w:trPr>
        <w:tc>
          <w:tcPr>
            <w:tcW w:w="9350" w:type="dxa"/>
            <w:gridSpan w:val="3"/>
            <w:tcBorders>
              <w:top w:val="single" w:sz="4" w:space="0" w:color="auto"/>
            </w:tcBorders>
            <w:vAlign w:val="center"/>
          </w:tcPr>
          <w:p w:rsidR="00F109FD" w:rsidRPr="000E18C7" w:rsidRDefault="00F109FD" w:rsidP="00AB766F">
            <w:pPr>
              <w:rPr>
                <w:sz w:val="18"/>
                <w:szCs w:val="18"/>
              </w:rPr>
            </w:pPr>
            <w:r w:rsidRPr="000E18C7">
              <w:rPr>
                <w:sz w:val="18"/>
                <w:szCs w:val="18"/>
              </w:rPr>
              <w:t xml:space="preserve">* Adjusted for </w:t>
            </w:r>
            <w:r>
              <w:rPr>
                <w:sz w:val="18"/>
                <w:szCs w:val="18"/>
              </w:rPr>
              <w:t>bone scan score and performance status</w:t>
            </w:r>
          </w:p>
          <w:p w:rsidR="00F109FD" w:rsidRDefault="00F109FD" w:rsidP="00AB766F">
            <w:pPr>
              <w:jc w:val="center"/>
            </w:pPr>
          </w:p>
        </w:tc>
      </w:tr>
    </w:tbl>
    <w:p w:rsidR="00377CCC" w:rsidRDefault="00377CCC" w:rsidP="00377CCC">
      <w:r>
        <w:t xml:space="preserve">Using linear regression with robust standard errors, on average, the </w:t>
      </w:r>
      <w:r w:rsidR="00B978CB">
        <w:t>mean log</w:t>
      </w:r>
      <w:r w:rsidR="00B978CB" w:rsidRPr="00B978CB">
        <w:rPr>
          <w:vertAlign w:val="subscript"/>
        </w:rPr>
        <w:t>10</w:t>
      </w:r>
      <w:r>
        <w:t xml:space="preserve"> </w:t>
      </w:r>
      <w:r w:rsidR="00B978CB">
        <w:t>po</w:t>
      </w:r>
      <w:r w:rsidR="0046040F">
        <w:t>st-hormonal therapy nadir PSA s</w:t>
      </w:r>
      <w:r w:rsidR="00B978CB">
        <w:t>core is</w:t>
      </w:r>
      <w:r w:rsidR="00F3556F">
        <w:t xml:space="preserve"> expected to be</w:t>
      </w:r>
      <w:r w:rsidR="00B978CB">
        <w:t xml:space="preserve"> </w:t>
      </w:r>
      <w:r>
        <w:t xml:space="preserve">1.14 </w:t>
      </w:r>
      <w:proofErr w:type="spellStart"/>
      <w:r w:rsidR="00B978CB">
        <w:t>ng</w:t>
      </w:r>
      <w:proofErr w:type="spellEnd"/>
      <w:r w:rsidR="00B978CB">
        <w:t xml:space="preserve">/ml higher </w:t>
      </w:r>
      <w:r w:rsidR="00D00F81">
        <w:t xml:space="preserve">among men who relapsed within 24 months compared to men who did not relapse within 24 months </w:t>
      </w:r>
      <w:r>
        <w:t>while holding bone scan score and performance status constant</w:t>
      </w:r>
      <w:r w:rsidR="00D00F81">
        <w:t xml:space="preserve"> (95% CI 0.616 to 1.655)</w:t>
      </w:r>
      <w:r>
        <w:t xml:space="preserve">. This association is statistically significant on the alpha=0.05 level. This result would not be typical when there is no true difference </w:t>
      </w:r>
      <w:r w:rsidR="00D04D91">
        <w:t>mean log</w:t>
      </w:r>
      <w:r w:rsidR="00D04D91" w:rsidRPr="00D04D91">
        <w:rPr>
          <w:vertAlign w:val="subscript"/>
        </w:rPr>
        <w:t>10</w:t>
      </w:r>
      <w:r w:rsidR="00D04D91">
        <w:t xml:space="preserve"> nadir post-therapy PSA levels between men who </w:t>
      </w:r>
      <w:r>
        <w:t>relapse</w:t>
      </w:r>
      <w:r w:rsidR="00D04D91">
        <w:t>d</w:t>
      </w:r>
      <w:r>
        <w:t xml:space="preserve"> within 24 months of receiving hormonal treatment </w:t>
      </w:r>
      <w:r w:rsidR="002739DB">
        <w:t>and men who did not</w:t>
      </w:r>
      <w:r>
        <w:t xml:space="preserve"> while holding bone scan score and performance status constant (p=</w:t>
      </w:r>
      <w:r w:rsidR="00225D51">
        <w:t>&lt;0.001</w:t>
      </w:r>
      <w:r>
        <w:t>).</w:t>
      </w:r>
    </w:p>
    <w:p w:rsidR="00F109FD" w:rsidRDefault="00F109FD"/>
    <w:p w:rsidR="00B229D4" w:rsidRDefault="00D60EC8">
      <w:r>
        <w:t xml:space="preserve">4. </w:t>
      </w:r>
    </w:p>
    <w:p w:rsidR="00D60EC8" w:rsidRDefault="00B229D4">
      <w:r w:rsidRPr="009B437A">
        <w:t xml:space="preserve">a. </w:t>
      </w:r>
      <w:r w:rsidR="00B06FB5">
        <w:t>R</w:t>
      </w:r>
      <w:r w:rsidR="00D60EC8" w:rsidRPr="009B437A">
        <w:t>elat</w:t>
      </w:r>
      <w:r w:rsidR="00B06FB5">
        <w:t>ive merits of the five analyses</w:t>
      </w:r>
    </w:p>
    <w:p w:rsidR="00D81764" w:rsidRDefault="00D81764">
      <w:r>
        <w:t xml:space="preserve">Keeping nadir PSA as a non-transformed, continuous variable is the </w:t>
      </w:r>
      <w:r w:rsidR="002B72A8">
        <w:t>most straightforward</w:t>
      </w:r>
      <w:r>
        <w:t xml:space="preserve"> way to analyze this data. </w:t>
      </w:r>
      <w:r w:rsidR="002B1382">
        <w:t xml:space="preserve">The interpretation of the results </w:t>
      </w:r>
      <w:r w:rsidR="00DC4AA6">
        <w:t>may be more easily understood by non-</w:t>
      </w:r>
      <w:r w:rsidR="009B64FC">
        <w:t>statistic</w:t>
      </w:r>
      <w:r w:rsidR="00D8298F">
        <w:t>al</w:t>
      </w:r>
      <w:r w:rsidR="00DC4AA6">
        <w:t xml:space="preserve"> audiences</w:t>
      </w:r>
      <w:r w:rsidR="002B72A8">
        <w:t xml:space="preserve">. The skewed nature of this variable is maintained with most values clustering around 1 </w:t>
      </w:r>
      <w:proofErr w:type="spellStart"/>
      <w:r w:rsidR="002B72A8">
        <w:t>ng</w:t>
      </w:r>
      <w:proofErr w:type="spellEnd"/>
      <w:r w:rsidR="002B72A8">
        <w:t xml:space="preserve">/ml and a few very large values &gt;100 </w:t>
      </w:r>
      <w:proofErr w:type="spellStart"/>
      <w:r w:rsidR="002B72A8">
        <w:t>ng</w:t>
      </w:r>
      <w:proofErr w:type="spellEnd"/>
      <w:r w:rsidR="002B72A8">
        <w:t>/ml.</w:t>
      </w:r>
      <w:r w:rsidR="00BE415D">
        <w:t xml:space="preserve"> The variable may not accurately follow the assumed linear association of nadir PSA to log odds of relapse with 24 months when performing logistic regression.</w:t>
      </w:r>
    </w:p>
    <w:p w:rsidR="002B1382" w:rsidRDefault="002B1382"/>
    <w:p w:rsidR="002B1382" w:rsidRDefault="008D1473">
      <w:r>
        <w:lastRenderedPageBreak/>
        <w:t>Performing a log</w:t>
      </w:r>
      <w:r w:rsidRPr="00D81764">
        <w:rPr>
          <w:vertAlign w:val="subscript"/>
        </w:rPr>
        <w:t>10</w:t>
      </w:r>
      <w:r>
        <w:t xml:space="preserve"> transformation on</w:t>
      </w:r>
      <w:r w:rsidR="00D81764">
        <w:t xml:space="preserve"> nadir PSA </w:t>
      </w:r>
      <w:r w:rsidR="009B437A">
        <w:t>reduces the range of this variable. The transformation minimizes the influence of the relatively few extremely large values.</w:t>
      </w:r>
      <w:r w:rsidR="002B72A8">
        <w:t xml:space="preserve"> The </w:t>
      </w:r>
      <w:r w:rsidR="0020152D">
        <w:t xml:space="preserve">transformed variable may more accurately follow </w:t>
      </w:r>
      <w:r w:rsidR="00640169">
        <w:t xml:space="preserve">the assumed </w:t>
      </w:r>
      <w:r w:rsidR="0020152D">
        <w:t xml:space="preserve">linear association of nadir PSA to log odds of relapse </w:t>
      </w:r>
      <w:r w:rsidR="00640169">
        <w:t>within 24 months when performing logistic regression.</w:t>
      </w:r>
    </w:p>
    <w:p w:rsidR="009B437A" w:rsidRDefault="009B437A"/>
    <w:p w:rsidR="00D81764" w:rsidRDefault="008D1473">
      <w:r>
        <w:t>Adding splines to the model allows the data to deviate from the</w:t>
      </w:r>
      <w:r w:rsidR="00745AD6">
        <w:t xml:space="preserve"> assumed</w:t>
      </w:r>
      <w:r>
        <w:t xml:space="preserve"> </w:t>
      </w:r>
      <w:r w:rsidR="002B1382">
        <w:t>linear assumption</w:t>
      </w:r>
      <w:r w:rsidR="002B72A8">
        <w:t xml:space="preserve"> </w:t>
      </w:r>
      <w:r w:rsidR="00745AD6">
        <w:t>between nadir PSA and log odds of relapse within 24 months when performing logistic regression</w:t>
      </w:r>
      <w:r w:rsidR="002B72A8">
        <w:t xml:space="preserve">. In this way, the very large nadir PSA levels (&gt;100 </w:t>
      </w:r>
      <w:proofErr w:type="spellStart"/>
      <w:r w:rsidR="002B72A8">
        <w:t>ng</w:t>
      </w:r>
      <w:proofErr w:type="spellEnd"/>
      <w:r w:rsidR="002B72A8">
        <w:t xml:space="preserve">/ml) only influence the last spline and do not affect the earlier parts of the </w:t>
      </w:r>
      <w:r w:rsidR="00745AD6">
        <w:t>model</w:t>
      </w:r>
      <w:r w:rsidR="00996712">
        <w:t>. H</w:t>
      </w:r>
      <w:r w:rsidR="00745AD6">
        <w:t>owever, h</w:t>
      </w:r>
      <w:r w:rsidR="00996712">
        <w:t>aving multiple knots</w:t>
      </w:r>
      <w:r w:rsidR="002B72A8">
        <w:t xml:space="preserve"> m</w:t>
      </w:r>
      <w:r>
        <w:t xml:space="preserve">ay allow </w:t>
      </w:r>
      <w:proofErr w:type="spellStart"/>
      <w:r>
        <w:t>overfitting</w:t>
      </w:r>
      <w:proofErr w:type="spellEnd"/>
      <w:r>
        <w:t xml:space="preserve"> of the data</w:t>
      </w:r>
      <w:r w:rsidR="002B2A51">
        <w:t>, especially in a data set with such a small sample size</w:t>
      </w:r>
      <w:r>
        <w:t>.</w:t>
      </w:r>
      <w:r w:rsidR="00B06FB5">
        <w:t xml:space="preserve"> The splines also reduce the parsimony of the model, adding </w:t>
      </w:r>
      <w:r w:rsidR="00996712">
        <w:t>a</w:t>
      </w:r>
      <w:r w:rsidR="00B06FB5">
        <w:t xml:space="preserve"> predictor to the model for each additional knot.</w:t>
      </w:r>
    </w:p>
    <w:p w:rsidR="002B1382" w:rsidRDefault="002B1382"/>
    <w:p w:rsidR="00D60EC8" w:rsidRDefault="00D60EC8" w:rsidP="00A47FE3">
      <w:r>
        <w:t>A priori, I woul</w:t>
      </w:r>
      <w:r w:rsidR="00A47FE3">
        <w:t>d choose to perform analysis 2b</w:t>
      </w:r>
      <w:r>
        <w:t xml:space="preserve"> </w:t>
      </w:r>
      <w:r w:rsidR="00A47FE3">
        <w:t>and use</w:t>
      </w:r>
      <w:r>
        <w:t xml:space="preserve"> </w:t>
      </w:r>
      <w:r w:rsidR="002B1382">
        <w:t>nadir PSA level as a continuous</w:t>
      </w:r>
      <w:r>
        <w:t xml:space="preserve"> log transformed variable. </w:t>
      </w:r>
      <w:r w:rsidR="009B64FC">
        <w:t xml:space="preserve">Log transformation is often appropriate for biological values which may be produced exponentially as, for example, a cancer grows. </w:t>
      </w:r>
      <w:r w:rsidR="002B2A51">
        <w:t xml:space="preserve">The untransformed nadir PSA value is highly skewed, and the transformation de-emphasizes the largest values. The transformed variable would be expected to have a more linear association with the log odds of relapse within 24 months. I would not choose to use splines because there are so few observations in the data set and adding 4 splines into the model increases the number of predictors by 3. </w:t>
      </w:r>
    </w:p>
    <w:p w:rsidR="00B229D4" w:rsidRDefault="00B229D4"/>
    <w:p w:rsidR="00B229D4" w:rsidRPr="00D81764" w:rsidRDefault="00B229D4">
      <w:r>
        <w:t xml:space="preserve">b. </w:t>
      </w:r>
      <w:r w:rsidR="007457F6">
        <w:t xml:space="preserve">Although the data was collected prospectively, the way it has been provided to us is </w:t>
      </w:r>
      <w:r w:rsidR="00054038">
        <w:t>similar to cross-sectional data. N</w:t>
      </w:r>
      <w:r w:rsidR="007734F8">
        <w:t xml:space="preserve">o information is </w:t>
      </w:r>
      <w:r w:rsidR="0024211C">
        <w:t>given</w:t>
      </w:r>
      <w:r w:rsidR="007734F8">
        <w:t xml:space="preserve"> </w:t>
      </w:r>
      <w:r w:rsidR="0024211C">
        <w:t>on the timing of PSA score</w:t>
      </w:r>
      <w:r w:rsidR="007734F8">
        <w:t xml:space="preserve"> </w:t>
      </w:r>
      <w:r w:rsidR="005D2CB7">
        <w:t xml:space="preserve">determination </w:t>
      </w:r>
      <w:r w:rsidR="002A2171">
        <w:t>or on the timing of</w:t>
      </w:r>
      <w:r w:rsidR="007734F8">
        <w:t xml:space="preserve"> relapse</w:t>
      </w:r>
      <w:r w:rsidR="0024211C">
        <w:t xml:space="preserve"> determination</w:t>
      </w:r>
      <w:r w:rsidR="007734F8">
        <w:t xml:space="preserve">. </w:t>
      </w:r>
      <w:r w:rsidR="0024211C">
        <w:t xml:space="preserve">While both PSA levels and relapse were </w:t>
      </w:r>
      <w:r w:rsidR="005D2CB7">
        <w:t>collected</w:t>
      </w:r>
      <w:r w:rsidR="0024211C">
        <w:t xml:space="preserve"> during the observation period, i</w:t>
      </w:r>
      <w:r w:rsidR="007734F8">
        <w:t xml:space="preserve">t is unknown if the </w:t>
      </w:r>
      <w:r w:rsidR="002B1382">
        <w:t xml:space="preserve">nadir </w:t>
      </w:r>
      <w:r w:rsidR="007734F8">
        <w:t xml:space="preserve">PSA </w:t>
      </w:r>
      <w:r w:rsidR="002B1382">
        <w:t>level</w:t>
      </w:r>
      <w:r w:rsidR="007734F8">
        <w:t xml:space="preserve"> </w:t>
      </w:r>
      <w:r w:rsidR="0024211C">
        <w:t xml:space="preserve">used in analysis </w:t>
      </w:r>
      <w:r w:rsidR="002B1382">
        <w:t xml:space="preserve">occurred before </w:t>
      </w:r>
      <w:r w:rsidR="0024211C">
        <w:t xml:space="preserve">or after </w:t>
      </w:r>
      <w:r w:rsidR="007734F8">
        <w:t>relapse. Because of this</w:t>
      </w:r>
      <w:r w:rsidR="002A2171">
        <w:t>,</w:t>
      </w:r>
      <w:r w:rsidR="007734F8">
        <w:t xml:space="preserve"> it is possible to analyze the data with </w:t>
      </w:r>
      <w:r w:rsidR="002A3F8B">
        <w:t xml:space="preserve">either </w:t>
      </w:r>
      <w:r w:rsidR="007734F8">
        <w:t xml:space="preserve">relapse by 24 months or nadir PSA as the outcome. </w:t>
      </w:r>
      <w:r w:rsidR="002B1382">
        <w:t>However,</w:t>
      </w:r>
      <w:r w:rsidR="002A3F8B">
        <w:t xml:space="preserve"> no inference can be made on </w:t>
      </w:r>
      <w:r w:rsidR="002A2171">
        <w:t>the direction of the association. The lowest values of PSA may have occurred before or after going into remission.</w:t>
      </w:r>
    </w:p>
    <w:p w:rsidR="00D60EC8" w:rsidRDefault="00D60EC8"/>
    <w:p w:rsidR="00D60EC8" w:rsidRDefault="00D60EC8"/>
    <w:sectPr w:rsidR="00D60EC8" w:rsidSect="00016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DBE" w:rsidRDefault="00287DBE" w:rsidP="004C5685">
      <w:pPr>
        <w:spacing w:line="240" w:lineRule="auto"/>
      </w:pPr>
      <w:r>
        <w:separator/>
      </w:r>
    </w:p>
  </w:endnote>
  <w:endnote w:type="continuationSeparator" w:id="0">
    <w:p w:rsidR="00287DBE" w:rsidRDefault="00287DBE" w:rsidP="004C5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85" w:rsidRDefault="004C56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85" w:rsidRDefault="004C56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85" w:rsidRDefault="004C5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DBE" w:rsidRDefault="00287DBE" w:rsidP="004C5685">
      <w:pPr>
        <w:spacing w:line="240" w:lineRule="auto"/>
      </w:pPr>
      <w:r>
        <w:separator/>
      </w:r>
    </w:p>
  </w:footnote>
  <w:footnote w:type="continuationSeparator" w:id="0">
    <w:p w:rsidR="00287DBE" w:rsidRDefault="00287DBE" w:rsidP="004C56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85" w:rsidRDefault="004C56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85" w:rsidRDefault="004C56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85" w:rsidRDefault="004C56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AA"/>
    <w:rsid w:val="000004EE"/>
    <w:rsid w:val="000137EA"/>
    <w:rsid w:val="00013D3E"/>
    <w:rsid w:val="00016DCC"/>
    <w:rsid w:val="00024AE9"/>
    <w:rsid w:val="00054038"/>
    <w:rsid w:val="000A2B7A"/>
    <w:rsid w:val="000E18C7"/>
    <w:rsid w:val="000E50A4"/>
    <w:rsid w:val="00111638"/>
    <w:rsid w:val="001204C6"/>
    <w:rsid w:val="00134AED"/>
    <w:rsid w:val="001545DC"/>
    <w:rsid w:val="001A5C23"/>
    <w:rsid w:val="001C45E4"/>
    <w:rsid w:val="0020152D"/>
    <w:rsid w:val="00225D51"/>
    <w:rsid w:val="00226FDB"/>
    <w:rsid w:val="0024211C"/>
    <w:rsid w:val="00244F77"/>
    <w:rsid w:val="00272C9F"/>
    <w:rsid w:val="002739DB"/>
    <w:rsid w:val="00286865"/>
    <w:rsid w:val="00287DBE"/>
    <w:rsid w:val="00293A87"/>
    <w:rsid w:val="002975B1"/>
    <w:rsid w:val="002A2171"/>
    <w:rsid w:val="002A3F8B"/>
    <w:rsid w:val="002B1382"/>
    <w:rsid w:val="002B2A51"/>
    <w:rsid w:val="002B72A8"/>
    <w:rsid w:val="002C344E"/>
    <w:rsid w:val="00303B16"/>
    <w:rsid w:val="0031099B"/>
    <w:rsid w:val="00316F57"/>
    <w:rsid w:val="00320DE1"/>
    <w:rsid w:val="0032254C"/>
    <w:rsid w:val="0032474D"/>
    <w:rsid w:val="00335E21"/>
    <w:rsid w:val="00337613"/>
    <w:rsid w:val="00377CCC"/>
    <w:rsid w:val="003B6858"/>
    <w:rsid w:val="003C6E65"/>
    <w:rsid w:val="004145E1"/>
    <w:rsid w:val="0046040F"/>
    <w:rsid w:val="00464149"/>
    <w:rsid w:val="0049642E"/>
    <w:rsid w:val="004C55E0"/>
    <w:rsid w:val="004C5685"/>
    <w:rsid w:val="005119AF"/>
    <w:rsid w:val="00530DF0"/>
    <w:rsid w:val="00565B8B"/>
    <w:rsid w:val="005C1338"/>
    <w:rsid w:val="005D2CB7"/>
    <w:rsid w:val="005E2B0A"/>
    <w:rsid w:val="006132D9"/>
    <w:rsid w:val="0062435F"/>
    <w:rsid w:val="0063508B"/>
    <w:rsid w:val="00640169"/>
    <w:rsid w:val="0068741C"/>
    <w:rsid w:val="007457F6"/>
    <w:rsid w:val="00745AD6"/>
    <w:rsid w:val="007734F8"/>
    <w:rsid w:val="0079281E"/>
    <w:rsid w:val="008269E4"/>
    <w:rsid w:val="00831097"/>
    <w:rsid w:val="00843BC6"/>
    <w:rsid w:val="00846BB2"/>
    <w:rsid w:val="00877338"/>
    <w:rsid w:val="008B738F"/>
    <w:rsid w:val="008B7FF2"/>
    <w:rsid w:val="008D1473"/>
    <w:rsid w:val="00934D86"/>
    <w:rsid w:val="009554C7"/>
    <w:rsid w:val="00956DB3"/>
    <w:rsid w:val="00996712"/>
    <w:rsid w:val="009A1BA3"/>
    <w:rsid w:val="009B2263"/>
    <w:rsid w:val="009B437A"/>
    <w:rsid w:val="009B64FC"/>
    <w:rsid w:val="009D36CA"/>
    <w:rsid w:val="009F0BA4"/>
    <w:rsid w:val="00A06ECA"/>
    <w:rsid w:val="00A23B0C"/>
    <w:rsid w:val="00A47FE3"/>
    <w:rsid w:val="00A57280"/>
    <w:rsid w:val="00AA5E8C"/>
    <w:rsid w:val="00AE074C"/>
    <w:rsid w:val="00AE2822"/>
    <w:rsid w:val="00AE5084"/>
    <w:rsid w:val="00AF44A6"/>
    <w:rsid w:val="00AF79C7"/>
    <w:rsid w:val="00B06FB5"/>
    <w:rsid w:val="00B229D4"/>
    <w:rsid w:val="00B328E0"/>
    <w:rsid w:val="00B702ED"/>
    <w:rsid w:val="00B966CC"/>
    <w:rsid w:val="00B97195"/>
    <w:rsid w:val="00B978CB"/>
    <w:rsid w:val="00BA53F7"/>
    <w:rsid w:val="00BD29D6"/>
    <w:rsid w:val="00BE415D"/>
    <w:rsid w:val="00C011AA"/>
    <w:rsid w:val="00C2540E"/>
    <w:rsid w:val="00C43A5C"/>
    <w:rsid w:val="00C73708"/>
    <w:rsid w:val="00C75762"/>
    <w:rsid w:val="00C805F4"/>
    <w:rsid w:val="00C95334"/>
    <w:rsid w:val="00CA7AC3"/>
    <w:rsid w:val="00CD7ABD"/>
    <w:rsid w:val="00CF6CB0"/>
    <w:rsid w:val="00D00F81"/>
    <w:rsid w:val="00D04D91"/>
    <w:rsid w:val="00D1254F"/>
    <w:rsid w:val="00D54ABC"/>
    <w:rsid w:val="00D60EC8"/>
    <w:rsid w:val="00D70B40"/>
    <w:rsid w:val="00D81764"/>
    <w:rsid w:val="00D8298F"/>
    <w:rsid w:val="00DC4AA6"/>
    <w:rsid w:val="00DF2DF5"/>
    <w:rsid w:val="00E03A14"/>
    <w:rsid w:val="00E0728F"/>
    <w:rsid w:val="00E46220"/>
    <w:rsid w:val="00E878E6"/>
    <w:rsid w:val="00E94042"/>
    <w:rsid w:val="00EA1817"/>
    <w:rsid w:val="00ED07D6"/>
    <w:rsid w:val="00EE096D"/>
    <w:rsid w:val="00F03C00"/>
    <w:rsid w:val="00F109FD"/>
    <w:rsid w:val="00F3556F"/>
    <w:rsid w:val="00F4342A"/>
    <w:rsid w:val="00FB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1A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56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685"/>
  </w:style>
  <w:style w:type="paragraph" w:styleId="Footer">
    <w:name w:val="footer"/>
    <w:basedOn w:val="Normal"/>
    <w:link w:val="FooterChar"/>
    <w:uiPriority w:val="99"/>
    <w:unhideWhenUsed/>
    <w:rsid w:val="004C56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1740</Words>
  <Characters>9924</Characters>
  <Application>Microsoft Office Word</Application>
  <DocSecurity>0</DocSecurity>
  <Lines>82</Lines>
  <Paragraphs>23</Paragraphs>
  <ScaleCrop>false</ScaleCrop>
  <Company/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2013-11-28T00:31:00Z</dcterms:created>
  <dcterms:modified xsi:type="dcterms:W3CDTF">2013-11-28T00:32:00Z</dcterms:modified>
</cp:coreProperties>
</file>