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E9E60" w14:textId="77777777" w:rsidR="00CA36C9" w:rsidRPr="006E0D35" w:rsidRDefault="00CA36C9" w:rsidP="00CA36C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E0D35">
        <w:rPr>
          <w:rFonts w:ascii="Arial" w:hAnsi="Arial" w:cs="Arial"/>
          <w:b/>
          <w:color w:val="000000"/>
          <w:sz w:val="22"/>
          <w:szCs w:val="22"/>
        </w:rPr>
        <w:t>Biost 536: Categorical Data Analysis in Epidemiology</w:t>
      </w:r>
    </w:p>
    <w:p w14:paraId="05CE8DE3" w14:textId="77777777" w:rsidR="00CA36C9" w:rsidRPr="006E0D35" w:rsidRDefault="00CA36C9" w:rsidP="00CA36C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6E0D35">
        <w:rPr>
          <w:rFonts w:ascii="Arial" w:hAnsi="Arial" w:cs="Arial"/>
          <w:color w:val="000000"/>
          <w:sz w:val="22"/>
          <w:szCs w:val="22"/>
        </w:rPr>
        <w:t>Emerson, Fall 2013</w:t>
      </w:r>
    </w:p>
    <w:p w14:paraId="6025FC1A" w14:textId="77777777" w:rsidR="00CA36C9" w:rsidRPr="006E0D35" w:rsidRDefault="00CA36C9" w:rsidP="00CA36C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C456BF4" w14:textId="77777777" w:rsidR="00CA36C9" w:rsidRPr="006E0D35" w:rsidRDefault="00CA36C9" w:rsidP="00CA36C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E0D35">
        <w:rPr>
          <w:rFonts w:ascii="Arial" w:hAnsi="Arial" w:cs="Arial"/>
          <w:b/>
          <w:color w:val="000000"/>
          <w:sz w:val="22"/>
          <w:szCs w:val="22"/>
        </w:rPr>
        <w:t>Homework #2</w:t>
      </w:r>
    </w:p>
    <w:p w14:paraId="7E4B48CD" w14:textId="0AB45A16" w:rsidR="00CA36C9" w:rsidRPr="006E0D35" w:rsidRDefault="004D1BF3" w:rsidP="00CA36C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October 10, 2013</w:t>
      </w:r>
      <w:bookmarkStart w:id="0" w:name="_GoBack"/>
      <w:bookmarkEnd w:id="0"/>
    </w:p>
    <w:p w14:paraId="2934E685" w14:textId="77777777" w:rsidR="00CA36C9" w:rsidRPr="006E0D35" w:rsidRDefault="00CA36C9" w:rsidP="00CA36C9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6D7C5481" w14:textId="77777777" w:rsidR="00CA36C9" w:rsidRPr="006E0D35" w:rsidRDefault="00CA36C9" w:rsidP="00CA36C9">
      <w:pPr>
        <w:pStyle w:val="Plai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0D35">
        <w:rPr>
          <w:rFonts w:ascii="Arial" w:hAnsi="Arial" w:cs="Arial"/>
          <w:sz w:val="22"/>
          <w:szCs w:val="22"/>
        </w:rPr>
        <w:t>Suppose we are interested in measuring any association between estrogen use at any time prior to study enrollment (</w:t>
      </w:r>
      <w:r w:rsidRPr="006E0D35">
        <w:rPr>
          <w:rFonts w:ascii="Arial" w:hAnsi="Arial" w:cs="Arial"/>
          <w:i/>
          <w:iCs/>
          <w:sz w:val="22"/>
          <w:szCs w:val="22"/>
        </w:rPr>
        <w:t>estrogen==1)</w:t>
      </w:r>
      <w:r w:rsidRPr="006E0D35">
        <w:rPr>
          <w:rFonts w:ascii="Arial" w:hAnsi="Arial" w:cs="Arial"/>
          <w:sz w:val="22"/>
          <w:szCs w:val="22"/>
        </w:rPr>
        <w:t xml:space="preserve"> and CVD death within 4 years using the </w:t>
      </w:r>
      <w:r w:rsidRPr="006E0D35">
        <w:rPr>
          <w:rFonts w:ascii="Arial" w:hAnsi="Arial" w:cs="Arial"/>
          <w:b/>
          <w:bCs/>
          <w:sz w:val="22"/>
          <w:szCs w:val="22"/>
        </w:rPr>
        <w:t>risk difference (RD)</w:t>
      </w:r>
      <w:r w:rsidRPr="006E0D35">
        <w:rPr>
          <w:rFonts w:ascii="Arial" w:hAnsi="Arial" w:cs="Arial"/>
          <w:sz w:val="22"/>
          <w:szCs w:val="22"/>
        </w:rPr>
        <w:t>.</w:t>
      </w:r>
    </w:p>
    <w:p w14:paraId="55C2D10C" w14:textId="77777777" w:rsidR="00CA36C9" w:rsidRPr="006E0D35" w:rsidRDefault="00CA36C9" w:rsidP="00CA36C9">
      <w:pPr>
        <w:pStyle w:val="PlainText"/>
        <w:rPr>
          <w:rFonts w:ascii="Arial" w:hAnsi="Arial" w:cs="Arial"/>
          <w:sz w:val="22"/>
          <w:szCs w:val="22"/>
        </w:rPr>
      </w:pPr>
      <w:r w:rsidRPr="006E0D35">
        <w:rPr>
          <w:rFonts w:ascii="Arial" w:hAnsi="Arial" w:cs="Arial"/>
          <w:sz w:val="22"/>
          <w:szCs w:val="22"/>
        </w:rPr>
        <w:t xml:space="preserve"> </w:t>
      </w:r>
    </w:p>
    <w:p w14:paraId="2DDAA0B0" w14:textId="77777777" w:rsidR="00CA36C9" w:rsidRPr="006E0D35" w:rsidRDefault="00CA36C9" w:rsidP="00CA36C9">
      <w:pPr>
        <w:pStyle w:val="PlainTex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E0D35">
        <w:rPr>
          <w:rFonts w:ascii="Arial" w:hAnsi="Arial" w:cs="Arial"/>
          <w:sz w:val="22"/>
          <w:szCs w:val="22"/>
        </w:rPr>
        <w:t>Provide complete statistical inference regarding such an association. (Include point estimates, confidence intervals, and a p value, along with a full interpretation of those quantities.)</w:t>
      </w:r>
    </w:p>
    <w:p w14:paraId="749B559A" w14:textId="77777777" w:rsidR="00C87E1E" w:rsidRDefault="00C87E1E" w:rsidP="00A0580D">
      <w:pPr>
        <w:pStyle w:val="PlainText"/>
        <w:rPr>
          <w:rFonts w:ascii="Arial" w:hAnsi="Arial" w:cs="Arial"/>
          <w:b/>
        </w:rPr>
      </w:pPr>
    </w:p>
    <w:p w14:paraId="7B98EB32" w14:textId="067DC825" w:rsidR="00DC39B0" w:rsidRDefault="00DC39B0" w:rsidP="00DC39B0">
      <w:pPr>
        <w:pStyle w:val="PlainText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1: Association between estrogen use and CVD mortality among women in the CHS</w:t>
      </w:r>
    </w:p>
    <w:p w14:paraId="52B1B51C" w14:textId="77777777" w:rsidR="00DC39B0" w:rsidRDefault="00DC39B0" w:rsidP="00DC39B0">
      <w:pPr>
        <w:pStyle w:val="PlainText"/>
        <w:ind w:left="1080"/>
        <w:rPr>
          <w:rFonts w:ascii="Arial" w:hAnsi="Arial" w:cs="Arial"/>
          <w:b/>
        </w:rPr>
      </w:pPr>
    </w:p>
    <w:tbl>
      <w:tblPr>
        <w:tblW w:w="5140" w:type="dxa"/>
        <w:jc w:val="center"/>
        <w:tblInd w:w="93" w:type="dxa"/>
        <w:tblLook w:val="04A0" w:firstRow="1" w:lastRow="0" w:firstColumn="1" w:lastColumn="0" w:noHBand="0" w:noVBand="1"/>
      </w:tblPr>
      <w:tblGrid>
        <w:gridCol w:w="1500"/>
        <w:gridCol w:w="2697"/>
        <w:gridCol w:w="943"/>
      </w:tblGrid>
      <w:tr w:rsidR="00DC39B0" w:rsidRPr="00DC39B0" w14:paraId="785BF74D" w14:textId="77777777" w:rsidTr="00DC39B0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7E5A" w14:textId="77777777" w:rsidR="00DC39B0" w:rsidRPr="00DC39B0" w:rsidRDefault="00DC39B0" w:rsidP="00DC39B0">
            <w:pPr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>Variable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ED1C" w14:textId="77777777" w:rsidR="00DC39B0" w:rsidRPr="00DC39B0" w:rsidRDefault="00DC39B0" w:rsidP="00DC39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 xml:space="preserve">      Unadjusted model</w:t>
            </w:r>
          </w:p>
        </w:tc>
      </w:tr>
      <w:tr w:rsidR="00DC39B0" w:rsidRPr="00DC39B0" w14:paraId="15146BEF" w14:textId="77777777" w:rsidTr="00DC39B0">
        <w:trPr>
          <w:trHeight w:val="260"/>
          <w:jc w:val="center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B44A6" w14:textId="77777777" w:rsidR="00DC39B0" w:rsidRPr="00DC39B0" w:rsidRDefault="00DC39B0" w:rsidP="00DC39B0">
            <w:pPr>
              <w:rPr>
                <w:rFonts w:ascii="Arial" w:hAnsi="Arial"/>
                <w:color w:val="000000"/>
              </w:rPr>
            </w:pPr>
            <w:r w:rsidRPr="00DC39B0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581ED" w14:textId="493AEA78" w:rsidR="00DC39B0" w:rsidRPr="00DC39B0" w:rsidRDefault="00A30575" w:rsidP="00DC39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(RD</w:t>
            </w:r>
            <w:r w:rsidR="00DC39B0" w:rsidRPr="00DC39B0">
              <w:rPr>
                <w:rFonts w:ascii="Arial" w:hAnsi="Arial"/>
                <w:color w:val="000000"/>
              </w:rPr>
              <w:t>, 95% CI)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6310B" w14:textId="77777777" w:rsidR="00DC39B0" w:rsidRPr="00DC39B0" w:rsidRDefault="00DC39B0" w:rsidP="00DC39B0">
            <w:pPr>
              <w:jc w:val="center"/>
              <w:rPr>
                <w:rFonts w:ascii="Arial" w:hAnsi="Arial"/>
                <w:color w:val="000000"/>
              </w:rPr>
            </w:pPr>
            <w:r w:rsidRPr="00DC39B0">
              <w:rPr>
                <w:rFonts w:ascii="Arial" w:hAnsi="Arial"/>
                <w:color w:val="000000"/>
              </w:rPr>
              <w:t>p-value</w:t>
            </w:r>
          </w:p>
        </w:tc>
      </w:tr>
      <w:tr w:rsidR="00DC39B0" w:rsidRPr="00DC39B0" w14:paraId="5BE6E5F2" w14:textId="77777777" w:rsidTr="00DC39B0">
        <w:trPr>
          <w:trHeight w:val="280"/>
          <w:jc w:val="center"/>
        </w:trPr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D69E5" w14:textId="77777777" w:rsidR="00DC39B0" w:rsidRPr="00DC39B0" w:rsidRDefault="00DC39B0" w:rsidP="00DC39B0">
            <w:pPr>
              <w:rPr>
                <w:rFonts w:ascii="Arial" w:hAnsi="Arial"/>
                <w:color w:val="000000"/>
              </w:rPr>
            </w:pPr>
            <w:r w:rsidRPr="00DC39B0">
              <w:rPr>
                <w:rFonts w:ascii="Arial" w:hAnsi="Arial"/>
                <w:color w:val="000000"/>
              </w:rPr>
              <w:t>Estrogen use</w:t>
            </w:r>
          </w:p>
        </w:tc>
        <w:tc>
          <w:tcPr>
            <w:tcW w:w="26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44744" w14:textId="2273E62C" w:rsidR="00DC39B0" w:rsidRPr="00DC39B0" w:rsidRDefault="00DC39B0" w:rsidP="00DC39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  <w:r w:rsidRPr="00DC39B0">
              <w:rPr>
                <w:rFonts w:ascii="Arial" w:hAnsi="Arial"/>
                <w:color w:val="000000"/>
              </w:rPr>
              <w:t>0.026 (-0.038, -0.013)</w:t>
            </w:r>
          </w:p>
        </w:tc>
        <w:tc>
          <w:tcPr>
            <w:tcW w:w="9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EC3B6" w14:textId="77777777" w:rsidR="00DC39B0" w:rsidRPr="00DC39B0" w:rsidRDefault="00DC39B0" w:rsidP="00DC39B0">
            <w:pPr>
              <w:jc w:val="center"/>
              <w:rPr>
                <w:rFonts w:ascii="Arial" w:hAnsi="Arial"/>
                <w:color w:val="000000"/>
              </w:rPr>
            </w:pPr>
            <w:r w:rsidRPr="00DC39B0">
              <w:rPr>
                <w:rFonts w:ascii="Arial" w:hAnsi="Arial"/>
                <w:color w:val="000000"/>
              </w:rPr>
              <w:t>&lt;0.001</w:t>
            </w:r>
          </w:p>
        </w:tc>
      </w:tr>
    </w:tbl>
    <w:p w14:paraId="40380343" w14:textId="77777777" w:rsidR="00DC39B0" w:rsidRPr="00DC39B0" w:rsidRDefault="00DC39B0" w:rsidP="00DC39B0">
      <w:pPr>
        <w:pStyle w:val="PlainText"/>
        <w:ind w:left="1080"/>
        <w:jc w:val="center"/>
        <w:rPr>
          <w:rFonts w:ascii="Arial" w:hAnsi="Arial" w:cs="Arial"/>
        </w:rPr>
      </w:pPr>
    </w:p>
    <w:p w14:paraId="73BDF704" w14:textId="05E5377C" w:rsidR="008042E3" w:rsidRDefault="00A0580D" w:rsidP="0092542D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 an</w:t>
      </w:r>
      <w:r w:rsidR="008042E3">
        <w:rPr>
          <w:rFonts w:ascii="Arial" w:hAnsi="Arial" w:cs="Arial"/>
          <w:i/>
          <w:sz w:val="22"/>
          <w:szCs w:val="22"/>
        </w:rPr>
        <w:t xml:space="preserve"> unadjusted </w:t>
      </w:r>
      <w:r w:rsidR="00A2723E">
        <w:rPr>
          <w:rFonts w:ascii="Arial" w:hAnsi="Arial" w:cs="Arial"/>
          <w:i/>
          <w:sz w:val="22"/>
          <w:szCs w:val="22"/>
        </w:rPr>
        <w:t xml:space="preserve">linear regression </w:t>
      </w:r>
      <w:r w:rsidR="008042E3">
        <w:rPr>
          <w:rFonts w:ascii="Arial" w:hAnsi="Arial" w:cs="Arial"/>
          <w:i/>
          <w:sz w:val="22"/>
          <w:szCs w:val="22"/>
        </w:rPr>
        <w:t>model</w:t>
      </w:r>
      <w:r w:rsidR="00A2723E">
        <w:rPr>
          <w:rFonts w:ascii="Arial" w:hAnsi="Arial" w:cs="Arial"/>
          <w:i/>
          <w:sz w:val="22"/>
          <w:szCs w:val="22"/>
        </w:rPr>
        <w:t xml:space="preserve"> with robust standard errors</w:t>
      </w:r>
      <w:r w:rsidR="008042E3">
        <w:rPr>
          <w:rFonts w:ascii="Arial" w:hAnsi="Arial" w:cs="Arial"/>
          <w:i/>
          <w:sz w:val="22"/>
          <w:szCs w:val="22"/>
        </w:rPr>
        <w:t xml:space="preserve">, </w:t>
      </w:r>
      <w:r w:rsidR="009E2D66">
        <w:rPr>
          <w:rFonts w:ascii="Arial" w:hAnsi="Arial" w:cs="Arial"/>
          <w:i/>
          <w:sz w:val="22"/>
          <w:szCs w:val="22"/>
        </w:rPr>
        <w:t>CVD mortality within 4 years of stu</w:t>
      </w:r>
      <w:r>
        <w:rPr>
          <w:rFonts w:ascii="Arial" w:hAnsi="Arial" w:cs="Arial"/>
          <w:i/>
          <w:sz w:val="22"/>
          <w:szCs w:val="22"/>
        </w:rPr>
        <w:t xml:space="preserve">dy enrollment was </w:t>
      </w:r>
      <w:r w:rsidR="00C07B8A">
        <w:rPr>
          <w:rFonts w:ascii="Arial" w:hAnsi="Arial" w:cs="Arial"/>
          <w:i/>
          <w:sz w:val="22"/>
          <w:szCs w:val="22"/>
        </w:rPr>
        <w:t>estimated to</w:t>
      </w:r>
      <w:r w:rsidR="00DC39B0">
        <w:rPr>
          <w:rFonts w:ascii="Arial" w:hAnsi="Arial" w:cs="Arial"/>
          <w:i/>
          <w:sz w:val="22"/>
          <w:szCs w:val="22"/>
        </w:rPr>
        <w:t xml:space="preserve"> be 2.6% lower a</w:t>
      </w:r>
      <w:r>
        <w:rPr>
          <w:rFonts w:ascii="Arial" w:hAnsi="Arial" w:cs="Arial"/>
          <w:i/>
          <w:sz w:val="22"/>
          <w:szCs w:val="22"/>
        </w:rPr>
        <w:t xml:space="preserve">mong </w:t>
      </w:r>
      <w:r w:rsidRPr="004F59F9">
        <w:rPr>
          <w:rFonts w:ascii="Arial" w:hAnsi="Arial" w:cs="Arial"/>
          <w:i/>
          <w:sz w:val="22"/>
          <w:szCs w:val="22"/>
        </w:rPr>
        <w:t>post-menopausal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E4773">
        <w:rPr>
          <w:rFonts w:ascii="Arial" w:hAnsi="Arial" w:cs="Arial"/>
          <w:i/>
          <w:sz w:val="22"/>
          <w:szCs w:val="22"/>
        </w:rPr>
        <w:t xml:space="preserve">women </w:t>
      </w:r>
      <w:r>
        <w:rPr>
          <w:rFonts w:ascii="Arial" w:hAnsi="Arial" w:cs="Arial"/>
          <w:i/>
          <w:sz w:val="22"/>
          <w:szCs w:val="22"/>
        </w:rPr>
        <w:t>who took estrogen</w:t>
      </w:r>
      <w:r w:rsidR="00DC39B0">
        <w:rPr>
          <w:rFonts w:ascii="Arial" w:hAnsi="Arial" w:cs="Arial"/>
          <w:i/>
          <w:sz w:val="22"/>
          <w:szCs w:val="22"/>
        </w:rPr>
        <w:t xml:space="preserve"> than in the non-estrogen group</w:t>
      </w:r>
      <w:r>
        <w:rPr>
          <w:rFonts w:ascii="Arial" w:hAnsi="Arial" w:cs="Arial"/>
          <w:i/>
          <w:sz w:val="22"/>
          <w:szCs w:val="22"/>
        </w:rPr>
        <w:t xml:space="preserve">. </w:t>
      </w:r>
      <w:r w:rsidR="0087445E">
        <w:rPr>
          <w:rFonts w:ascii="Arial" w:hAnsi="Arial" w:cs="Arial"/>
          <w:i/>
          <w:sz w:val="22"/>
          <w:szCs w:val="22"/>
        </w:rPr>
        <w:t xml:space="preserve">The 95% confidence interval </w:t>
      </w:r>
      <w:r w:rsidR="00A2723E">
        <w:rPr>
          <w:rFonts w:ascii="Arial" w:hAnsi="Arial" w:cs="Arial"/>
          <w:i/>
          <w:sz w:val="22"/>
          <w:szCs w:val="22"/>
        </w:rPr>
        <w:t xml:space="preserve">estimating a difference in CVD mortality indicates that the observed results are compatible with a difference in mortality in the estrogen group that is 1.3% to 3.8% lower than in the no-estrogen group. This 95% CI </w:t>
      </w:r>
      <w:r w:rsidR="0087445E">
        <w:rPr>
          <w:rFonts w:ascii="Arial" w:hAnsi="Arial" w:cs="Arial"/>
          <w:i/>
          <w:sz w:val="22"/>
          <w:szCs w:val="22"/>
        </w:rPr>
        <w:t xml:space="preserve">does not include </w:t>
      </w:r>
      <w:r w:rsidR="00EC7A12">
        <w:rPr>
          <w:rFonts w:ascii="Arial" w:hAnsi="Arial" w:cs="Arial"/>
          <w:i/>
          <w:sz w:val="22"/>
          <w:szCs w:val="22"/>
        </w:rPr>
        <w:t>0</w:t>
      </w:r>
      <w:r w:rsidR="00A2723E">
        <w:rPr>
          <w:rFonts w:ascii="Arial" w:hAnsi="Arial" w:cs="Arial"/>
          <w:i/>
          <w:sz w:val="22"/>
          <w:szCs w:val="22"/>
        </w:rPr>
        <w:t xml:space="preserve"> indicating </w:t>
      </w:r>
      <w:r w:rsidR="00FD3FDC">
        <w:rPr>
          <w:rFonts w:ascii="Arial" w:hAnsi="Arial" w:cs="Arial"/>
          <w:i/>
          <w:sz w:val="22"/>
          <w:szCs w:val="22"/>
        </w:rPr>
        <w:t>significant</w:t>
      </w:r>
      <w:r w:rsidR="00A2723E">
        <w:rPr>
          <w:rFonts w:ascii="Arial" w:hAnsi="Arial" w:cs="Arial"/>
          <w:i/>
          <w:sz w:val="22"/>
          <w:szCs w:val="22"/>
        </w:rPr>
        <w:t>ly</w:t>
      </w:r>
      <w:r w:rsidR="00FD3FDC">
        <w:rPr>
          <w:rFonts w:ascii="Arial" w:hAnsi="Arial" w:cs="Arial"/>
          <w:i/>
          <w:sz w:val="22"/>
          <w:szCs w:val="22"/>
        </w:rPr>
        <w:t xml:space="preserve"> </w:t>
      </w:r>
      <w:r w:rsidR="00A2723E">
        <w:rPr>
          <w:rFonts w:ascii="Arial" w:hAnsi="Arial" w:cs="Arial"/>
          <w:i/>
          <w:sz w:val="22"/>
          <w:szCs w:val="22"/>
        </w:rPr>
        <w:t>lower</w:t>
      </w:r>
      <w:r w:rsidR="00FD3FDC">
        <w:rPr>
          <w:rFonts w:ascii="Arial" w:hAnsi="Arial" w:cs="Arial"/>
          <w:i/>
          <w:sz w:val="22"/>
          <w:szCs w:val="22"/>
        </w:rPr>
        <w:t xml:space="preserve"> CVD mortality </w:t>
      </w:r>
      <w:r w:rsidR="00A2723E">
        <w:rPr>
          <w:rFonts w:ascii="Arial" w:hAnsi="Arial" w:cs="Arial"/>
          <w:i/>
          <w:sz w:val="22"/>
          <w:szCs w:val="22"/>
        </w:rPr>
        <w:t xml:space="preserve">in </w:t>
      </w:r>
      <w:r>
        <w:rPr>
          <w:rFonts w:ascii="Arial" w:hAnsi="Arial" w:cs="Arial"/>
          <w:i/>
          <w:sz w:val="22"/>
          <w:szCs w:val="22"/>
        </w:rPr>
        <w:t xml:space="preserve">the estrogen group </w:t>
      </w:r>
      <w:r w:rsidR="0087445E"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p&lt;</w:t>
      </w:r>
      <w:r w:rsidR="0087445E" w:rsidRPr="004F59F9">
        <w:rPr>
          <w:rFonts w:ascii="Arial" w:hAnsi="Arial" w:cs="Arial"/>
          <w:i/>
          <w:sz w:val="22"/>
          <w:szCs w:val="22"/>
        </w:rPr>
        <w:t>0.</w:t>
      </w:r>
      <w:r>
        <w:rPr>
          <w:rFonts w:ascii="Arial" w:hAnsi="Arial" w:cs="Arial"/>
          <w:i/>
          <w:sz w:val="22"/>
          <w:szCs w:val="22"/>
        </w:rPr>
        <w:t>0</w:t>
      </w:r>
      <w:r w:rsidR="0087445E" w:rsidRPr="004F59F9">
        <w:rPr>
          <w:rFonts w:ascii="Arial" w:hAnsi="Arial" w:cs="Arial"/>
          <w:i/>
          <w:sz w:val="22"/>
          <w:szCs w:val="22"/>
        </w:rPr>
        <w:t>01</w:t>
      </w:r>
      <w:r w:rsidR="0087445E">
        <w:rPr>
          <w:rFonts w:ascii="Arial" w:hAnsi="Arial" w:cs="Arial"/>
          <w:i/>
          <w:sz w:val="22"/>
          <w:szCs w:val="22"/>
        </w:rPr>
        <w:t xml:space="preserve">). </w:t>
      </w:r>
    </w:p>
    <w:p w14:paraId="76921EEE" w14:textId="77777777" w:rsidR="00CA36C9" w:rsidRPr="006E0D35" w:rsidRDefault="00CA36C9" w:rsidP="00CA36C9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5EB993E2" w14:textId="77777777" w:rsidR="00CA36C9" w:rsidRPr="006E0D35" w:rsidRDefault="00CA36C9" w:rsidP="00CA36C9">
      <w:pPr>
        <w:pStyle w:val="PlainTex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E0D35">
        <w:rPr>
          <w:rFonts w:ascii="Arial" w:hAnsi="Arial" w:cs="Arial"/>
          <w:sz w:val="22"/>
          <w:szCs w:val="22"/>
        </w:rPr>
        <w:t xml:space="preserve">Is there evidence in the dataset that any such effect is modified by a history of prior CVD (as measured by variable </w:t>
      </w:r>
      <w:r w:rsidRPr="006E0D35">
        <w:rPr>
          <w:rFonts w:ascii="Arial" w:hAnsi="Arial" w:cs="Arial"/>
          <w:i/>
          <w:iCs/>
          <w:sz w:val="22"/>
          <w:szCs w:val="22"/>
        </w:rPr>
        <w:t>prevdis)</w:t>
      </w:r>
      <w:r w:rsidRPr="006E0D35">
        <w:rPr>
          <w:rFonts w:ascii="Arial" w:hAnsi="Arial" w:cs="Arial"/>
          <w:sz w:val="22"/>
          <w:szCs w:val="22"/>
        </w:rPr>
        <w:t>? Provide results of a statistical analysis in support of your answer.</w:t>
      </w:r>
    </w:p>
    <w:p w14:paraId="106B3606" w14:textId="77777777" w:rsidR="00CA36C9" w:rsidRDefault="00CA36C9" w:rsidP="00DC39B0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2AF8B380" w14:textId="75F2EC1F" w:rsidR="00DC39B0" w:rsidRDefault="00A30575" w:rsidP="00DC39B0">
      <w:pPr>
        <w:pStyle w:val="PlainText"/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2</w:t>
      </w:r>
      <w:r w:rsidR="00DC39B0">
        <w:rPr>
          <w:rFonts w:ascii="Arial" w:hAnsi="Arial" w:cs="Arial"/>
          <w:b/>
          <w:sz w:val="22"/>
          <w:szCs w:val="22"/>
        </w:rPr>
        <w:t>: Estrogen-Prior CVD history interaction</w:t>
      </w:r>
    </w:p>
    <w:p w14:paraId="684CFF96" w14:textId="77777777" w:rsidR="00DC39B0" w:rsidRDefault="00DC39B0" w:rsidP="00DC39B0">
      <w:pPr>
        <w:pStyle w:val="PlainText"/>
        <w:ind w:left="1080"/>
        <w:rPr>
          <w:rFonts w:ascii="Arial" w:hAnsi="Arial" w:cs="Arial"/>
          <w:b/>
          <w:sz w:val="22"/>
          <w:szCs w:val="22"/>
        </w:rPr>
      </w:pPr>
    </w:p>
    <w:tbl>
      <w:tblPr>
        <w:tblW w:w="6080" w:type="dxa"/>
        <w:jc w:val="center"/>
        <w:tblInd w:w="93" w:type="dxa"/>
        <w:tblLook w:val="04A0" w:firstRow="1" w:lastRow="0" w:firstColumn="1" w:lastColumn="0" w:noHBand="0" w:noVBand="1"/>
      </w:tblPr>
      <w:tblGrid>
        <w:gridCol w:w="2680"/>
        <w:gridCol w:w="2478"/>
        <w:gridCol w:w="1239"/>
      </w:tblGrid>
      <w:tr w:rsidR="00DC39B0" w:rsidRPr="00DC39B0" w14:paraId="04987A5D" w14:textId="77777777" w:rsidTr="00DC39B0">
        <w:trPr>
          <w:trHeight w:val="260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9673" w14:textId="77777777" w:rsidR="00DC39B0" w:rsidRPr="00DC39B0" w:rsidRDefault="00DC39B0" w:rsidP="00DC39B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5ACF1" w14:textId="77777777" w:rsidR="00DC39B0" w:rsidRPr="00DC39B0" w:rsidRDefault="00DC39B0" w:rsidP="00DC39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>Interaction model</w:t>
            </w:r>
          </w:p>
        </w:tc>
      </w:tr>
      <w:tr w:rsidR="00DC39B0" w:rsidRPr="00DC39B0" w14:paraId="1E25FCA8" w14:textId="77777777" w:rsidTr="00DC39B0">
        <w:trPr>
          <w:trHeight w:val="280"/>
          <w:jc w:val="center"/>
        </w:trPr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E8F8" w14:textId="77777777" w:rsidR="00DC39B0" w:rsidRPr="00DC39B0" w:rsidRDefault="00DC39B0" w:rsidP="00DC39B0">
            <w:pPr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>Variable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87239" w14:textId="1D3D4BA3" w:rsidR="00DC39B0" w:rsidRPr="00DC39B0" w:rsidRDefault="00DC39B0" w:rsidP="00A30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>(</w:t>
            </w:r>
            <w:r w:rsidR="00A30575">
              <w:rPr>
                <w:rFonts w:ascii="Arial" w:hAnsi="Arial"/>
                <w:b/>
                <w:bCs/>
                <w:color w:val="000000"/>
              </w:rPr>
              <w:t>RD</w:t>
            </w:r>
            <w:r w:rsidRPr="00DC39B0">
              <w:rPr>
                <w:rFonts w:ascii="Arial" w:hAnsi="Arial"/>
                <w:b/>
                <w:bCs/>
                <w:color w:val="000000"/>
              </w:rPr>
              <w:t>, 95% CI)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2BF6A" w14:textId="693F3FF9" w:rsidR="00DC39B0" w:rsidRPr="00DC39B0" w:rsidRDefault="00DC39B0" w:rsidP="00DC39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>p-value</w:t>
            </w:r>
            <w:r w:rsidR="00A30575">
              <w:rPr>
                <w:rFonts w:ascii="Arial" w:hAnsi="Arial"/>
                <w:b/>
                <w:bCs/>
                <w:color w:val="000000"/>
              </w:rPr>
              <w:t xml:space="preserve"> for interaction</w:t>
            </w:r>
          </w:p>
        </w:tc>
      </w:tr>
      <w:tr w:rsidR="00DC39B0" w:rsidRPr="00DC39B0" w14:paraId="06CB3184" w14:textId="77777777" w:rsidTr="00DC39B0">
        <w:trPr>
          <w:trHeight w:val="280"/>
          <w:jc w:val="center"/>
        </w:trPr>
        <w:tc>
          <w:tcPr>
            <w:tcW w:w="26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A86E2" w14:textId="52E9AA83" w:rsidR="00DC39B0" w:rsidRPr="00DC39B0" w:rsidRDefault="00A30575" w:rsidP="00DC39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Estrogen</w:t>
            </w:r>
          </w:p>
        </w:tc>
        <w:tc>
          <w:tcPr>
            <w:tcW w:w="24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55B60" w14:textId="69E4508D" w:rsidR="00DC39B0" w:rsidRPr="00DC39B0" w:rsidRDefault="00DC39B0" w:rsidP="00DC39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  <w:r w:rsidR="00B942E2">
              <w:rPr>
                <w:rFonts w:ascii="Arial" w:hAnsi="Arial"/>
                <w:color w:val="000000"/>
              </w:rPr>
              <w:t>0.054 (-0.124, -0.016</w:t>
            </w:r>
            <w:r w:rsidRPr="00DC39B0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F5275" w14:textId="12F08BE0" w:rsidR="00DC39B0" w:rsidRPr="00DC39B0" w:rsidRDefault="00B942E2" w:rsidP="00DC39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</w:t>
            </w:r>
            <w:r w:rsidR="00DC39B0" w:rsidRPr="00DC39B0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29</w:t>
            </w:r>
          </w:p>
        </w:tc>
      </w:tr>
    </w:tbl>
    <w:p w14:paraId="0FC1AABF" w14:textId="77777777" w:rsidR="00DC39B0" w:rsidRPr="00DC39B0" w:rsidRDefault="00DC39B0" w:rsidP="00DC39B0">
      <w:pPr>
        <w:pStyle w:val="PlainText"/>
        <w:ind w:left="1080"/>
        <w:jc w:val="center"/>
        <w:rPr>
          <w:rFonts w:ascii="Arial" w:hAnsi="Arial" w:cs="Arial"/>
          <w:sz w:val="22"/>
          <w:szCs w:val="22"/>
        </w:rPr>
      </w:pPr>
    </w:p>
    <w:p w14:paraId="474E2B6C" w14:textId="0D2EFBCF" w:rsidR="004803C1" w:rsidRPr="004F59F9" w:rsidRDefault="00EA135B" w:rsidP="00C14ABA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Based on</w:t>
      </w:r>
      <w:r w:rsidR="00B942E2">
        <w:rPr>
          <w:rFonts w:ascii="Arial" w:hAnsi="Arial" w:cs="Arial"/>
          <w:i/>
          <w:sz w:val="22"/>
          <w:szCs w:val="22"/>
        </w:rPr>
        <w:t xml:space="preserve"> a linear regression model modeling estrogen use, prior CVD history</w:t>
      </w:r>
      <w:r>
        <w:rPr>
          <w:rFonts w:ascii="Arial" w:hAnsi="Arial" w:cs="Arial"/>
          <w:i/>
          <w:sz w:val="22"/>
          <w:szCs w:val="22"/>
        </w:rPr>
        <w:t xml:space="preserve"> an</w:t>
      </w:r>
      <w:r w:rsidR="00B942E2">
        <w:rPr>
          <w:rFonts w:ascii="Arial" w:hAnsi="Arial" w:cs="Arial"/>
          <w:i/>
          <w:sz w:val="22"/>
          <w:szCs w:val="22"/>
        </w:rPr>
        <w:t>d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942E2">
        <w:rPr>
          <w:rFonts w:ascii="Arial" w:hAnsi="Arial" w:cs="Arial"/>
          <w:i/>
          <w:sz w:val="22"/>
          <w:szCs w:val="22"/>
        </w:rPr>
        <w:t>a</w:t>
      </w:r>
      <w:r w:rsidR="00A30575">
        <w:rPr>
          <w:rFonts w:ascii="Arial" w:hAnsi="Arial" w:cs="Arial"/>
          <w:i/>
          <w:sz w:val="22"/>
          <w:szCs w:val="22"/>
        </w:rPr>
        <w:t>n</w:t>
      </w:r>
      <w:r w:rsidR="00B942E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estrogen-prior CVD </w:t>
      </w:r>
      <w:r w:rsidR="00B942E2">
        <w:rPr>
          <w:rFonts w:ascii="Arial" w:hAnsi="Arial" w:cs="Arial"/>
          <w:i/>
          <w:sz w:val="22"/>
          <w:szCs w:val="22"/>
        </w:rPr>
        <w:t xml:space="preserve">history </w:t>
      </w:r>
      <w:r>
        <w:rPr>
          <w:rFonts w:ascii="Arial" w:hAnsi="Arial" w:cs="Arial"/>
          <w:i/>
          <w:sz w:val="22"/>
          <w:szCs w:val="22"/>
        </w:rPr>
        <w:t>interaction, t</w:t>
      </w:r>
      <w:r w:rsidR="00A0580D">
        <w:rPr>
          <w:rFonts w:ascii="Arial" w:hAnsi="Arial" w:cs="Arial"/>
          <w:i/>
          <w:sz w:val="22"/>
          <w:szCs w:val="22"/>
        </w:rPr>
        <w:t>he</w:t>
      </w:r>
      <w:r>
        <w:rPr>
          <w:rFonts w:ascii="Arial" w:hAnsi="Arial" w:cs="Arial"/>
          <w:i/>
          <w:sz w:val="22"/>
          <w:szCs w:val="22"/>
        </w:rPr>
        <w:t xml:space="preserve"> estimated</w:t>
      </w:r>
      <w:r w:rsidR="004803C1" w:rsidRPr="004F59F9">
        <w:rPr>
          <w:rFonts w:ascii="Arial" w:hAnsi="Arial" w:cs="Arial"/>
          <w:i/>
          <w:sz w:val="22"/>
          <w:szCs w:val="22"/>
        </w:rPr>
        <w:t xml:space="preserve"> difference</w:t>
      </w:r>
      <w:r w:rsidR="00A0580D">
        <w:rPr>
          <w:rFonts w:ascii="Arial" w:hAnsi="Arial" w:cs="Arial"/>
          <w:i/>
          <w:sz w:val="22"/>
          <w:szCs w:val="22"/>
        </w:rPr>
        <w:t xml:space="preserve"> in CVD mortality within 4 y</w:t>
      </w:r>
      <w:r w:rsidR="004803C1" w:rsidRPr="004F59F9">
        <w:rPr>
          <w:rFonts w:ascii="Arial" w:hAnsi="Arial" w:cs="Arial"/>
          <w:i/>
          <w:sz w:val="22"/>
          <w:szCs w:val="22"/>
        </w:rPr>
        <w:t xml:space="preserve"> </w:t>
      </w:r>
      <w:r w:rsidR="00FE7662">
        <w:rPr>
          <w:rFonts w:ascii="Arial" w:hAnsi="Arial" w:cs="Arial"/>
          <w:i/>
          <w:sz w:val="22"/>
          <w:szCs w:val="22"/>
        </w:rPr>
        <w:t>of study enrollment</w:t>
      </w:r>
      <w:r w:rsidR="004803C1" w:rsidRPr="004F59F9">
        <w:rPr>
          <w:rFonts w:ascii="Arial" w:hAnsi="Arial" w:cs="Arial"/>
          <w:i/>
          <w:sz w:val="22"/>
          <w:szCs w:val="22"/>
        </w:rPr>
        <w:t xml:space="preserve"> </w:t>
      </w:r>
      <w:r w:rsidR="00FE7662">
        <w:rPr>
          <w:rFonts w:ascii="Arial" w:hAnsi="Arial" w:cs="Arial"/>
          <w:i/>
          <w:sz w:val="22"/>
          <w:szCs w:val="22"/>
        </w:rPr>
        <w:t xml:space="preserve">was </w:t>
      </w:r>
      <w:r>
        <w:rPr>
          <w:rFonts w:ascii="Arial" w:hAnsi="Arial" w:cs="Arial"/>
          <w:i/>
          <w:sz w:val="22"/>
          <w:szCs w:val="22"/>
        </w:rPr>
        <w:t>5</w:t>
      </w:r>
      <w:r w:rsidR="00FE7662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4</w:t>
      </w:r>
      <w:r w:rsidR="00FE7662">
        <w:rPr>
          <w:rFonts w:ascii="Arial" w:hAnsi="Arial" w:cs="Arial"/>
          <w:i/>
          <w:sz w:val="22"/>
          <w:szCs w:val="22"/>
        </w:rPr>
        <w:t>% lower</w:t>
      </w:r>
      <w:r w:rsidR="0035131F" w:rsidRPr="004F59F9">
        <w:rPr>
          <w:rFonts w:ascii="Arial" w:hAnsi="Arial" w:cs="Arial"/>
          <w:i/>
          <w:sz w:val="22"/>
          <w:szCs w:val="22"/>
        </w:rPr>
        <w:t xml:space="preserve"> </w:t>
      </w:r>
      <w:r w:rsidR="007F4C3B" w:rsidRPr="004F59F9">
        <w:rPr>
          <w:rFonts w:ascii="Arial" w:hAnsi="Arial" w:cs="Arial"/>
          <w:i/>
          <w:sz w:val="22"/>
          <w:szCs w:val="22"/>
        </w:rPr>
        <w:t xml:space="preserve">in women who had a history of prevalent atherosclerosis </w:t>
      </w:r>
      <w:r>
        <w:rPr>
          <w:rFonts w:ascii="Arial" w:hAnsi="Arial" w:cs="Arial"/>
          <w:i/>
          <w:sz w:val="22"/>
          <w:szCs w:val="22"/>
        </w:rPr>
        <w:t>than i</w:t>
      </w:r>
      <w:r w:rsidR="004803C1" w:rsidRPr="004F59F9">
        <w:rPr>
          <w:rFonts w:ascii="Arial" w:hAnsi="Arial" w:cs="Arial"/>
          <w:i/>
          <w:sz w:val="22"/>
          <w:szCs w:val="22"/>
        </w:rPr>
        <w:t xml:space="preserve">n women who did not have a history of </w:t>
      </w:r>
      <w:r w:rsidR="00217997" w:rsidRPr="004F59F9">
        <w:rPr>
          <w:rFonts w:ascii="Arial" w:hAnsi="Arial" w:cs="Arial"/>
          <w:i/>
          <w:sz w:val="22"/>
          <w:szCs w:val="22"/>
        </w:rPr>
        <w:t>prevalent atherosclerosis</w:t>
      </w:r>
      <w:r w:rsidR="004803C1" w:rsidRPr="004F59F9"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 xml:space="preserve">The observed trend of a </w:t>
      </w:r>
      <w:r w:rsidR="007F4C3B">
        <w:rPr>
          <w:rFonts w:ascii="Arial" w:hAnsi="Arial" w:cs="Arial"/>
          <w:i/>
          <w:sz w:val="22"/>
          <w:szCs w:val="22"/>
        </w:rPr>
        <w:t>5</w:t>
      </w:r>
      <w:r>
        <w:rPr>
          <w:rFonts w:ascii="Arial" w:hAnsi="Arial" w:cs="Arial"/>
          <w:i/>
          <w:sz w:val="22"/>
          <w:szCs w:val="22"/>
        </w:rPr>
        <w:t>.4</w:t>
      </w:r>
      <w:r w:rsidR="007F4C3B">
        <w:rPr>
          <w:rFonts w:ascii="Arial" w:hAnsi="Arial" w:cs="Arial"/>
          <w:i/>
          <w:sz w:val="22"/>
          <w:szCs w:val="22"/>
        </w:rPr>
        <w:t>% lower risk</w:t>
      </w:r>
      <w:r w:rsidR="00272F9F">
        <w:rPr>
          <w:rFonts w:ascii="Arial" w:hAnsi="Arial" w:cs="Arial"/>
          <w:i/>
          <w:sz w:val="22"/>
          <w:szCs w:val="22"/>
        </w:rPr>
        <w:t xml:space="preserve"> difference</w:t>
      </w:r>
      <w:r w:rsidR="007F4C3B">
        <w:rPr>
          <w:rFonts w:ascii="Arial" w:hAnsi="Arial" w:cs="Arial"/>
          <w:i/>
          <w:sz w:val="22"/>
          <w:szCs w:val="22"/>
        </w:rPr>
        <w:t xml:space="preserve"> is not beyond that expected to occur by chance in the absence of a true difference in treatment effect by history of prior CVD (p=0.129). </w:t>
      </w:r>
      <w:r w:rsidR="00272F9F">
        <w:rPr>
          <w:rFonts w:ascii="Arial" w:hAnsi="Arial" w:cs="Arial"/>
          <w:i/>
          <w:sz w:val="22"/>
          <w:szCs w:val="22"/>
        </w:rPr>
        <w:t>The 95% CI</w:t>
      </w:r>
      <w:r w:rsidR="00D26D0C">
        <w:rPr>
          <w:rFonts w:ascii="Arial" w:hAnsi="Arial" w:cs="Arial"/>
          <w:i/>
          <w:sz w:val="22"/>
          <w:szCs w:val="22"/>
        </w:rPr>
        <w:t xml:space="preserve"> for the </w:t>
      </w:r>
      <w:r w:rsidR="00272F9F">
        <w:rPr>
          <w:rFonts w:ascii="Arial" w:hAnsi="Arial" w:cs="Arial"/>
          <w:i/>
          <w:sz w:val="22"/>
          <w:szCs w:val="22"/>
        </w:rPr>
        <w:t xml:space="preserve">risk difference estimating </w:t>
      </w:r>
      <w:r w:rsidR="00C22B13">
        <w:rPr>
          <w:rFonts w:ascii="Arial" w:hAnsi="Arial" w:cs="Arial"/>
          <w:i/>
          <w:sz w:val="22"/>
          <w:szCs w:val="22"/>
        </w:rPr>
        <w:t xml:space="preserve">an estrogen </w:t>
      </w:r>
      <w:r w:rsidR="00272F9F">
        <w:rPr>
          <w:rFonts w:ascii="Arial" w:hAnsi="Arial" w:cs="Arial"/>
          <w:i/>
          <w:sz w:val="22"/>
          <w:szCs w:val="22"/>
        </w:rPr>
        <w:t xml:space="preserve">treatment effect indicates that the observed results are not incompatible with a treatment </w:t>
      </w:r>
      <w:r w:rsidR="00A30575">
        <w:rPr>
          <w:rFonts w:ascii="Arial" w:hAnsi="Arial" w:cs="Arial"/>
          <w:i/>
          <w:sz w:val="22"/>
          <w:szCs w:val="22"/>
        </w:rPr>
        <w:t xml:space="preserve">effect </w:t>
      </w:r>
      <w:r>
        <w:rPr>
          <w:rFonts w:ascii="Arial" w:hAnsi="Arial" w:cs="Arial"/>
          <w:i/>
          <w:sz w:val="22"/>
          <w:szCs w:val="22"/>
        </w:rPr>
        <w:t xml:space="preserve">that is </w:t>
      </w:r>
      <w:r w:rsidR="00272F9F">
        <w:rPr>
          <w:rFonts w:ascii="Arial" w:hAnsi="Arial" w:cs="Arial"/>
          <w:i/>
          <w:sz w:val="22"/>
          <w:szCs w:val="22"/>
        </w:rPr>
        <w:lastRenderedPageBreak/>
        <w:t>12</w:t>
      </w:r>
      <w:r w:rsidR="00A30575">
        <w:rPr>
          <w:rFonts w:ascii="Arial" w:hAnsi="Arial" w:cs="Arial"/>
          <w:i/>
          <w:sz w:val="22"/>
          <w:szCs w:val="22"/>
        </w:rPr>
        <w:t>.4</w:t>
      </w:r>
      <w:r w:rsidR="00272F9F">
        <w:rPr>
          <w:rFonts w:ascii="Arial" w:hAnsi="Arial" w:cs="Arial"/>
          <w:i/>
          <w:sz w:val="22"/>
          <w:szCs w:val="22"/>
        </w:rPr>
        <w:t>%</w:t>
      </w:r>
      <w:r>
        <w:rPr>
          <w:rFonts w:ascii="Arial" w:hAnsi="Arial" w:cs="Arial"/>
          <w:i/>
          <w:sz w:val="22"/>
          <w:szCs w:val="22"/>
        </w:rPr>
        <w:t xml:space="preserve"> lower or </w:t>
      </w:r>
      <w:r w:rsidR="00B942E2">
        <w:rPr>
          <w:rFonts w:ascii="Arial" w:hAnsi="Arial" w:cs="Arial"/>
          <w:i/>
          <w:sz w:val="22"/>
          <w:szCs w:val="22"/>
        </w:rPr>
        <w:t>1.6</w:t>
      </w:r>
      <w:r w:rsidR="00D26D0C">
        <w:rPr>
          <w:rFonts w:ascii="Arial" w:hAnsi="Arial" w:cs="Arial"/>
          <w:i/>
          <w:sz w:val="22"/>
          <w:szCs w:val="22"/>
        </w:rPr>
        <w:t xml:space="preserve">% higher than in </w:t>
      </w:r>
      <w:r w:rsidR="00272F9F">
        <w:rPr>
          <w:rFonts w:ascii="Arial" w:hAnsi="Arial" w:cs="Arial"/>
          <w:i/>
          <w:sz w:val="22"/>
          <w:szCs w:val="22"/>
        </w:rPr>
        <w:t xml:space="preserve">women who did not receive estrogen. </w:t>
      </w:r>
      <w:r w:rsidR="00E71106" w:rsidRPr="004F59F9">
        <w:rPr>
          <w:rFonts w:ascii="Arial" w:hAnsi="Arial" w:cs="Arial"/>
          <w:i/>
          <w:sz w:val="22"/>
          <w:szCs w:val="22"/>
        </w:rPr>
        <w:t>I conc</w:t>
      </w:r>
      <w:r w:rsidR="00ED211F" w:rsidRPr="004F59F9">
        <w:rPr>
          <w:rFonts w:ascii="Arial" w:hAnsi="Arial" w:cs="Arial"/>
          <w:i/>
          <w:sz w:val="22"/>
          <w:szCs w:val="22"/>
        </w:rPr>
        <w:t>lude that a history of prior atherosclerosis does not</w:t>
      </w:r>
      <w:r w:rsidR="00685FF0">
        <w:rPr>
          <w:rFonts w:ascii="Arial" w:hAnsi="Arial" w:cs="Arial"/>
          <w:i/>
          <w:sz w:val="22"/>
          <w:szCs w:val="22"/>
        </w:rPr>
        <w:t xml:space="preserve"> appear to</w:t>
      </w:r>
      <w:r w:rsidR="00ED211F" w:rsidRPr="004F59F9">
        <w:rPr>
          <w:rFonts w:ascii="Arial" w:hAnsi="Arial" w:cs="Arial"/>
          <w:i/>
          <w:sz w:val="22"/>
          <w:szCs w:val="22"/>
        </w:rPr>
        <w:t xml:space="preserve"> </w:t>
      </w:r>
      <w:r w:rsidR="00E71106" w:rsidRPr="004F59F9">
        <w:rPr>
          <w:rFonts w:ascii="Arial" w:hAnsi="Arial" w:cs="Arial"/>
          <w:i/>
          <w:sz w:val="22"/>
          <w:szCs w:val="22"/>
        </w:rPr>
        <w:t>modify the association between estrogen use and CVD mortality</w:t>
      </w:r>
      <w:r w:rsidR="00ED211F" w:rsidRPr="004F59F9">
        <w:rPr>
          <w:rFonts w:ascii="Arial" w:hAnsi="Arial" w:cs="Arial"/>
          <w:i/>
          <w:sz w:val="22"/>
          <w:szCs w:val="22"/>
        </w:rPr>
        <w:t>.</w:t>
      </w:r>
    </w:p>
    <w:p w14:paraId="1CE49CD6" w14:textId="77777777" w:rsidR="004803C1" w:rsidRPr="006E0D35" w:rsidRDefault="004803C1" w:rsidP="00C14ABA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096185FA" w14:textId="77777777" w:rsidR="00CA36C9" w:rsidRPr="006E0D35" w:rsidRDefault="00CA36C9" w:rsidP="00CA36C9">
      <w:pPr>
        <w:pStyle w:val="PlainTex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E0D35">
        <w:rPr>
          <w:rFonts w:ascii="Arial" w:hAnsi="Arial" w:cs="Arial"/>
          <w:sz w:val="22"/>
          <w:szCs w:val="22"/>
        </w:rPr>
        <w:t>Suppose we just want to ignore any such effect modification. Is there evidence in the dataset that any estrogen-CVD mortality association is confounded by a history of prior CVD? Provide results of a statistical analysis in support of your answer.</w:t>
      </w:r>
    </w:p>
    <w:p w14:paraId="67CA79A2" w14:textId="77777777" w:rsidR="00603635" w:rsidRDefault="00603635" w:rsidP="00B94AEB">
      <w:pPr>
        <w:pStyle w:val="PlainText"/>
        <w:ind w:left="1080"/>
        <w:rPr>
          <w:rFonts w:ascii="Arial" w:hAnsi="Arial" w:cs="Arial"/>
          <w:b/>
        </w:rPr>
      </w:pPr>
    </w:p>
    <w:p w14:paraId="7FA91BBA" w14:textId="14DD9C7F" w:rsidR="00753040" w:rsidRDefault="00A30575" w:rsidP="00B94AEB">
      <w:pPr>
        <w:pStyle w:val="PlainText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3</w:t>
      </w:r>
      <w:r w:rsidR="00753040">
        <w:rPr>
          <w:rFonts w:ascii="Arial" w:hAnsi="Arial" w:cs="Arial"/>
          <w:b/>
        </w:rPr>
        <w:t xml:space="preserve">: </w:t>
      </w:r>
      <w:r w:rsidR="00B17D05">
        <w:rPr>
          <w:rFonts w:ascii="Arial" w:hAnsi="Arial" w:cs="Arial"/>
          <w:b/>
        </w:rPr>
        <w:t xml:space="preserve">Association between </w:t>
      </w:r>
      <w:r w:rsidR="00753040">
        <w:rPr>
          <w:rFonts w:ascii="Arial" w:hAnsi="Arial" w:cs="Arial"/>
          <w:b/>
        </w:rPr>
        <w:t>CVD mortality and prior CVD history in the CHS</w:t>
      </w:r>
    </w:p>
    <w:tbl>
      <w:tblPr>
        <w:tblW w:w="4200" w:type="dxa"/>
        <w:jc w:val="center"/>
        <w:tblInd w:w="93" w:type="dxa"/>
        <w:tblLook w:val="04A0" w:firstRow="1" w:lastRow="0" w:firstColumn="1" w:lastColumn="0" w:noHBand="0" w:noVBand="1"/>
      </w:tblPr>
      <w:tblGrid>
        <w:gridCol w:w="1540"/>
        <w:gridCol w:w="1175"/>
        <w:gridCol w:w="1485"/>
      </w:tblGrid>
      <w:tr w:rsidR="00B17D05" w:rsidRPr="00B17D05" w14:paraId="68860B24" w14:textId="77777777" w:rsidTr="00B17D05">
        <w:trPr>
          <w:trHeight w:val="24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5CD2" w14:textId="77777777" w:rsidR="00B17D05" w:rsidRPr="00B17D05" w:rsidRDefault="00B17D05" w:rsidP="00B17D0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CE266" w14:textId="77777777" w:rsidR="00B17D05" w:rsidRPr="00B17D05" w:rsidRDefault="00B17D05" w:rsidP="00B17D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17D05">
              <w:rPr>
                <w:rFonts w:ascii="Arial" w:hAnsi="Arial" w:cs="Arial"/>
                <w:b/>
                <w:bCs/>
                <w:color w:val="000000"/>
              </w:rPr>
              <w:t>CVD mortality</w:t>
            </w:r>
          </w:p>
        </w:tc>
      </w:tr>
      <w:tr w:rsidR="00B17D05" w:rsidRPr="00B17D05" w14:paraId="4E606B83" w14:textId="77777777" w:rsidTr="00B17D05">
        <w:trPr>
          <w:trHeight w:val="240"/>
          <w:jc w:val="center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644BC" w14:textId="77777777" w:rsidR="00B17D05" w:rsidRPr="00B17D05" w:rsidRDefault="00B17D05" w:rsidP="00B17D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17D05">
              <w:rPr>
                <w:rFonts w:ascii="Arial" w:hAnsi="Arial" w:cs="Arial"/>
                <w:b/>
                <w:bCs/>
                <w:color w:val="000000"/>
              </w:rPr>
              <w:t>Prior CVD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7C646" w14:textId="77777777" w:rsidR="00B17D05" w:rsidRPr="00B17D05" w:rsidRDefault="00B17D05" w:rsidP="00B17D05">
            <w:pPr>
              <w:jc w:val="right"/>
              <w:rPr>
                <w:rFonts w:ascii="Arial" w:hAnsi="Arial" w:cs="Arial"/>
                <w:color w:val="000000"/>
              </w:rPr>
            </w:pPr>
            <w:r w:rsidRPr="00B17D05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E4D83" w14:textId="77777777" w:rsidR="00B17D05" w:rsidRPr="00B17D05" w:rsidRDefault="00B17D05" w:rsidP="00B17D05">
            <w:pPr>
              <w:jc w:val="right"/>
              <w:rPr>
                <w:rFonts w:ascii="Arial" w:hAnsi="Arial" w:cs="Arial"/>
                <w:color w:val="000000"/>
              </w:rPr>
            </w:pPr>
            <w:r w:rsidRPr="00B17D05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B17D05" w:rsidRPr="00B17D05" w14:paraId="6BE78197" w14:textId="77777777" w:rsidTr="00B17D05">
        <w:trPr>
          <w:trHeight w:val="24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6105" w14:textId="77777777" w:rsidR="00B17D05" w:rsidRPr="00B17D05" w:rsidRDefault="00B17D05" w:rsidP="00B17D05">
            <w:pPr>
              <w:rPr>
                <w:rFonts w:ascii="Arial" w:hAnsi="Arial" w:cs="Arial"/>
                <w:color w:val="000000"/>
              </w:rPr>
            </w:pPr>
            <w:r w:rsidRPr="00B17D05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F440" w14:textId="77777777" w:rsidR="00B17D05" w:rsidRPr="00B17D05" w:rsidRDefault="00B17D05" w:rsidP="00B17D05">
            <w:pPr>
              <w:jc w:val="right"/>
              <w:rPr>
                <w:rFonts w:ascii="Arial" w:hAnsi="Arial" w:cs="Arial"/>
                <w:color w:val="000000"/>
              </w:rPr>
            </w:pPr>
            <w:r w:rsidRPr="00B17D05">
              <w:rPr>
                <w:rFonts w:ascii="Arial" w:hAnsi="Arial" w:cs="Arial"/>
                <w:color w:val="000000"/>
              </w:rPr>
              <w:t>52 (57%)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299E" w14:textId="77777777" w:rsidR="00B17D05" w:rsidRPr="00B17D05" w:rsidRDefault="00B17D05" w:rsidP="00B17D05">
            <w:pPr>
              <w:jc w:val="right"/>
              <w:rPr>
                <w:rFonts w:ascii="Arial" w:hAnsi="Arial" w:cs="Arial"/>
                <w:color w:val="000000"/>
              </w:rPr>
            </w:pPr>
            <w:r w:rsidRPr="00B17D05">
              <w:rPr>
                <w:rFonts w:ascii="Arial" w:hAnsi="Arial" w:cs="Arial"/>
                <w:color w:val="000000"/>
              </w:rPr>
              <w:t>492 (18%)</w:t>
            </w:r>
          </w:p>
        </w:tc>
      </w:tr>
      <w:tr w:rsidR="00B17D05" w:rsidRPr="00B17D05" w14:paraId="0246658F" w14:textId="77777777" w:rsidTr="00B17D05">
        <w:trPr>
          <w:trHeight w:val="240"/>
          <w:jc w:val="center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36CFA" w14:textId="77777777" w:rsidR="00B17D05" w:rsidRPr="00B17D05" w:rsidRDefault="00B17D05" w:rsidP="00B17D05">
            <w:pPr>
              <w:rPr>
                <w:rFonts w:ascii="Arial" w:hAnsi="Arial" w:cs="Arial"/>
                <w:color w:val="000000"/>
              </w:rPr>
            </w:pPr>
            <w:r w:rsidRPr="00B17D05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874AF" w14:textId="77777777" w:rsidR="00B17D05" w:rsidRPr="00B17D05" w:rsidRDefault="00B17D05" w:rsidP="00B17D05">
            <w:pPr>
              <w:jc w:val="right"/>
              <w:rPr>
                <w:rFonts w:ascii="Arial" w:hAnsi="Arial" w:cs="Arial"/>
                <w:color w:val="000000"/>
              </w:rPr>
            </w:pPr>
            <w:r w:rsidRPr="00B17D05">
              <w:rPr>
                <w:rFonts w:ascii="Arial" w:hAnsi="Arial" w:cs="Arial"/>
                <w:color w:val="000000"/>
              </w:rPr>
              <w:t>39 (43%)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12A73" w14:textId="77777777" w:rsidR="00B17D05" w:rsidRPr="00B17D05" w:rsidRDefault="00B17D05" w:rsidP="00B17D05">
            <w:pPr>
              <w:jc w:val="right"/>
              <w:rPr>
                <w:rFonts w:ascii="Arial" w:hAnsi="Arial" w:cs="Arial"/>
                <w:color w:val="000000"/>
              </w:rPr>
            </w:pPr>
            <w:r w:rsidRPr="00B17D05">
              <w:rPr>
                <w:rFonts w:ascii="Arial" w:hAnsi="Arial" w:cs="Arial"/>
                <w:color w:val="000000"/>
              </w:rPr>
              <w:t>2321 (83%)</w:t>
            </w:r>
          </w:p>
        </w:tc>
      </w:tr>
      <w:tr w:rsidR="00B17D05" w:rsidRPr="00B17D05" w14:paraId="335DABD3" w14:textId="77777777" w:rsidTr="00B17D05">
        <w:trPr>
          <w:trHeight w:val="24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C217" w14:textId="77777777" w:rsidR="00B17D05" w:rsidRPr="00B17D05" w:rsidRDefault="00B17D05" w:rsidP="00B17D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17D05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CD78" w14:textId="77777777" w:rsidR="00B17D05" w:rsidRPr="00B17D05" w:rsidRDefault="00B17D05" w:rsidP="00B17D05">
            <w:pPr>
              <w:jc w:val="right"/>
              <w:rPr>
                <w:rFonts w:ascii="Arial" w:hAnsi="Arial" w:cs="Arial"/>
                <w:color w:val="000000"/>
              </w:rPr>
            </w:pPr>
            <w:r w:rsidRPr="00B17D05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284B" w14:textId="77777777" w:rsidR="00B17D05" w:rsidRPr="00B17D05" w:rsidRDefault="00B17D05" w:rsidP="00B17D05">
            <w:pPr>
              <w:jc w:val="right"/>
              <w:rPr>
                <w:rFonts w:ascii="Arial" w:hAnsi="Arial" w:cs="Arial"/>
                <w:color w:val="000000"/>
              </w:rPr>
            </w:pPr>
            <w:r w:rsidRPr="00B17D05">
              <w:rPr>
                <w:rFonts w:ascii="Arial" w:hAnsi="Arial" w:cs="Arial"/>
                <w:color w:val="000000"/>
              </w:rPr>
              <w:t>2813</w:t>
            </w:r>
          </w:p>
        </w:tc>
      </w:tr>
    </w:tbl>
    <w:p w14:paraId="41828E51" w14:textId="261A5498" w:rsidR="00753040" w:rsidRDefault="004C7F64" w:rsidP="00B94AEB">
      <w:pPr>
        <w:pStyle w:val="PlainText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7481C78" w14:textId="0D9E77D4" w:rsidR="004C7F64" w:rsidRPr="004C7F64" w:rsidRDefault="004C7F64" w:rsidP="00B94AEB">
      <w:pPr>
        <w:pStyle w:val="PlainText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Chi2(1) = 91.0418, p&lt;0.001</w:t>
      </w:r>
    </w:p>
    <w:p w14:paraId="061671D9" w14:textId="77777777" w:rsidR="004C7F64" w:rsidRDefault="004C7F64" w:rsidP="00B17D05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</w:p>
    <w:p w14:paraId="607FDAC3" w14:textId="0249E76A" w:rsidR="00B17D05" w:rsidRDefault="00B17D05" w:rsidP="00B17D05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57% of women with prior CVD history died vs. 43% of women without CVD history. Based on the chi squared test, the absolute difference of 14% in mortality is beyond that which might be expected to occur by chance in the absence of a true association between prior CVD history and CVD mortality (p&lt;0.001). This suggests that</w:t>
      </w:r>
      <w:r w:rsidR="00A30575">
        <w:rPr>
          <w:rFonts w:ascii="Arial" w:hAnsi="Arial" w:cs="Arial"/>
          <w:i/>
          <w:sz w:val="22"/>
          <w:szCs w:val="22"/>
        </w:rPr>
        <w:t xml:space="preserve"> in this sample,</w:t>
      </w:r>
      <w:r>
        <w:rPr>
          <w:rFonts w:ascii="Arial" w:hAnsi="Arial" w:cs="Arial"/>
          <w:i/>
          <w:sz w:val="22"/>
          <w:szCs w:val="22"/>
        </w:rPr>
        <w:t xml:space="preserve"> women with prior CVD history were more likely to die of cardiovascular disease.</w:t>
      </w:r>
    </w:p>
    <w:p w14:paraId="5E1ED936" w14:textId="77777777" w:rsidR="00B17D05" w:rsidRPr="00B17D05" w:rsidRDefault="00B17D05" w:rsidP="00B94AEB">
      <w:pPr>
        <w:pStyle w:val="PlainText"/>
        <w:ind w:left="1080"/>
        <w:rPr>
          <w:rFonts w:ascii="Arial" w:hAnsi="Arial" w:cs="Arial"/>
          <w:i/>
        </w:rPr>
      </w:pPr>
    </w:p>
    <w:p w14:paraId="48E895F8" w14:textId="115BB863" w:rsidR="00753040" w:rsidRPr="006E0D35" w:rsidRDefault="00A30575" w:rsidP="00B94AEB">
      <w:pPr>
        <w:pStyle w:val="PlainText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4</w:t>
      </w:r>
      <w:r w:rsidR="00753040">
        <w:rPr>
          <w:rFonts w:ascii="Arial" w:hAnsi="Arial" w:cs="Arial"/>
          <w:b/>
        </w:rPr>
        <w:t xml:space="preserve">: </w:t>
      </w:r>
      <w:r w:rsidR="00B17D05">
        <w:rPr>
          <w:rFonts w:ascii="Arial" w:hAnsi="Arial" w:cs="Arial"/>
          <w:b/>
        </w:rPr>
        <w:t>Association between e</w:t>
      </w:r>
      <w:r w:rsidR="00753040">
        <w:rPr>
          <w:rFonts w:ascii="Arial" w:hAnsi="Arial" w:cs="Arial"/>
          <w:b/>
        </w:rPr>
        <w:t>strogen use and prior histor</w:t>
      </w:r>
      <w:r w:rsidR="00B17D05">
        <w:rPr>
          <w:rFonts w:ascii="Arial" w:hAnsi="Arial" w:cs="Arial"/>
          <w:b/>
        </w:rPr>
        <w:t>y of CVD</w:t>
      </w:r>
    </w:p>
    <w:p w14:paraId="709B62AB" w14:textId="77777777" w:rsidR="00272F9F" w:rsidRDefault="00272F9F" w:rsidP="00603635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</w:p>
    <w:tbl>
      <w:tblPr>
        <w:tblW w:w="4200" w:type="dxa"/>
        <w:jc w:val="center"/>
        <w:tblInd w:w="93" w:type="dxa"/>
        <w:tblLook w:val="04A0" w:firstRow="1" w:lastRow="0" w:firstColumn="1" w:lastColumn="0" w:noHBand="0" w:noVBand="1"/>
      </w:tblPr>
      <w:tblGrid>
        <w:gridCol w:w="1540"/>
        <w:gridCol w:w="1174"/>
        <w:gridCol w:w="1486"/>
      </w:tblGrid>
      <w:tr w:rsidR="00753040" w:rsidRPr="00753040" w14:paraId="7BAD7355" w14:textId="77777777" w:rsidTr="00753040">
        <w:trPr>
          <w:trHeight w:val="32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B71F" w14:textId="77777777" w:rsidR="00753040" w:rsidRPr="00753040" w:rsidRDefault="00753040" w:rsidP="0075304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DF42F" w14:textId="77777777" w:rsidR="00753040" w:rsidRPr="00753040" w:rsidRDefault="00753040" w:rsidP="0075304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3040">
              <w:rPr>
                <w:rFonts w:ascii="Arial" w:hAnsi="Arial" w:cs="Arial"/>
                <w:b/>
                <w:bCs/>
                <w:color w:val="000000"/>
              </w:rPr>
              <w:t>Estrogen use</w:t>
            </w:r>
          </w:p>
        </w:tc>
      </w:tr>
      <w:tr w:rsidR="00753040" w:rsidRPr="00753040" w14:paraId="54F1C53F" w14:textId="77777777" w:rsidTr="00753040">
        <w:trPr>
          <w:trHeight w:val="300"/>
          <w:jc w:val="center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E6FED" w14:textId="77777777" w:rsidR="00753040" w:rsidRPr="00753040" w:rsidRDefault="00753040" w:rsidP="0075304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3040">
              <w:rPr>
                <w:rFonts w:ascii="Arial" w:hAnsi="Arial" w:cs="Arial"/>
                <w:b/>
                <w:bCs/>
                <w:color w:val="000000"/>
              </w:rPr>
              <w:t>Prior CVD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8AE3D" w14:textId="77777777" w:rsidR="00753040" w:rsidRPr="00753040" w:rsidRDefault="00753040" w:rsidP="00753040">
            <w:pPr>
              <w:jc w:val="right"/>
              <w:rPr>
                <w:rFonts w:ascii="Arial" w:hAnsi="Arial" w:cs="Arial"/>
                <w:color w:val="000000"/>
              </w:rPr>
            </w:pPr>
            <w:r w:rsidRPr="0075304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13D83" w14:textId="77777777" w:rsidR="00753040" w:rsidRPr="00753040" w:rsidRDefault="00753040" w:rsidP="00753040">
            <w:pPr>
              <w:jc w:val="right"/>
              <w:rPr>
                <w:rFonts w:ascii="Arial" w:hAnsi="Arial" w:cs="Arial"/>
                <w:color w:val="000000"/>
              </w:rPr>
            </w:pPr>
            <w:r w:rsidRPr="00753040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753040" w:rsidRPr="00753040" w14:paraId="22009A67" w14:textId="77777777" w:rsidTr="00753040">
        <w:trPr>
          <w:trHeight w:val="26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E910" w14:textId="77777777" w:rsidR="00753040" w:rsidRPr="00753040" w:rsidRDefault="00753040" w:rsidP="00753040">
            <w:pPr>
              <w:rPr>
                <w:rFonts w:ascii="Arial" w:hAnsi="Arial" w:cs="Arial"/>
                <w:color w:val="000000"/>
              </w:rPr>
            </w:pPr>
            <w:r w:rsidRPr="0075304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E938" w14:textId="79EDF976" w:rsidR="00753040" w:rsidRPr="00753040" w:rsidRDefault="00753040" w:rsidP="00753040">
            <w:pPr>
              <w:jc w:val="right"/>
              <w:rPr>
                <w:rFonts w:ascii="Arial" w:hAnsi="Arial" w:cs="Arial"/>
                <w:color w:val="000000"/>
              </w:rPr>
            </w:pPr>
            <w:r w:rsidRPr="00753040">
              <w:rPr>
                <w:rFonts w:ascii="Arial" w:hAnsi="Arial" w:cs="Arial"/>
                <w:color w:val="000000"/>
              </w:rPr>
              <w:t>30</w:t>
            </w:r>
            <w:r>
              <w:rPr>
                <w:rFonts w:ascii="Arial" w:hAnsi="Arial" w:cs="Arial"/>
                <w:color w:val="000000"/>
              </w:rPr>
              <w:t xml:space="preserve"> (9%)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0474" w14:textId="36809C6D" w:rsidR="00753040" w:rsidRPr="00753040" w:rsidRDefault="00753040" w:rsidP="00753040">
            <w:pPr>
              <w:jc w:val="right"/>
              <w:rPr>
                <w:rFonts w:ascii="Arial" w:hAnsi="Arial" w:cs="Arial"/>
                <w:color w:val="000000"/>
              </w:rPr>
            </w:pPr>
            <w:r w:rsidRPr="00753040">
              <w:rPr>
                <w:rFonts w:ascii="Arial" w:hAnsi="Arial" w:cs="Arial"/>
                <w:color w:val="000000"/>
              </w:rPr>
              <w:t>514</w:t>
            </w:r>
            <w:r>
              <w:rPr>
                <w:rFonts w:ascii="Arial" w:hAnsi="Arial" w:cs="Arial"/>
                <w:color w:val="000000"/>
              </w:rPr>
              <w:t xml:space="preserve"> (20%)</w:t>
            </w:r>
          </w:p>
        </w:tc>
      </w:tr>
      <w:tr w:rsidR="00753040" w:rsidRPr="00753040" w14:paraId="399FAD59" w14:textId="77777777" w:rsidTr="00753040">
        <w:trPr>
          <w:trHeight w:val="260"/>
          <w:jc w:val="center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0271B" w14:textId="77777777" w:rsidR="00753040" w:rsidRPr="00753040" w:rsidRDefault="00753040" w:rsidP="00753040">
            <w:pPr>
              <w:rPr>
                <w:rFonts w:ascii="Arial" w:hAnsi="Arial" w:cs="Arial"/>
                <w:color w:val="000000"/>
              </w:rPr>
            </w:pPr>
            <w:r w:rsidRPr="00753040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8E770" w14:textId="398821AC" w:rsidR="00753040" w:rsidRPr="00753040" w:rsidRDefault="00753040" w:rsidP="00753040">
            <w:pPr>
              <w:jc w:val="right"/>
              <w:rPr>
                <w:rFonts w:ascii="Arial" w:hAnsi="Arial" w:cs="Arial"/>
                <w:color w:val="000000"/>
              </w:rPr>
            </w:pPr>
            <w:r w:rsidRPr="00753040">
              <w:rPr>
                <w:rFonts w:ascii="Arial" w:hAnsi="Arial" w:cs="Arial"/>
                <w:color w:val="000000"/>
              </w:rPr>
              <w:t>310</w:t>
            </w:r>
            <w:r>
              <w:rPr>
                <w:rFonts w:ascii="Arial" w:hAnsi="Arial" w:cs="Arial"/>
                <w:color w:val="000000"/>
              </w:rPr>
              <w:t xml:space="preserve"> (91%)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3891C" w14:textId="7EFDCC5F" w:rsidR="00753040" w:rsidRPr="00753040" w:rsidRDefault="00753040" w:rsidP="00753040">
            <w:pPr>
              <w:jc w:val="right"/>
              <w:rPr>
                <w:rFonts w:ascii="Arial" w:hAnsi="Arial" w:cs="Arial"/>
                <w:color w:val="000000"/>
              </w:rPr>
            </w:pPr>
            <w:r w:rsidRPr="00753040">
              <w:rPr>
                <w:rFonts w:ascii="Arial" w:hAnsi="Arial" w:cs="Arial"/>
                <w:color w:val="000000"/>
              </w:rPr>
              <w:t>2045</w:t>
            </w:r>
            <w:r>
              <w:rPr>
                <w:rFonts w:ascii="Arial" w:hAnsi="Arial" w:cs="Arial"/>
                <w:color w:val="000000"/>
              </w:rPr>
              <w:t xml:space="preserve"> (80%)</w:t>
            </w:r>
          </w:p>
        </w:tc>
      </w:tr>
      <w:tr w:rsidR="00753040" w:rsidRPr="00753040" w14:paraId="0FB5B382" w14:textId="77777777" w:rsidTr="00753040">
        <w:trPr>
          <w:trHeight w:val="26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EF52" w14:textId="77777777" w:rsidR="00753040" w:rsidRPr="00753040" w:rsidRDefault="00753040" w:rsidP="0075304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53040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FB47" w14:textId="77777777" w:rsidR="00753040" w:rsidRPr="00753040" w:rsidRDefault="00753040" w:rsidP="00753040">
            <w:pPr>
              <w:jc w:val="right"/>
              <w:rPr>
                <w:rFonts w:ascii="Arial" w:hAnsi="Arial" w:cs="Arial"/>
                <w:color w:val="000000"/>
              </w:rPr>
            </w:pPr>
            <w:r w:rsidRPr="00753040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8825" w14:textId="77777777" w:rsidR="00753040" w:rsidRPr="00753040" w:rsidRDefault="00753040" w:rsidP="00753040">
            <w:pPr>
              <w:jc w:val="right"/>
              <w:rPr>
                <w:rFonts w:ascii="Arial" w:hAnsi="Arial" w:cs="Arial"/>
                <w:color w:val="000000"/>
              </w:rPr>
            </w:pPr>
            <w:r w:rsidRPr="00753040">
              <w:rPr>
                <w:rFonts w:ascii="Arial" w:hAnsi="Arial" w:cs="Arial"/>
                <w:color w:val="000000"/>
              </w:rPr>
              <w:t>2559</w:t>
            </w:r>
          </w:p>
        </w:tc>
      </w:tr>
    </w:tbl>
    <w:p w14:paraId="0657EE6D" w14:textId="77777777" w:rsidR="00753040" w:rsidRDefault="00753040" w:rsidP="00603635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</w:p>
    <w:p w14:paraId="5D024A2F" w14:textId="704D99F7" w:rsidR="004C7F64" w:rsidRPr="004C7F64" w:rsidRDefault="004C7F64" w:rsidP="004C7F64">
      <w:pPr>
        <w:pStyle w:val="PlainText"/>
        <w:ind w:left="108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Chi2(1) = 24.9731, p&lt;0.001</w:t>
      </w:r>
    </w:p>
    <w:p w14:paraId="0A6F50B1" w14:textId="6B775B9B" w:rsidR="004C7F64" w:rsidRPr="004C7F64" w:rsidRDefault="004C7F64" w:rsidP="00603635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796E6E81" w14:textId="2AA08F37" w:rsidR="00753040" w:rsidRDefault="00753040" w:rsidP="00603635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91% of women without prior CVD history took estrogens vs. 9% of women with CVD history. Based on the chi squared test, the absolute difference of 82% in estrogen use is beyond that which might be expected to occur by chance in the absence of a true association between estrogen use and prior CVD history (p&lt;0.001). This suggests</w:t>
      </w:r>
      <w:r w:rsidR="00D26D0C">
        <w:rPr>
          <w:rFonts w:ascii="Arial" w:hAnsi="Arial" w:cs="Arial"/>
          <w:i/>
          <w:sz w:val="22"/>
          <w:szCs w:val="22"/>
        </w:rPr>
        <w:t xml:space="preserve"> </w:t>
      </w:r>
      <w:r w:rsidR="00A30575">
        <w:rPr>
          <w:rFonts w:ascii="Arial" w:hAnsi="Arial" w:cs="Arial"/>
          <w:i/>
          <w:sz w:val="22"/>
          <w:szCs w:val="22"/>
        </w:rPr>
        <w:t xml:space="preserve">that in this sample, </w:t>
      </w:r>
      <w:r w:rsidR="00D26D0C">
        <w:rPr>
          <w:rFonts w:ascii="Arial" w:hAnsi="Arial" w:cs="Arial"/>
          <w:i/>
          <w:sz w:val="22"/>
          <w:szCs w:val="22"/>
        </w:rPr>
        <w:t>women without prior CVD history were more likely to use estrogen</w:t>
      </w:r>
      <w:r>
        <w:rPr>
          <w:rFonts w:ascii="Arial" w:hAnsi="Arial" w:cs="Arial"/>
          <w:i/>
          <w:sz w:val="22"/>
          <w:szCs w:val="22"/>
        </w:rPr>
        <w:t>.</w:t>
      </w:r>
    </w:p>
    <w:p w14:paraId="30EC98A7" w14:textId="77777777" w:rsidR="00753040" w:rsidRDefault="00753040" w:rsidP="00603635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</w:p>
    <w:p w14:paraId="49344AF1" w14:textId="2A52DD98" w:rsidR="00C44168" w:rsidRDefault="00A30575" w:rsidP="00C44168">
      <w:pPr>
        <w:pStyle w:val="PlainText"/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5</w:t>
      </w:r>
      <w:r w:rsidR="00C44168">
        <w:rPr>
          <w:rFonts w:ascii="Arial" w:hAnsi="Arial" w:cs="Arial"/>
          <w:b/>
          <w:sz w:val="22"/>
          <w:szCs w:val="22"/>
        </w:rPr>
        <w:t>: Association between estrogen use and CVD mortality, adjusted for prior CVD history</w:t>
      </w:r>
    </w:p>
    <w:p w14:paraId="762BE154" w14:textId="77777777" w:rsidR="00C44168" w:rsidRDefault="00C44168" w:rsidP="00C44168">
      <w:pPr>
        <w:pStyle w:val="PlainText"/>
        <w:ind w:left="1080"/>
        <w:rPr>
          <w:rFonts w:ascii="Arial" w:hAnsi="Arial" w:cs="Arial"/>
          <w:b/>
          <w:sz w:val="22"/>
          <w:szCs w:val="22"/>
        </w:rPr>
      </w:pPr>
    </w:p>
    <w:tbl>
      <w:tblPr>
        <w:tblW w:w="8560" w:type="dxa"/>
        <w:jc w:val="center"/>
        <w:tblInd w:w="93" w:type="dxa"/>
        <w:tblLook w:val="04A0" w:firstRow="1" w:lastRow="0" w:firstColumn="1" w:lastColumn="0" w:noHBand="0" w:noVBand="1"/>
      </w:tblPr>
      <w:tblGrid>
        <w:gridCol w:w="1520"/>
        <w:gridCol w:w="2697"/>
        <w:gridCol w:w="943"/>
        <w:gridCol w:w="2519"/>
        <w:gridCol w:w="881"/>
      </w:tblGrid>
      <w:tr w:rsidR="00C44168" w:rsidRPr="00170590" w14:paraId="3BB13274" w14:textId="77777777" w:rsidTr="00C44168">
        <w:trPr>
          <w:trHeight w:val="260"/>
          <w:jc w:val="center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554B" w14:textId="77777777" w:rsidR="00C44168" w:rsidRPr="00170590" w:rsidRDefault="00C44168" w:rsidP="00C4416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70590">
              <w:rPr>
                <w:rFonts w:ascii="Arial" w:hAnsi="Arial" w:cs="Arial"/>
                <w:b/>
                <w:bCs/>
                <w:color w:val="000000"/>
              </w:rPr>
              <w:t>Variable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4E8CD" w14:textId="77777777" w:rsidR="00C44168" w:rsidRPr="00170590" w:rsidRDefault="00C44168" w:rsidP="00C441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0590">
              <w:rPr>
                <w:rFonts w:ascii="Arial" w:hAnsi="Arial" w:cs="Arial"/>
                <w:b/>
                <w:bCs/>
                <w:color w:val="000000"/>
              </w:rPr>
              <w:t xml:space="preserve">      Unadjusted model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D00C" w14:textId="77777777" w:rsidR="00C44168" w:rsidRPr="00170590" w:rsidRDefault="00C44168" w:rsidP="00C441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0590">
              <w:rPr>
                <w:rFonts w:ascii="Arial" w:hAnsi="Arial" w:cs="Arial"/>
                <w:b/>
                <w:bCs/>
                <w:color w:val="000000"/>
              </w:rPr>
              <w:t>Adjusted model</w:t>
            </w:r>
          </w:p>
        </w:tc>
      </w:tr>
      <w:tr w:rsidR="00C44168" w:rsidRPr="00170590" w14:paraId="1B290F49" w14:textId="77777777" w:rsidTr="00C44168">
        <w:trPr>
          <w:trHeight w:val="280"/>
          <w:jc w:val="center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95AAB" w14:textId="77777777" w:rsidR="00C44168" w:rsidRPr="00170590" w:rsidRDefault="00C44168" w:rsidP="00C44168">
            <w:pPr>
              <w:rPr>
                <w:rFonts w:ascii="Arial" w:hAnsi="Arial" w:cs="Arial"/>
                <w:color w:val="000000"/>
              </w:rPr>
            </w:pPr>
            <w:r w:rsidRPr="0017059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81362" w14:textId="42ACD0F3" w:rsidR="00C44168" w:rsidRPr="00170590" w:rsidRDefault="00C44168" w:rsidP="00A30575">
            <w:pPr>
              <w:jc w:val="center"/>
              <w:rPr>
                <w:rFonts w:ascii="Arial" w:hAnsi="Arial" w:cs="Arial"/>
                <w:color w:val="000000"/>
              </w:rPr>
            </w:pPr>
            <w:r w:rsidRPr="00170590">
              <w:rPr>
                <w:rFonts w:ascii="Arial" w:hAnsi="Arial" w:cs="Arial"/>
                <w:color w:val="000000"/>
              </w:rPr>
              <w:t>(</w:t>
            </w:r>
            <w:r w:rsidR="00A30575">
              <w:rPr>
                <w:rFonts w:ascii="Arial" w:hAnsi="Arial" w:cs="Arial"/>
                <w:color w:val="000000"/>
              </w:rPr>
              <w:t>RD</w:t>
            </w:r>
            <w:r w:rsidRPr="00170590">
              <w:rPr>
                <w:rFonts w:ascii="Arial" w:hAnsi="Arial" w:cs="Arial"/>
                <w:color w:val="000000"/>
              </w:rPr>
              <w:t>, 95% CI)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7875" w14:textId="77777777" w:rsidR="00C44168" w:rsidRPr="00170590" w:rsidRDefault="00C44168" w:rsidP="00C44168">
            <w:pPr>
              <w:jc w:val="center"/>
              <w:rPr>
                <w:rFonts w:ascii="Arial" w:hAnsi="Arial" w:cs="Arial"/>
                <w:color w:val="000000"/>
              </w:rPr>
            </w:pPr>
            <w:r w:rsidRPr="00170590">
              <w:rPr>
                <w:rFonts w:ascii="Arial" w:hAnsi="Arial" w:cs="Arial"/>
                <w:color w:val="000000"/>
              </w:rPr>
              <w:t>p-value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6030A" w14:textId="69A4E7B5" w:rsidR="00C44168" w:rsidRPr="00170590" w:rsidRDefault="00C44168" w:rsidP="00A30575">
            <w:pPr>
              <w:jc w:val="center"/>
              <w:rPr>
                <w:rFonts w:ascii="Arial" w:hAnsi="Arial" w:cs="Arial"/>
                <w:color w:val="000000"/>
              </w:rPr>
            </w:pPr>
            <w:r w:rsidRPr="00170590">
              <w:rPr>
                <w:rFonts w:ascii="Arial" w:hAnsi="Arial" w:cs="Arial"/>
                <w:color w:val="000000"/>
              </w:rPr>
              <w:t>(</w:t>
            </w:r>
            <w:r w:rsidR="00A30575">
              <w:rPr>
                <w:rFonts w:ascii="Arial" w:hAnsi="Arial" w:cs="Arial"/>
                <w:color w:val="000000"/>
              </w:rPr>
              <w:t>RD</w:t>
            </w:r>
            <w:r w:rsidRPr="00170590">
              <w:rPr>
                <w:rFonts w:ascii="Arial" w:hAnsi="Arial" w:cs="Arial"/>
                <w:color w:val="000000"/>
              </w:rPr>
              <w:t>, 95% CI)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F44A3" w14:textId="77777777" w:rsidR="00C44168" w:rsidRPr="00170590" w:rsidRDefault="00C44168" w:rsidP="00C44168">
            <w:pPr>
              <w:jc w:val="center"/>
              <w:rPr>
                <w:rFonts w:ascii="Arial" w:hAnsi="Arial" w:cs="Arial"/>
                <w:color w:val="000000"/>
              </w:rPr>
            </w:pPr>
            <w:r w:rsidRPr="00170590">
              <w:rPr>
                <w:rFonts w:ascii="Arial" w:hAnsi="Arial" w:cs="Arial"/>
                <w:color w:val="000000"/>
              </w:rPr>
              <w:t>p-value</w:t>
            </w:r>
          </w:p>
        </w:tc>
      </w:tr>
      <w:tr w:rsidR="00C44168" w:rsidRPr="00170590" w14:paraId="04FA7631" w14:textId="77777777" w:rsidTr="00C44168">
        <w:trPr>
          <w:trHeight w:val="280"/>
          <w:jc w:val="center"/>
        </w:trPr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C36D8" w14:textId="77777777" w:rsidR="00C44168" w:rsidRPr="00170590" w:rsidRDefault="00C44168" w:rsidP="00C44168">
            <w:pPr>
              <w:rPr>
                <w:rFonts w:ascii="Arial" w:hAnsi="Arial" w:cs="Arial"/>
                <w:color w:val="000000"/>
              </w:rPr>
            </w:pPr>
            <w:r w:rsidRPr="00170590">
              <w:rPr>
                <w:rFonts w:ascii="Arial" w:hAnsi="Arial" w:cs="Arial"/>
                <w:color w:val="000000"/>
              </w:rPr>
              <w:t>Estrogen use</w:t>
            </w:r>
          </w:p>
        </w:tc>
        <w:tc>
          <w:tcPr>
            <w:tcW w:w="26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0AF58" w14:textId="77777777" w:rsidR="00C44168" w:rsidRPr="00170590" w:rsidRDefault="00C44168" w:rsidP="00C441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170590">
              <w:rPr>
                <w:rFonts w:ascii="Arial" w:hAnsi="Arial" w:cs="Arial"/>
                <w:color w:val="000000"/>
              </w:rPr>
              <w:t>0.026 (-0.038, -0.013)</w:t>
            </w:r>
          </w:p>
        </w:tc>
        <w:tc>
          <w:tcPr>
            <w:tcW w:w="9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A99E" w14:textId="77777777" w:rsidR="00C44168" w:rsidRPr="00170590" w:rsidRDefault="00C44168" w:rsidP="00C44168">
            <w:pPr>
              <w:jc w:val="center"/>
              <w:rPr>
                <w:rFonts w:ascii="Arial" w:hAnsi="Arial" w:cs="Arial"/>
                <w:color w:val="000000"/>
              </w:rPr>
            </w:pPr>
            <w:r w:rsidRPr="00170590">
              <w:rPr>
                <w:rFonts w:ascii="Arial" w:hAnsi="Arial" w:cs="Arial"/>
                <w:color w:val="000000"/>
              </w:rPr>
              <w:t>&lt;0.001</w:t>
            </w:r>
          </w:p>
        </w:tc>
        <w:tc>
          <w:tcPr>
            <w:tcW w:w="25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F0CC3" w14:textId="77777777" w:rsidR="00C44168" w:rsidRPr="00170590" w:rsidRDefault="00C44168" w:rsidP="00C441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170590">
              <w:rPr>
                <w:rFonts w:ascii="Arial" w:hAnsi="Arial" w:cs="Arial"/>
                <w:color w:val="000000"/>
              </w:rPr>
              <w:t>0.017 (-0.029, -0.005)</w:t>
            </w:r>
          </w:p>
        </w:tc>
        <w:tc>
          <w:tcPr>
            <w:tcW w:w="8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939C8" w14:textId="77777777" w:rsidR="00C44168" w:rsidRPr="00170590" w:rsidRDefault="00C44168" w:rsidP="00C44168">
            <w:pPr>
              <w:jc w:val="center"/>
              <w:rPr>
                <w:rFonts w:ascii="Arial" w:hAnsi="Arial" w:cs="Arial"/>
                <w:color w:val="000000"/>
              </w:rPr>
            </w:pPr>
            <w:r w:rsidRPr="00170590">
              <w:rPr>
                <w:rFonts w:ascii="Arial" w:hAnsi="Arial" w:cs="Arial"/>
                <w:color w:val="000000"/>
              </w:rPr>
              <w:t>0.005</w:t>
            </w:r>
          </w:p>
        </w:tc>
      </w:tr>
    </w:tbl>
    <w:p w14:paraId="1794F112" w14:textId="77777777" w:rsidR="00C44168" w:rsidRPr="00170590" w:rsidRDefault="00C44168" w:rsidP="00C44168">
      <w:pPr>
        <w:pStyle w:val="PlainText"/>
        <w:ind w:left="1080"/>
        <w:rPr>
          <w:rFonts w:ascii="Arial" w:hAnsi="Arial" w:cs="Arial"/>
          <w:b/>
          <w:sz w:val="22"/>
          <w:szCs w:val="22"/>
        </w:rPr>
      </w:pPr>
    </w:p>
    <w:p w14:paraId="2FC48BE1" w14:textId="1F6F5834" w:rsidR="00171756" w:rsidRPr="004F59F9" w:rsidRDefault="0012633D" w:rsidP="00603635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The adjusted risk difference </w:t>
      </w:r>
      <w:r w:rsidR="00F0058D">
        <w:rPr>
          <w:rFonts w:ascii="Arial" w:hAnsi="Arial" w:cs="Arial"/>
          <w:i/>
          <w:sz w:val="22"/>
          <w:szCs w:val="22"/>
        </w:rPr>
        <w:t>(-0.017) is attenuated, and closer to zero than the unadjusted estimate suggesting a slight amount of confounding</w:t>
      </w:r>
      <w:r w:rsidR="004E524E" w:rsidRPr="004F59F9">
        <w:rPr>
          <w:rFonts w:ascii="Arial" w:hAnsi="Arial" w:cs="Arial"/>
          <w:i/>
          <w:sz w:val="22"/>
          <w:szCs w:val="22"/>
        </w:rPr>
        <w:t xml:space="preserve"> of the estrogen-CVD mortality association by prevalent atherosclerosis</w:t>
      </w:r>
      <w:r w:rsidR="001C6592">
        <w:rPr>
          <w:rFonts w:ascii="Arial" w:hAnsi="Arial" w:cs="Arial"/>
          <w:i/>
          <w:sz w:val="22"/>
          <w:szCs w:val="22"/>
        </w:rPr>
        <w:t xml:space="preserve">. </w:t>
      </w:r>
    </w:p>
    <w:p w14:paraId="2236F17C" w14:textId="77777777" w:rsidR="00171756" w:rsidRPr="006E0D35" w:rsidRDefault="00171756" w:rsidP="00603635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06E55D8F" w14:textId="77777777" w:rsidR="00CA36C9" w:rsidRPr="006E0D35" w:rsidRDefault="00CA36C9" w:rsidP="00CA36C9">
      <w:pPr>
        <w:pStyle w:val="PlainTex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E0D35">
        <w:rPr>
          <w:rFonts w:ascii="Arial" w:hAnsi="Arial" w:cs="Arial"/>
          <w:sz w:val="22"/>
          <w:szCs w:val="22"/>
        </w:rPr>
        <w:t xml:space="preserve">Provide complete statistical inference regarding an association between estrogen and CVD mortality after adjustment for a prior history of CVD. </w:t>
      </w:r>
    </w:p>
    <w:p w14:paraId="72243D2F" w14:textId="77777777" w:rsidR="00C44168" w:rsidRDefault="00C44168" w:rsidP="00171756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</w:p>
    <w:p w14:paraId="4836AA23" w14:textId="1301DE83" w:rsidR="00171756" w:rsidRPr="00DD47DC" w:rsidRDefault="00D26D0C" w:rsidP="00171756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From a linear regression model, we estimate that C</w:t>
      </w:r>
      <w:r w:rsidR="00170590">
        <w:rPr>
          <w:rFonts w:ascii="Arial" w:hAnsi="Arial" w:cs="Arial"/>
          <w:i/>
          <w:sz w:val="22"/>
          <w:szCs w:val="22"/>
        </w:rPr>
        <w:t>VD mortality differs between the</w:t>
      </w:r>
      <w:r>
        <w:rPr>
          <w:rFonts w:ascii="Arial" w:hAnsi="Arial" w:cs="Arial"/>
          <w:i/>
          <w:sz w:val="22"/>
          <w:szCs w:val="22"/>
        </w:rPr>
        <w:t xml:space="preserve"> estrogen </w:t>
      </w:r>
      <w:r w:rsidR="00170590">
        <w:rPr>
          <w:rFonts w:ascii="Arial" w:hAnsi="Arial" w:cs="Arial"/>
          <w:i/>
          <w:sz w:val="22"/>
          <w:szCs w:val="22"/>
        </w:rPr>
        <w:t xml:space="preserve">and no-estrogen </w:t>
      </w:r>
      <w:r w:rsidR="00A30575">
        <w:rPr>
          <w:rFonts w:ascii="Arial" w:hAnsi="Arial" w:cs="Arial"/>
          <w:i/>
          <w:sz w:val="22"/>
          <w:szCs w:val="22"/>
        </w:rPr>
        <w:t>groups by 1.7%</w:t>
      </w:r>
      <w:r>
        <w:rPr>
          <w:rFonts w:ascii="Arial" w:hAnsi="Arial" w:cs="Arial"/>
          <w:i/>
          <w:sz w:val="22"/>
          <w:szCs w:val="22"/>
        </w:rPr>
        <w:t xml:space="preserve"> (on average</w:t>
      </w:r>
      <w:r w:rsidR="00A30575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, with the estrogen group tending towards lower CVD mortality. This result is significantly different from 0 (p=0.005), with a 95% CI suggesting that such observed results would not be unusual if the true difference in CVD mortality between estrogen gro</w:t>
      </w:r>
      <w:r w:rsidR="00E81E81">
        <w:rPr>
          <w:rFonts w:ascii="Arial" w:hAnsi="Arial" w:cs="Arial"/>
          <w:i/>
          <w:sz w:val="22"/>
          <w:szCs w:val="22"/>
        </w:rPr>
        <w:t>u</w:t>
      </w:r>
      <w:r>
        <w:rPr>
          <w:rFonts w:ascii="Arial" w:hAnsi="Arial" w:cs="Arial"/>
          <w:i/>
          <w:sz w:val="22"/>
          <w:szCs w:val="22"/>
        </w:rPr>
        <w:t>ps was anywher</w:t>
      </w:r>
      <w:r w:rsidR="00170590">
        <w:rPr>
          <w:rFonts w:ascii="Arial" w:hAnsi="Arial" w:cs="Arial"/>
          <w:i/>
          <w:sz w:val="22"/>
          <w:szCs w:val="22"/>
        </w:rPr>
        <w:t>e between 0.5</w:t>
      </w:r>
      <w:r w:rsidR="000F0E0E">
        <w:rPr>
          <w:rFonts w:ascii="Arial" w:hAnsi="Arial" w:cs="Arial"/>
          <w:i/>
          <w:sz w:val="22"/>
          <w:szCs w:val="22"/>
        </w:rPr>
        <w:t xml:space="preserve">% and </w:t>
      </w:r>
      <w:r w:rsidR="00170590">
        <w:rPr>
          <w:rFonts w:ascii="Arial" w:hAnsi="Arial" w:cs="Arial"/>
          <w:i/>
          <w:sz w:val="22"/>
          <w:szCs w:val="22"/>
        </w:rPr>
        <w:t>2.9</w:t>
      </w:r>
      <w:r w:rsidR="000F0E0E">
        <w:rPr>
          <w:rFonts w:ascii="Arial" w:hAnsi="Arial" w:cs="Arial"/>
          <w:i/>
          <w:sz w:val="22"/>
          <w:szCs w:val="22"/>
        </w:rPr>
        <w:t>%</w:t>
      </w:r>
      <w:r w:rsidR="00170590">
        <w:rPr>
          <w:rFonts w:ascii="Arial" w:hAnsi="Arial" w:cs="Arial"/>
          <w:i/>
          <w:sz w:val="22"/>
          <w:szCs w:val="22"/>
        </w:rPr>
        <w:t xml:space="preserve"> lower</w:t>
      </w:r>
      <w:r>
        <w:rPr>
          <w:rFonts w:ascii="Arial" w:hAnsi="Arial" w:cs="Arial"/>
          <w:i/>
          <w:sz w:val="22"/>
          <w:szCs w:val="22"/>
        </w:rPr>
        <w:t>, with th</w:t>
      </w:r>
      <w:r w:rsidR="00A2723E">
        <w:rPr>
          <w:rFonts w:ascii="Arial" w:hAnsi="Arial" w:cs="Arial"/>
          <w:i/>
          <w:sz w:val="22"/>
          <w:szCs w:val="22"/>
        </w:rPr>
        <w:t>e</w:t>
      </w:r>
      <w:r>
        <w:rPr>
          <w:rFonts w:ascii="Arial" w:hAnsi="Arial" w:cs="Arial"/>
          <w:i/>
          <w:sz w:val="22"/>
          <w:szCs w:val="22"/>
        </w:rPr>
        <w:t xml:space="preserve"> estrogen group tending towards lower </w:t>
      </w:r>
      <w:r w:rsidR="00E81E81">
        <w:rPr>
          <w:rFonts w:ascii="Arial" w:hAnsi="Arial" w:cs="Arial"/>
          <w:i/>
          <w:sz w:val="22"/>
          <w:szCs w:val="22"/>
        </w:rPr>
        <w:t xml:space="preserve">average mortality. We reject the null hypothesis that CVD mortality does not differ across estrogen groups, in favor of the </w:t>
      </w:r>
      <w:r w:rsidR="00A2723E">
        <w:rPr>
          <w:rFonts w:ascii="Arial" w:hAnsi="Arial" w:cs="Arial"/>
          <w:i/>
          <w:sz w:val="22"/>
          <w:szCs w:val="22"/>
        </w:rPr>
        <w:t>hypotheses</w:t>
      </w:r>
      <w:r w:rsidR="00E81E81">
        <w:rPr>
          <w:rFonts w:ascii="Arial" w:hAnsi="Arial" w:cs="Arial"/>
          <w:i/>
          <w:sz w:val="22"/>
          <w:szCs w:val="22"/>
        </w:rPr>
        <w:t xml:space="preserve"> that CVD mortality tends to be lower </w:t>
      </w:r>
      <w:r w:rsidR="00170590">
        <w:rPr>
          <w:rFonts w:ascii="Arial" w:hAnsi="Arial" w:cs="Arial"/>
          <w:i/>
          <w:sz w:val="22"/>
          <w:szCs w:val="22"/>
        </w:rPr>
        <w:t>among women who took estrogen</w:t>
      </w:r>
      <w:r w:rsidR="00E81E81">
        <w:rPr>
          <w:rFonts w:ascii="Arial" w:hAnsi="Arial" w:cs="Arial"/>
          <w:i/>
          <w:sz w:val="22"/>
          <w:szCs w:val="22"/>
        </w:rPr>
        <w:t xml:space="preserve">. </w:t>
      </w:r>
    </w:p>
    <w:p w14:paraId="6AE07370" w14:textId="77777777" w:rsidR="00E64CC2" w:rsidRPr="006E0D35" w:rsidRDefault="00E64CC2" w:rsidP="00E64CC2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2C7E0E5F" w14:textId="77777777" w:rsidR="00CA36C9" w:rsidRPr="006E0D35" w:rsidRDefault="00CA36C9" w:rsidP="00CA36C9">
      <w:pPr>
        <w:pStyle w:val="PlainTex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E0D35">
        <w:rPr>
          <w:rFonts w:ascii="Arial" w:hAnsi="Arial" w:cs="Arial"/>
          <w:sz w:val="22"/>
          <w:szCs w:val="22"/>
        </w:rPr>
        <w:t>Is there evidence in the dataset that the prior disease adjusted analysis of an association between estrogen-CVD mortality is further confounded by age? Provide results of a statistical analysis in support of your answer.</w:t>
      </w:r>
    </w:p>
    <w:p w14:paraId="7AFA1EB6" w14:textId="77777777" w:rsidR="00CA36C9" w:rsidRDefault="00CA36C9" w:rsidP="00CB7275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56A1652E" w14:textId="0B6FBB03" w:rsidR="00CB7275" w:rsidRDefault="00A30575" w:rsidP="00CB7275">
      <w:pPr>
        <w:pStyle w:val="PlainText"/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6</w:t>
      </w:r>
      <w:r w:rsidR="00CB7275">
        <w:rPr>
          <w:rFonts w:ascii="Arial" w:hAnsi="Arial" w:cs="Arial"/>
          <w:b/>
          <w:sz w:val="22"/>
          <w:szCs w:val="22"/>
        </w:rPr>
        <w:t>: Association between estrogen use and CVD mortality, adjusted for age, and prior CVD history</w:t>
      </w:r>
    </w:p>
    <w:p w14:paraId="6EF07AB1" w14:textId="77777777" w:rsidR="00CB7275" w:rsidRPr="00CB7275" w:rsidRDefault="00CB7275" w:rsidP="00CB7275">
      <w:pPr>
        <w:pStyle w:val="PlainText"/>
        <w:ind w:left="1080"/>
        <w:rPr>
          <w:rFonts w:ascii="Arial" w:hAnsi="Arial" w:cs="Arial"/>
          <w:b/>
          <w:sz w:val="22"/>
          <w:szCs w:val="22"/>
        </w:rPr>
      </w:pPr>
    </w:p>
    <w:tbl>
      <w:tblPr>
        <w:tblW w:w="8560" w:type="dxa"/>
        <w:jc w:val="center"/>
        <w:tblInd w:w="93" w:type="dxa"/>
        <w:tblLook w:val="04A0" w:firstRow="1" w:lastRow="0" w:firstColumn="1" w:lastColumn="0" w:noHBand="0" w:noVBand="1"/>
      </w:tblPr>
      <w:tblGrid>
        <w:gridCol w:w="1520"/>
        <w:gridCol w:w="2697"/>
        <w:gridCol w:w="943"/>
        <w:gridCol w:w="2519"/>
        <w:gridCol w:w="881"/>
      </w:tblGrid>
      <w:tr w:rsidR="00CB7275" w:rsidRPr="00CB7275" w14:paraId="1CADB449" w14:textId="77777777" w:rsidTr="00CB7275">
        <w:trPr>
          <w:trHeight w:val="260"/>
          <w:jc w:val="center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D079" w14:textId="77777777" w:rsidR="00CB7275" w:rsidRPr="00CB7275" w:rsidRDefault="00CB7275" w:rsidP="00CB72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7275">
              <w:rPr>
                <w:rFonts w:ascii="Arial" w:hAnsi="Arial" w:cs="Arial"/>
                <w:b/>
                <w:bCs/>
                <w:color w:val="000000"/>
              </w:rPr>
              <w:t>Variable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A7039" w14:textId="77777777" w:rsidR="00CB7275" w:rsidRPr="00CB7275" w:rsidRDefault="00CB7275" w:rsidP="00CB72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7275">
              <w:rPr>
                <w:rFonts w:ascii="Arial" w:hAnsi="Arial" w:cs="Arial"/>
                <w:b/>
                <w:bCs/>
                <w:color w:val="000000"/>
              </w:rPr>
              <w:t xml:space="preserve">      Unadjusted model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125F" w14:textId="77777777" w:rsidR="00CB7275" w:rsidRPr="00CB7275" w:rsidRDefault="00CB7275" w:rsidP="00CB727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7275">
              <w:rPr>
                <w:rFonts w:ascii="Arial" w:hAnsi="Arial" w:cs="Arial"/>
                <w:b/>
                <w:bCs/>
                <w:color w:val="000000"/>
              </w:rPr>
              <w:t>Adjusted model</w:t>
            </w:r>
          </w:p>
        </w:tc>
      </w:tr>
      <w:tr w:rsidR="00CB7275" w:rsidRPr="00CB7275" w14:paraId="75627A1E" w14:textId="77777777" w:rsidTr="00CB7275">
        <w:trPr>
          <w:trHeight w:val="280"/>
          <w:jc w:val="center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A0BF7" w14:textId="77777777" w:rsidR="00CB7275" w:rsidRPr="00CB7275" w:rsidRDefault="00CB7275" w:rsidP="00CB7275">
            <w:pPr>
              <w:rPr>
                <w:rFonts w:ascii="Arial" w:hAnsi="Arial" w:cs="Arial"/>
                <w:color w:val="000000"/>
              </w:rPr>
            </w:pPr>
            <w:r w:rsidRPr="00CB727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9EC75" w14:textId="34C06AB5" w:rsidR="00CB7275" w:rsidRPr="00CB7275" w:rsidRDefault="00CB7275" w:rsidP="00A30575">
            <w:pPr>
              <w:jc w:val="center"/>
              <w:rPr>
                <w:rFonts w:ascii="Arial" w:hAnsi="Arial" w:cs="Arial"/>
                <w:color w:val="000000"/>
              </w:rPr>
            </w:pPr>
            <w:r w:rsidRPr="00CB7275">
              <w:rPr>
                <w:rFonts w:ascii="Arial" w:hAnsi="Arial" w:cs="Arial"/>
                <w:color w:val="000000"/>
              </w:rPr>
              <w:t>(</w:t>
            </w:r>
            <w:r w:rsidR="00A30575">
              <w:rPr>
                <w:rFonts w:ascii="Arial" w:hAnsi="Arial" w:cs="Arial"/>
                <w:color w:val="000000"/>
              </w:rPr>
              <w:t>RD</w:t>
            </w:r>
            <w:r w:rsidRPr="00CB7275">
              <w:rPr>
                <w:rFonts w:ascii="Arial" w:hAnsi="Arial" w:cs="Arial"/>
                <w:color w:val="000000"/>
              </w:rPr>
              <w:t>, 95% CI)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034B" w14:textId="77777777" w:rsidR="00CB7275" w:rsidRPr="00CB7275" w:rsidRDefault="00CB7275" w:rsidP="00CB7275">
            <w:pPr>
              <w:jc w:val="center"/>
              <w:rPr>
                <w:rFonts w:ascii="Arial" w:hAnsi="Arial" w:cs="Arial"/>
                <w:color w:val="000000"/>
              </w:rPr>
            </w:pPr>
            <w:r w:rsidRPr="00CB7275">
              <w:rPr>
                <w:rFonts w:ascii="Arial" w:hAnsi="Arial" w:cs="Arial"/>
                <w:color w:val="000000"/>
              </w:rPr>
              <w:t>p-value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83653" w14:textId="74D22076" w:rsidR="00CB7275" w:rsidRPr="00CB7275" w:rsidRDefault="00CB7275" w:rsidP="00A30575">
            <w:pPr>
              <w:jc w:val="center"/>
              <w:rPr>
                <w:rFonts w:ascii="Arial" w:hAnsi="Arial" w:cs="Arial"/>
                <w:color w:val="000000"/>
              </w:rPr>
            </w:pPr>
            <w:r w:rsidRPr="00CB7275">
              <w:rPr>
                <w:rFonts w:ascii="Arial" w:hAnsi="Arial" w:cs="Arial"/>
                <w:color w:val="000000"/>
              </w:rPr>
              <w:t>(</w:t>
            </w:r>
            <w:r w:rsidR="00A30575">
              <w:rPr>
                <w:rFonts w:ascii="Arial" w:hAnsi="Arial" w:cs="Arial"/>
                <w:color w:val="000000"/>
              </w:rPr>
              <w:t>RD</w:t>
            </w:r>
            <w:r w:rsidRPr="00CB7275">
              <w:rPr>
                <w:rFonts w:ascii="Arial" w:hAnsi="Arial" w:cs="Arial"/>
                <w:color w:val="000000"/>
              </w:rPr>
              <w:t>, 95% CI)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9056F" w14:textId="77777777" w:rsidR="00CB7275" w:rsidRPr="00CB7275" w:rsidRDefault="00CB7275" w:rsidP="00CB7275">
            <w:pPr>
              <w:jc w:val="center"/>
              <w:rPr>
                <w:rFonts w:ascii="Arial" w:hAnsi="Arial" w:cs="Arial"/>
                <w:color w:val="000000"/>
              </w:rPr>
            </w:pPr>
            <w:r w:rsidRPr="00CB7275">
              <w:rPr>
                <w:rFonts w:ascii="Arial" w:hAnsi="Arial" w:cs="Arial"/>
                <w:color w:val="000000"/>
              </w:rPr>
              <w:t>p-value</w:t>
            </w:r>
          </w:p>
        </w:tc>
      </w:tr>
      <w:tr w:rsidR="00CB7275" w:rsidRPr="00CB7275" w14:paraId="3426FC14" w14:textId="77777777" w:rsidTr="00CB7275">
        <w:trPr>
          <w:trHeight w:val="280"/>
          <w:jc w:val="center"/>
        </w:trPr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3C868" w14:textId="77777777" w:rsidR="00CB7275" w:rsidRPr="00CB7275" w:rsidRDefault="00CB7275" w:rsidP="00CB7275">
            <w:pPr>
              <w:rPr>
                <w:rFonts w:ascii="Arial" w:hAnsi="Arial" w:cs="Arial"/>
                <w:color w:val="000000"/>
              </w:rPr>
            </w:pPr>
            <w:r w:rsidRPr="00CB7275">
              <w:rPr>
                <w:rFonts w:ascii="Arial" w:hAnsi="Arial" w:cs="Arial"/>
                <w:color w:val="000000"/>
              </w:rPr>
              <w:t>Estrogen use</w:t>
            </w:r>
          </w:p>
        </w:tc>
        <w:tc>
          <w:tcPr>
            <w:tcW w:w="26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C3331" w14:textId="2C5D84F3" w:rsidR="00CB7275" w:rsidRPr="00CB7275" w:rsidRDefault="004E524E" w:rsidP="00CB72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CB7275" w:rsidRPr="00CB7275">
              <w:rPr>
                <w:rFonts w:ascii="Arial" w:hAnsi="Arial" w:cs="Arial"/>
                <w:color w:val="000000"/>
              </w:rPr>
              <w:t>0.026 (-0.038, -0.013)</w:t>
            </w:r>
          </w:p>
        </w:tc>
        <w:tc>
          <w:tcPr>
            <w:tcW w:w="9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D0D8" w14:textId="77777777" w:rsidR="00CB7275" w:rsidRPr="00CB7275" w:rsidRDefault="00CB7275" w:rsidP="00CB7275">
            <w:pPr>
              <w:jc w:val="center"/>
              <w:rPr>
                <w:rFonts w:ascii="Arial" w:hAnsi="Arial" w:cs="Arial"/>
                <w:color w:val="000000"/>
              </w:rPr>
            </w:pPr>
            <w:r w:rsidRPr="00CB7275">
              <w:rPr>
                <w:rFonts w:ascii="Arial" w:hAnsi="Arial" w:cs="Arial"/>
                <w:color w:val="000000"/>
              </w:rPr>
              <w:t>&lt;0.001</w:t>
            </w:r>
          </w:p>
        </w:tc>
        <w:tc>
          <w:tcPr>
            <w:tcW w:w="25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CB3A1" w14:textId="641A467E" w:rsidR="00CB7275" w:rsidRPr="00CB7275" w:rsidRDefault="008A42D7" w:rsidP="00CB727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CB7275">
              <w:rPr>
                <w:rFonts w:ascii="Arial" w:hAnsi="Arial" w:cs="Arial"/>
                <w:color w:val="000000"/>
              </w:rPr>
              <w:t xml:space="preserve">0.009 (-0.021, </w:t>
            </w:r>
            <w:r w:rsidR="00CB7275" w:rsidRPr="00CB7275">
              <w:rPr>
                <w:rFonts w:ascii="Arial" w:hAnsi="Arial" w:cs="Arial"/>
                <w:color w:val="000000"/>
              </w:rPr>
              <w:t>0.002)</w:t>
            </w:r>
          </w:p>
        </w:tc>
        <w:tc>
          <w:tcPr>
            <w:tcW w:w="8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3F411" w14:textId="77777777" w:rsidR="00CB7275" w:rsidRPr="00CB7275" w:rsidRDefault="00CB7275" w:rsidP="00CB7275">
            <w:pPr>
              <w:jc w:val="center"/>
              <w:rPr>
                <w:rFonts w:ascii="Arial" w:hAnsi="Arial" w:cs="Arial"/>
                <w:color w:val="000000"/>
              </w:rPr>
            </w:pPr>
            <w:r w:rsidRPr="00CB7275">
              <w:rPr>
                <w:rFonts w:ascii="Arial" w:hAnsi="Arial" w:cs="Arial"/>
                <w:color w:val="000000"/>
              </w:rPr>
              <w:t>0.1</w:t>
            </w:r>
          </w:p>
        </w:tc>
      </w:tr>
    </w:tbl>
    <w:p w14:paraId="2F3C3EA8" w14:textId="77777777" w:rsidR="00C07B8A" w:rsidRPr="00CB7275" w:rsidRDefault="00C07B8A" w:rsidP="00EB45D6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0372B9B7" w14:textId="4F18D40A" w:rsidR="00FE7662" w:rsidRDefault="00A30575" w:rsidP="00EB45D6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After adjustment for CVD history and age, w</w:t>
      </w:r>
      <w:r w:rsidR="009E718D">
        <w:rPr>
          <w:rFonts w:ascii="Arial" w:hAnsi="Arial" w:cs="Arial"/>
          <w:i/>
          <w:sz w:val="22"/>
          <w:szCs w:val="22"/>
        </w:rPr>
        <w:t xml:space="preserve">e estimate that CVD mortality was </w:t>
      </w:r>
      <w:r w:rsidR="008A42D7">
        <w:rPr>
          <w:rFonts w:ascii="Arial" w:hAnsi="Arial" w:cs="Arial"/>
          <w:i/>
          <w:sz w:val="22"/>
          <w:szCs w:val="22"/>
        </w:rPr>
        <w:t>0.9</w:t>
      </w:r>
      <w:r w:rsidR="000F0E0E">
        <w:rPr>
          <w:rFonts w:ascii="Arial" w:hAnsi="Arial" w:cs="Arial"/>
          <w:i/>
          <w:sz w:val="22"/>
          <w:szCs w:val="22"/>
        </w:rPr>
        <w:t xml:space="preserve">% lower </w:t>
      </w:r>
      <w:r w:rsidR="00AA3202">
        <w:rPr>
          <w:rFonts w:ascii="Arial" w:hAnsi="Arial" w:cs="Arial"/>
          <w:i/>
          <w:sz w:val="22"/>
          <w:szCs w:val="22"/>
        </w:rPr>
        <w:t>when com</w:t>
      </w:r>
      <w:r w:rsidR="00FE7662">
        <w:rPr>
          <w:rFonts w:ascii="Arial" w:hAnsi="Arial" w:cs="Arial"/>
          <w:i/>
          <w:sz w:val="22"/>
          <w:szCs w:val="22"/>
        </w:rPr>
        <w:t>paring women of the same age</w:t>
      </w:r>
      <w:r w:rsidR="008A42D7">
        <w:rPr>
          <w:rFonts w:ascii="Arial" w:hAnsi="Arial" w:cs="Arial"/>
          <w:i/>
          <w:sz w:val="22"/>
          <w:szCs w:val="22"/>
        </w:rPr>
        <w:t xml:space="preserve"> with the same indicator</w:t>
      </w:r>
      <w:r w:rsidR="00AA3202">
        <w:rPr>
          <w:rFonts w:ascii="Arial" w:hAnsi="Arial" w:cs="Arial"/>
          <w:i/>
          <w:sz w:val="22"/>
          <w:szCs w:val="22"/>
        </w:rPr>
        <w:t xml:space="preserve"> of estrogen use. The adjusted RD for prior CVD history</w:t>
      </w:r>
      <w:r w:rsidR="0012633D">
        <w:rPr>
          <w:rFonts w:ascii="Arial" w:hAnsi="Arial" w:cs="Arial"/>
          <w:i/>
          <w:sz w:val="22"/>
          <w:szCs w:val="22"/>
        </w:rPr>
        <w:t xml:space="preserve"> is further attenuated after adjusting for age. This suggests</w:t>
      </w:r>
      <w:r w:rsidR="00FE7662">
        <w:rPr>
          <w:rFonts w:ascii="Arial" w:hAnsi="Arial" w:cs="Arial"/>
          <w:i/>
          <w:sz w:val="22"/>
          <w:szCs w:val="22"/>
        </w:rPr>
        <w:t xml:space="preserve"> age may not be a precision variable.</w:t>
      </w:r>
      <w:r w:rsidR="004E524E">
        <w:rPr>
          <w:rFonts w:ascii="Arial" w:hAnsi="Arial" w:cs="Arial"/>
          <w:i/>
          <w:sz w:val="22"/>
          <w:szCs w:val="22"/>
        </w:rPr>
        <w:t xml:space="preserve"> </w:t>
      </w:r>
    </w:p>
    <w:p w14:paraId="786132A6" w14:textId="77777777" w:rsidR="00EB45D6" w:rsidRPr="00EB45D6" w:rsidRDefault="00EB45D6" w:rsidP="00EB45D6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</w:p>
    <w:p w14:paraId="687921E7" w14:textId="77777777" w:rsidR="00CA36C9" w:rsidRPr="006E0D35" w:rsidRDefault="00CA36C9" w:rsidP="00CA36C9">
      <w:pPr>
        <w:pStyle w:val="PlainTex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E0D35">
        <w:rPr>
          <w:rFonts w:ascii="Arial" w:hAnsi="Arial" w:cs="Arial"/>
          <w:sz w:val="22"/>
          <w:szCs w:val="22"/>
        </w:rPr>
        <w:t>Provide complete statistical inference regarding an association between estrogen and CVD mortality after adjustment for age and any prior history of CVD.</w:t>
      </w:r>
    </w:p>
    <w:p w14:paraId="0A168971" w14:textId="77777777" w:rsidR="00CA36C9" w:rsidRDefault="00CA36C9" w:rsidP="00DD47DC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745A4E9B" w14:textId="41E3169D" w:rsidR="00010BF4" w:rsidRPr="00DD47DC" w:rsidRDefault="00A42557" w:rsidP="00010BF4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From a linear regression analysis using robust standard errors, </w:t>
      </w:r>
      <w:r w:rsidR="00010BF4">
        <w:rPr>
          <w:rFonts w:ascii="Arial" w:hAnsi="Arial" w:cs="Arial"/>
          <w:i/>
          <w:sz w:val="22"/>
          <w:szCs w:val="22"/>
        </w:rPr>
        <w:t>we est</w:t>
      </w:r>
      <w:r w:rsidR="000E654D">
        <w:rPr>
          <w:rFonts w:ascii="Arial" w:hAnsi="Arial" w:cs="Arial"/>
          <w:i/>
          <w:sz w:val="22"/>
          <w:szCs w:val="22"/>
        </w:rPr>
        <w:t>imate that CVD mortality differed</w:t>
      </w:r>
      <w:r w:rsidR="00010BF4">
        <w:rPr>
          <w:rFonts w:ascii="Arial" w:hAnsi="Arial" w:cs="Arial"/>
          <w:i/>
          <w:sz w:val="22"/>
          <w:szCs w:val="22"/>
        </w:rPr>
        <w:t xml:space="preserve"> </w:t>
      </w:r>
      <w:r w:rsidR="000E654D">
        <w:rPr>
          <w:rFonts w:ascii="Arial" w:hAnsi="Arial" w:cs="Arial"/>
          <w:i/>
          <w:sz w:val="22"/>
          <w:szCs w:val="22"/>
        </w:rPr>
        <w:t>by 0.9</w:t>
      </w:r>
      <w:r w:rsidR="00010BF4">
        <w:rPr>
          <w:rFonts w:ascii="Arial" w:hAnsi="Arial" w:cs="Arial"/>
          <w:i/>
          <w:sz w:val="22"/>
          <w:szCs w:val="22"/>
        </w:rPr>
        <w:t xml:space="preserve">% fewer deaths (on average), </w:t>
      </w:r>
      <w:r w:rsidR="00FE7662">
        <w:rPr>
          <w:rFonts w:ascii="Arial" w:hAnsi="Arial" w:cs="Arial"/>
          <w:i/>
          <w:sz w:val="22"/>
          <w:szCs w:val="22"/>
        </w:rPr>
        <w:t xml:space="preserve">among women of the same age and with the same estrogen usage, </w:t>
      </w:r>
      <w:r w:rsidR="00010BF4">
        <w:rPr>
          <w:rFonts w:ascii="Arial" w:hAnsi="Arial" w:cs="Arial"/>
          <w:i/>
          <w:sz w:val="22"/>
          <w:szCs w:val="22"/>
        </w:rPr>
        <w:t xml:space="preserve">with the estrogen group tending towards lower CVD mortality. This result is </w:t>
      </w:r>
      <w:r w:rsidR="00FE7662">
        <w:rPr>
          <w:rFonts w:ascii="Arial" w:hAnsi="Arial" w:cs="Arial"/>
          <w:i/>
          <w:sz w:val="22"/>
          <w:szCs w:val="22"/>
        </w:rPr>
        <w:t xml:space="preserve">not </w:t>
      </w:r>
      <w:r w:rsidR="00010BF4">
        <w:rPr>
          <w:rFonts w:ascii="Arial" w:hAnsi="Arial" w:cs="Arial"/>
          <w:i/>
          <w:sz w:val="22"/>
          <w:szCs w:val="22"/>
        </w:rPr>
        <w:t>signifi</w:t>
      </w:r>
      <w:r w:rsidR="00FE7662">
        <w:rPr>
          <w:rFonts w:ascii="Arial" w:hAnsi="Arial" w:cs="Arial"/>
          <w:i/>
          <w:sz w:val="22"/>
          <w:szCs w:val="22"/>
        </w:rPr>
        <w:t>cantly different from 0 (p=0.1</w:t>
      </w:r>
      <w:r w:rsidR="00010BF4">
        <w:rPr>
          <w:rFonts w:ascii="Arial" w:hAnsi="Arial" w:cs="Arial"/>
          <w:i/>
          <w:sz w:val="22"/>
          <w:szCs w:val="22"/>
        </w:rPr>
        <w:t xml:space="preserve">), with a 95% CI suggesting that </w:t>
      </w:r>
      <w:r w:rsidR="00FE7662">
        <w:rPr>
          <w:rFonts w:ascii="Arial" w:hAnsi="Arial" w:cs="Arial"/>
          <w:i/>
          <w:sz w:val="22"/>
          <w:szCs w:val="22"/>
        </w:rPr>
        <w:t xml:space="preserve">such observed results would </w:t>
      </w:r>
      <w:r w:rsidR="00010BF4">
        <w:rPr>
          <w:rFonts w:ascii="Arial" w:hAnsi="Arial" w:cs="Arial"/>
          <w:i/>
          <w:sz w:val="22"/>
          <w:szCs w:val="22"/>
        </w:rPr>
        <w:t>be unusual if the t</w:t>
      </w:r>
      <w:r w:rsidR="00FE7662">
        <w:rPr>
          <w:rFonts w:ascii="Arial" w:hAnsi="Arial" w:cs="Arial"/>
          <w:i/>
          <w:sz w:val="22"/>
          <w:szCs w:val="22"/>
        </w:rPr>
        <w:t>rue difference in CVD m</w:t>
      </w:r>
      <w:r w:rsidR="000E654D">
        <w:rPr>
          <w:rFonts w:ascii="Arial" w:hAnsi="Arial" w:cs="Arial"/>
          <w:i/>
          <w:sz w:val="22"/>
          <w:szCs w:val="22"/>
        </w:rPr>
        <w:t xml:space="preserve">ortality was anywhere between </w:t>
      </w:r>
      <w:r w:rsidR="00FE7662">
        <w:rPr>
          <w:rFonts w:ascii="Arial" w:hAnsi="Arial" w:cs="Arial"/>
          <w:i/>
          <w:sz w:val="22"/>
          <w:szCs w:val="22"/>
        </w:rPr>
        <w:t>2</w:t>
      </w:r>
      <w:r w:rsidR="000E654D">
        <w:rPr>
          <w:rFonts w:ascii="Arial" w:hAnsi="Arial" w:cs="Arial"/>
          <w:i/>
          <w:sz w:val="22"/>
          <w:szCs w:val="22"/>
        </w:rPr>
        <w:t>.1</w:t>
      </w:r>
      <w:r w:rsidR="00010BF4">
        <w:rPr>
          <w:rFonts w:ascii="Arial" w:hAnsi="Arial" w:cs="Arial"/>
          <w:i/>
          <w:sz w:val="22"/>
          <w:szCs w:val="22"/>
        </w:rPr>
        <w:t xml:space="preserve">% </w:t>
      </w:r>
      <w:r w:rsidR="000E654D">
        <w:rPr>
          <w:rFonts w:ascii="Arial" w:hAnsi="Arial" w:cs="Arial"/>
          <w:i/>
          <w:sz w:val="22"/>
          <w:szCs w:val="22"/>
        </w:rPr>
        <w:t>lower and 0.2</w:t>
      </w:r>
      <w:r w:rsidR="00010BF4">
        <w:rPr>
          <w:rFonts w:ascii="Arial" w:hAnsi="Arial" w:cs="Arial"/>
          <w:i/>
          <w:sz w:val="22"/>
          <w:szCs w:val="22"/>
        </w:rPr>
        <w:t xml:space="preserve">% </w:t>
      </w:r>
      <w:r>
        <w:rPr>
          <w:rFonts w:ascii="Arial" w:hAnsi="Arial" w:cs="Arial"/>
          <w:i/>
          <w:sz w:val="22"/>
          <w:szCs w:val="22"/>
        </w:rPr>
        <w:t>higher for women of the same</w:t>
      </w:r>
      <w:r w:rsidR="00A30575">
        <w:rPr>
          <w:rFonts w:ascii="Arial" w:hAnsi="Arial" w:cs="Arial"/>
          <w:i/>
          <w:sz w:val="22"/>
          <w:szCs w:val="22"/>
        </w:rPr>
        <w:t xml:space="preserve"> age</w:t>
      </w:r>
      <w:r w:rsidR="00010BF4">
        <w:rPr>
          <w:rFonts w:ascii="Arial" w:hAnsi="Arial" w:cs="Arial"/>
          <w:i/>
          <w:sz w:val="22"/>
          <w:szCs w:val="22"/>
        </w:rPr>
        <w:t>, with the estrogen group tending towards lower average</w:t>
      </w:r>
      <w:r>
        <w:rPr>
          <w:rFonts w:ascii="Arial" w:hAnsi="Arial" w:cs="Arial"/>
          <w:i/>
          <w:sz w:val="22"/>
          <w:szCs w:val="22"/>
        </w:rPr>
        <w:t xml:space="preserve"> CVD</w:t>
      </w:r>
      <w:r w:rsidR="00010BF4">
        <w:rPr>
          <w:rFonts w:ascii="Arial" w:hAnsi="Arial" w:cs="Arial"/>
          <w:i/>
          <w:sz w:val="22"/>
          <w:szCs w:val="22"/>
        </w:rPr>
        <w:t xml:space="preserve"> mortality. We </w:t>
      </w:r>
      <w:r>
        <w:rPr>
          <w:rFonts w:ascii="Arial" w:hAnsi="Arial" w:cs="Arial"/>
          <w:i/>
          <w:sz w:val="22"/>
          <w:szCs w:val="22"/>
        </w:rPr>
        <w:t xml:space="preserve">fail to </w:t>
      </w:r>
      <w:r w:rsidR="00010BF4">
        <w:rPr>
          <w:rFonts w:ascii="Arial" w:hAnsi="Arial" w:cs="Arial"/>
          <w:i/>
          <w:sz w:val="22"/>
          <w:szCs w:val="22"/>
        </w:rPr>
        <w:t>reject the null hypothesis that CVD mortality does not differ across estrogen groups</w:t>
      </w:r>
      <w:r>
        <w:rPr>
          <w:rFonts w:ascii="Arial" w:hAnsi="Arial" w:cs="Arial"/>
          <w:i/>
          <w:sz w:val="22"/>
          <w:szCs w:val="22"/>
        </w:rPr>
        <w:t xml:space="preserve"> of the same age</w:t>
      </w:r>
      <w:r w:rsidR="00A30575">
        <w:rPr>
          <w:rFonts w:ascii="Arial" w:hAnsi="Arial" w:cs="Arial"/>
          <w:i/>
          <w:sz w:val="22"/>
          <w:szCs w:val="22"/>
        </w:rPr>
        <w:t xml:space="preserve"> in favo</w:t>
      </w:r>
      <w:r w:rsidR="00466D6F">
        <w:rPr>
          <w:rFonts w:ascii="Arial" w:hAnsi="Arial" w:cs="Arial"/>
          <w:i/>
          <w:sz w:val="22"/>
          <w:szCs w:val="22"/>
        </w:rPr>
        <w:t>r of a hypothesis that CVD mortality is similar whether or not women are treated with estrogen</w:t>
      </w:r>
      <w:r w:rsidR="00010BF4">
        <w:rPr>
          <w:rFonts w:ascii="Arial" w:hAnsi="Arial" w:cs="Arial"/>
          <w:i/>
          <w:sz w:val="22"/>
          <w:szCs w:val="22"/>
        </w:rPr>
        <w:t xml:space="preserve">. </w:t>
      </w:r>
    </w:p>
    <w:p w14:paraId="0F0600D3" w14:textId="77777777" w:rsidR="00010BF4" w:rsidRDefault="00010BF4" w:rsidP="00DD47DC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</w:p>
    <w:p w14:paraId="1DA36475" w14:textId="77777777" w:rsidR="00CA36C9" w:rsidRPr="006E0D35" w:rsidRDefault="00CA36C9" w:rsidP="00CA36C9">
      <w:pPr>
        <w:pStyle w:val="Plai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0D35">
        <w:rPr>
          <w:rFonts w:ascii="Arial" w:hAnsi="Arial" w:cs="Arial"/>
          <w:sz w:val="22"/>
          <w:szCs w:val="22"/>
        </w:rPr>
        <w:t xml:space="preserve">Answer all parts of problem 1 using the </w:t>
      </w:r>
      <w:r w:rsidRPr="006E0D35">
        <w:rPr>
          <w:rFonts w:ascii="Arial" w:hAnsi="Arial" w:cs="Arial"/>
          <w:b/>
          <w:bCs/>
          <w:sz w:val="22"/>
          <w:szCs w:val="22"/>
        </w:rPr>
        <w:t>odds ratio (OR)</w:t>
      </w:r>
      <w:r w:rsidRPr="006E0D35">
        <w:rPr>
          <w:rFonts w:ascii="Arial" w:hAnsi="Arial" w:cs="Arial"/>
          <w:sz w:val="22"/>
          <w:szCs w:val="22"/>
        </w:rPr>
        <w:t xml:space="preserve"> as the measure of association. </w:t>
      </w:r>
    </w:p>
    <w:p w14:paraId="46672DBF" w14:textId="77777777" w:rsidR="006E0D35" w:rsidRPr="006E0D35" w:rsidRDefault="006E0D35" w:rsidP="006E0D35">
      <w:pPr>
        <w:pStyle w:val="PlainText"/>
        <w:ind w:left="360"/>
        <w:rPr>
          <w:rFonts w:ascii="Arial" w:hAnsi="Arial" w:cs="Arial"/>
          <w:sz w:val="22"/>
          <w:szCs w:val="22"/>
        </w:rPr>
      </w:pPr>
    </w:p>
    <w:p w14:paraId="160F3A43" w14:textId="77777777" w:rsidR="006E0D35" w:rsidRPr="006E0D35" w:rsidRDefault="006E0D35" w:rsidP="006E0D35">
      <w:pPr>
        <w:pStyle w:val="PlainText"/>
        <w:rPr>
          <w:rFonts w:ascii="Arial" w:hAnsi="Arial" w:cs="Times New Roman"/>
          <w:sz w:val="22"/>
          <w:szCs w:val="22"/>
        </w:rPr>
      </w:pPr>
    </w:p>
    <w:p w14:paraId="613AEB2A" w14:textId="77777777" w:rsidR="006E0D35" w:rsidRPr="006E0D35" w:rsidRDefault="006E0D35" w:rsidP="006E0D35">
      <w:pPr>
        <w:pStyle w:val="PlainText"/>
        <w:numPr>
          <w:ilvl w:val="1"/>
          <w:numId w:val="1"/>
        </w:numPr>
        <w:rPr>
          <w:rFonts w:ascii="Arial" w:hAnsi="Arial" w:cs="Times New Roman"/>
          <w:sz w:val="22"/>
          <w:szCs w:val="22"/>
        </w:rPr>
      </w:pPr>
      <w:r w:rsidRPr="006E0D35">
        <w:rPr>
          <w:rFonts w:ascii="Arial" w:hAnsi="Arial" w:cs="Times New Roman"/>
          <w:sz w:val="22"/>
          <w:szCs w:val="22"/>
        </w:rPr>
        <w:t>Provide complete statistical inference regarding such an association. (Include point estimates, confidence intervals, and a p value, along with a full interpretation of those quantities.)</w:t>
      </w:r>
    </w:p>
    <w:p w14:paraId="2C5C8765" w14:textId="77777777" w:rsidR="006E0D35" w:rsidRDefault="006E0D35" w:rsidP="006E0D35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4E9618E0" w14:textId="62726986" w:rsidR="00662314" w:rsidRDefault="00A30575" w:rsidP="00662314">
      <w:pPr>
        <w:pStyle w:val="PlainText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7</w:t>
      </w:r>
      <w:r w:rsidR="00662314">
        <w:rPr>
          <w:rFonts w:ascii="Arial" w:hAnsi="Arial" w:cs="Arial"/>
          <w:b/>
        </w:rPr>
        <w:t>: Association between estrogen use and CVD mortality among women in the CHS</w:t>
      </w:r>
    </w:p>
    <w:p w14:paraId="6F4532B9" w14:textId="77777777" w:rsidR="00662314" w:rsidRDefault="00662314" w:rsidP="00662314">
      <w:pPr>
        <w:pStyle w:val="PlainText"/>
        <w:ind w:left="1080"/>
        <w:rPr>
          <w:rFonts w:ascii="Arial" w:hAnsi="Arial" w:cs="Arial"/>
          <w:b/>
        </w:rPr>
      </w:pPr>
    </w:p>
    <w:tbl>
      <w:tblPr>
        <w:tblW w:w="5140" w:type="dxa"/>
        <w:jc w:val="center"/>
        <w:tblInd w:w="93" w:type="dxa"/>
        <w:tblLook w:val="04A0" w:firstRow="1" w:lastRow="0" w:firstColumn="1" w:lastColumn="0" w:noHBand="0" w:noVBand="1"/>
      </w:tblPr>
      <w:tblGrid>
        <w:gridCol w:w="1500"/>
        <w:gridCol w:w="2697"/>
        <w:gridCol w:w="943"/>
      </w:tblGrid>
      <w:tr w:rsidR="00662314" w:rsidRPr="00DC39B0" w14:paraId="4B169D84" w14:textId="77777777" w:rsidTr="00662314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CBE2" w14:textId="77777777" w:rsidR="00662314" w:rsidRPr="00DC39B0" w:rsidRDefault="00662314" w:rsidP="00662314">
            <w:pPr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>Variable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6D80" w14:textId="77777777" w:rsidR="00662314" w:rsidRPr="00DC39B0" w:rsidRDefault="00662314" w:rsidP="006623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 xml:space="preserve">      Unadjusted model</w:t>
            </w:r>
          </w:p>
        </w:tc>
      </w:tr>
      <w:tr w:rsidR="00662314" w:rsidRPr="00DC39B0" w14:paraId="350D1FE8" w14:textId="77777777" w:rsidTr="00662314">
        <w:trPr>
          <w:trHeight w:val="260"/>
          <w:jc w:val="center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5BEE0" w14:textId="77777777" w:rsidR="00662314" w:rsidRPr="00DC39B0" w:rsidRDefault="00662314" w:rsidP="00662314">
            <w:pPr>
              <w:rPr>
                <w:rFonts w:ascii="Arial" w:hAnsi="Arial"/>
                <w:color w:val="000000"/>
              </w:rPr>
            </w:pPr>
            <w:r w:rsidRPr="00DC39B0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85CC3" w14:textId="517E5135" w:rsidR="00662314" w:rsidRPr="00DC39B0" w:rsidRDefault="00662314" w:rsidP="006623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(OR</w:t>
            </w:r>
            <w:r w:rsidRPr="00DC39B0">
              <w:rPr>
                <w:rFonts w:ascii="Arial" w:hAnsi="Arial"/>
                <w:color w:val="000000"/>
              </w:rPr>
              <w:t>, 95% CI)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B5FF5" w14:textId="77777777" w:rsidR="00662314" w:rsidRPr="00DC39B0" w:rsidRDefault="00662314" w:rsidP="00662314">
            <w:pPr>
              <w:jc w:val="center"/>
              <w:rPr>
                <w:rFonts w:ascii="Arial" w:hAnsi="Arial"/>
                <w:color w:val="000000"/>
              </w:rPr>
            </w:pPr>
            <w:r w:rsidRPr="00DC39B0">
              <w:rPr>
                <w:rFonts w:ascii="Arial" w:hAnsi="Arial"/>
                <w:color w:val="000000"/>
              </w:rPr>
              <w:t>p-value</w:t>
            </w:r>
          </w:p>
        </w:tc>
      </w:tr>
      <w:tr w:rsidR="00662314" w:rsidRPr="00DC39B0" w14:paraId="0524DC74" w14:textId="77777777" w:rsidTr="00662314">
        <w:trPr>
          <w:trHeight w:val="280"/>
          <w:jc w:val="center"/>
        </w:trPr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DE251" w14:textId="77777777" w:rsidR="00662314" w:rsidRPr="00DC39B0" w:rsidRDefault="00662314" w:rsidP="00662314">
            <w:pPr>
              <w:rPr>
                <w:rFonts w:ascii="Arial" w:hAnsi="Arial"/>
                <w:color w:val="000000"/>
              </w:rPr>
            </w:pPr>
            <w:r w:rsidRPr="00DC39B0">
              <w:rPr>
                <w:rFonts w:ascii="Arial" w:hAnsi="Arial"/>
                <w:color w:val="000000"/>
              </w:rPr>
              <w:t>Estrogen use</w:t>
            </w:r>
          </w:p>
        </w:tc>
        <w:tc>
          <w:tcPr>
            <w:tcW w:w="26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031DE" w14:textId="0D166316" w:rsidR="00662314" w:rsidRPr="00DC39B0" w:rsidRDefault="00662314" w:rsidP="006623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0.25 (0.08, 0.79</w:t>
            </w:r>
            <w:r w:rsidRPr="00DC39B0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5CF77" w14:textId="135C9AD4" w:rsidR="00662314" w:rsidRPr="00DC39B0" w:rsidRDefault="00662314" w:rsidP="006623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0.02</w:t>
            </w:r>
          </w:p>
        </w:tc>
      </w:tr>
    </w:tbl>
    <w:p w14:paraId="07727F9B" w14:textId="77777777" w:rsidR="00662314" w:rsidRDefault="00662314" w:rsidP="006E0D35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548FCC8E" w14:textId="28581E42" w:rsidR="00BC1705" w:rsidRPr="004F59F9" w:rsidRDefault="002D7BBA" w:rsidP="006E0D35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  <w:r>
        <w:rPr>
          <w:rFonts w:ascii="Arial" w:hAnsi="Arial" w:cs="Times New Roman"/>
          <w:i/>
          <w:sz w:val="22"/>
          <w:szCs w:val="22"/>
        </w:rPr>
        <w:t xml:space="preserve">In a logistic regression model </w:t>
      </w:r>
      <w:r w:rsidR="00662314">
        <w:rPr>
          <w:rFonts w:ascii="Arial" w:hAnsi="Arial" w:cs="Times New Roman"/>
          <w:i/>
          <w:sz w:val="22"/>
          <w:szCs w:val="22"/>
        </w:rPr>
        <w:t>comparing two groups with different estrogen use, t</w:t>
      </w:r>
      <w:r w:rsidR="00EC22B8" w:rsidRPr="004F59F9">
        <w:rPr>
          <w:rFonts w:ascii="Arial" w:hAnsi="Arial" w:cs="Times New Roman"/>
          <w:i/>
          <w:sz w:val="22"/>
          <w:szCs w:val="22"/>
        </w:rPr>
        <w:t>he odds</w:t>
      </w:r>
      <w:r w:rsidR="00BC1705" w:rsidRPr="004F59F9">
        <w:rPr>
          <w:rFonts w:ascii="Arial" w:hAnsi="Arial" w:cs="Times New Roman"/>
          <w:i/>
          <w:sz w:val="22"/>
          <w:szCs w:val="22"/>
        </w:rPr>
        <w:t xml:space="preserve"> of CVD mortality </w:t>
      </w:r>
      <w:r w:rsidR="00662314">
        <w:rPr>
          <w:rFonts w:ascii="Arial" w:hAnsi="Arial" w:cs="Times New Roman"/>
          <w:i/>
          <w:sz w:val="22"/>
          <w:szCs w:val="22"/>
        </w:rPr>
        <w:t xml:space="preserve">within 4 years of study </w:t>
      </w:r>
      <w:r w:rsidR="00A30575">
        <w:rPr>
          <w:rFonts w:ascii="Arial" w:hAnsi="Arial" w:cs="Times New Roman"/>
          <w:i/>
          <w:sz w:val="22"/>
          <w:szCs w:val="22"/>
        </w:rPr>
        <w:t>enrollment we</w:t>
      </w:r>
      <w:r w:rsidR="00E944F5">
        <w:rPr>
          <w:rFonts w:ascii="Arial" w:hAnsi="Arial" w:cs="Times New Roman"/>
          <w:i/>
          <w:sz w:val="22"/>
          <w:szCs w:val="22"/>
        </w:rPr>
        <w:t xml:space="preserve">re estimated to be 75% lower among </w:t>
      </w:r>
      <w:r w:rsidR="00E944F5" w:rsidRPr="004F59F9">
        <w:rPr>
          <w:rFonts w:ascii="Arial" w:hAnsi="Arial" w:cs="Times New Roman"/>
          <w:i/>
          <w:sz w:val="22"/>
          <w:szCs w:val="22"/>
        </w:rPr>
        <w:t>for post-menopausal women taking estrogen</w:t>
      </w:r>
      <w:r w:rsidR="00E944F5">
        <w:rPr>
          <w:rFonts w:ascii="Arial" w:hAnsi="Arial" w:cs="Times New Roman"/>
          <w:i/>
          <w:sz w:val="22"/>
          <w:szCs w:val="22"/>
        </w:rPr>
        <w:t xml:space="preserve"> (OR</w:t>
      </w:r>
      <w:r w:rsidR="00EC22B8" w:rsidRPr="004F59F9">
        <w:rPr>
          <w:rFonts w:ascii="Arial" w:hAnsi="Arial" w:cs="Times New Roman"/>
          <w:i/>
          <w:sz w:val="22"/>
          <w:szCs w:val="22"/>
        </w:rPr>
        <w:t xml:space="preserve"> 0.25</w:t>
      </w:r>
      <w:r w:rsidR="00E944F5">
        <w:rPr>
          <w:rFonts w:ascii="Arial" w:hAnsi="Arial" w:cs="Times New Roman"/>
          <w:i/>
          <w:sz w:val="22"/>
          <w:szCs w:val="22"/>
        </w:rPr>
        <w:t>). This observed difference is statistically different from an odds ratio of 1 (p=0.02</w:t>
      </w:r>
      <w:r w:rsidR="00E944F5" w:rsidRPr="004F59F9">
        <w:rPr>
          <w:rFonts w:ascii="Arial" w:hAnsi="Arial" w:cs="Times New Roman"/>
          <w:i/>
          <w:sz w:val="22"/>
          <w:szCs w:val="22"/>
        </w:rPr>
        <w:t>)</w:t>
      </w:r>
      <w:r w:rsidR="00E944F5">
        <w:rPr>
          <w:rFonts w:ascii="Arial" w:hAnsi="Arial" w:cs="Times New Roman"/>
          <w:i/>
          <w:sz w:val="22"/>
          <w:szCs w:val="22"/>
        </w:rPr>
        <w:t>, with a 95% confidence interval suggesting that the observed OR is what might typically be observed if the true odds of dying within 4 years was anywhere between 11% and 92% lower for the estrogen group. Therefore, we reject the null hypothesis of no association between estrogen use and CVD mortality in favor of a trend towards higher odds of survival among women treated with estrogen.</w:t>
      </w:r>
    </w:p>
    <w:p w14:paraId="5C1861DD" w14:textId="77777777" w:rsidR="00BC1705" w:rsidRPr="006E0D35" w:rsidRDefault="00BC1705" w:rsidP="006E0D35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74C2FF10" w14:textId="77777777" w:rsidR="006E0D35" w:rsidRPr="006E0D35" w:rsidRDefault="006E0D35" w:rsidP="006E0D35">
      <w:pPr>
        <w:pStyle w:val="PlainText"/>
        <w:numPr>
          <w:ilvl w:val="1"/>
          <w:numId w:val="1"/>
        </w:numPr>
        <w:rPr>
          <w:rFonts w:ascii="Arial" w:hAnsi="Arial" w:cs="Times New Roman"/>
          <w:sz w:val="22"/>
          <w:szCs w:val="22"/>
        </w:rPr>
      </w:pPr>
      <w:r w:rsidRPr="006E0D35">
        <w:rPr>
          <w:rFonts w:ascii="Arial" w:hAnsi="Arial" w:cs="Times New Roman"/>
          <w:sz w:val="22"/>
          <w:szCs w:val="22"/>
        </w:rPr>
        <w:t xml:space="preserve">Is there evidence in the dataset that any such effect is modified by a history of prior CVD (as measured by variable </w:t>
      </w:r>
      <w:r w:rsidRPr="006E0D35">
        <w:rPr>
          <w:rFonts w:ascii="Arial" w:hAnsi="Arial" w:cs="Times New Roman"/>
          <w:i/>
          <w:iCs/>
          <w:sz w:val="22"/>
          <w:szCs w:val="22"/>
        </w:rPr>
        <w:t>prevdis)</w:t>
      </w:r>
      <w:r w:rsidRPr="006E0D35">
        <w:rPr>
          <w:rFonts w:ascii="Arial" w:hAnsi="Arial" w:cs="Times New Roman"/>
          <w:sz w:val="22"/>
          <w:szCs w:val="22"/>
        </w:rPr>
        <w:t>? Provide results of a statistical analysis in support of your answer.</w:t>
      </w:r>
    </w:p>
    <w:p w14:paraId="77BFECB0" w14:textId="77777777" w:rsidR="006E0D35" w:rsidRDefault="006E0D35" w:rsidP="00BC1705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77081965" w14:textId="77777777" w:rsidR="00D301DF" w:rsidRDefault="00D301DF" w:rsidP="00BC1705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0CC33D24" w14:textId="751AB798" w:rsidR="00D301DF" w:rsidRPr="00D301DF" w:rsidRDefault="00A30575" w:rsidP="00BC1705">
      <w:pPr>
        <w:pStyle w:val="PlainText"/>
        <w:ind w:left="108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Table 8</w:t>
      </w:r>
      <w:r w:rsidR="00D301DF">
        <w:rPr>
          <w:rFonts w:ascii="Arial" w:hAnsi="Arial" w:cs="Times New Roman"/>
          <w:b/>
          <w:sz w:val="22"/>
          <w:szCs w:val="22"/>
        </w:rPr>
        <w:t>: Effect modification model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992"/>
        <w:gridCol w:w="645"/>
        <w:gridCol w:w="1464"/>
        <w:gridCol w:w="999"/>
      </w:tblGrid>
      <w:tr w:rsidR="00D301DF" w:rsidRPr="006E0D35" w14:paraId="69083BAA" w14:textId="77777777" w:rsidTr="00D301DF">
        <w:tc>
          <w:tcPr>
            <w:tcW w:w="0" w:type="auto"/>
          </w:tcPr>
          <w:p w14:paraId="6E6540A2" w14:textId="390D54E3" w:rsidR="00D301DF" w:rsidRPr="00D301DF" w:rsidRDefault="00D301DF" w:rsidP="00D301DF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CVD mortality</w:t>
            </w:r>
          </w:p>
        </w:tc>
        <w:tc>
          <w:tcPr>
            <w:tcW w:w="0" w:type="auto"/>
          </w:tcPr>
          <w:p w14:paraId="3D6D66E9" w14:textId="555E4243" w:rsidR="00D301DF" w:rsidRPr="006E0D35" w:rsidRDefault="00D301DF" w:rsidP="00D41FBD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  <w:tc>
          <w:tcPr>
            <w:tcW w:w="0" w:type="auto"/>
          </w:tcPr>
          <w:p w14:paraId="2911CD64" w14:textId="36F7D9DB" w:rsidR="00D301DF" w:rsidRPr="006E0D35" w:rsidRDefault="00D301DF" w:rsidP="00D41FBD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95% CI</w:t>
            </w:r>
          </w:p>
        </w:tc>
        <w:tc>
          <w:tcPr>
            <w:tcW w:w="0" w:type="auto"/>
          </w:tcPr>
          <w:p w14:paraId="2B013984" w14:textId="0B8BF3A7" w:rsidR="00D301DF" w:rsidRPr="006E0D35" w:rsidRDefault="00D301DF" w:rsidP="00D41FBD">
            <w:pPr>
              <w:pStyle w:val="Plain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0D35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-value</w:t>
            </w:r>
          </w:p>
        </w:tc>
      </w:tr>
      <w:tr w:rsidR="00D301DF" w:rsidRPr="006E0D35" w14:paraId="507730B2" w14:textId="77777777" w:rsidTr="00D301DF">
        <w:tc>
          <w:tcPr>
            <w:tcW w:w="0" w:type="auto"/>
          </w:tcPr>
          <w:p w14:paraId="7BE5EA3B" w14:textId="3C8B9328" w:rsidR="00D301DF" w:rsidRPr="006E0D35" w:rsidRDefault="00D301DF" w:rsidP="00D301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Estrogen</w:t>
            </w:r>
          </w:p>
        </w:tc>
        <w:tc>
          <w:tcPr>
            <w:tcW w:w="0" w:type="auto"/>
          </w:tcPr>
          <w:p w14:paraId="3E57D4D7" w14:textId="7FC90407" w:rsidR="00D301DF" w:rsidRPr="006E0D35" w:rsidRDefault="00D301DF" w:rsidP="00D301DF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0.35</w:t>
            </w:r>
          </w:p>
        </w:tc>
        <w:tc>
          <w:tcPr>
            <w:tcW w:w="0" w:type="auto"/>
          </w:tcPr>
          <w:p w14:paraId="4A8D1C3D" w14:textId="2FD8C004" w:rsidR="00D301DF" w:rsidRPr="006E0D35" w:rsidRDefault="00D41FBD" w:rsidP="00D301DF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(0.08</w:t>
            </w:r>
            <w:r w:rsidR="004F59F9">
              <w:rPr>
                <w:rFonts w:ascii="Arial" w:hAnsi="Arial" w:cs="Arial"/>
                <w:sz w:val="22"/>
                <w:szCs w:val="22"/>
              </w:rPr>
              <w:t>, 1.47</w:t>
            </w:r>
            <w:r w:rsidR="00D301D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22812BBA" w14:textId="1EF5EB4C" w:rsidR="00D301DF" w:rsidRPr="006E0D35" w:rsidRDefault="00D301DF" w:rsidP="00D301DF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0.152</w:t>
            </w:r>
          </w:p>
        </w:tc>
      </w:tr>
      <w:tr w:rsidR="00D301DF" w:rsidRPr="006E0D35" w14:paraId="205D9643" w14:textId="77777777" w:rsidTr="00D301DF">
        <w:tc>
          <w:tcPr>
            <w:tcW w:w="0" w:type="auto"/>
          </w:tcPr>
          <w:p w14:paraId="69C9597D" w14:textId="519947B0" w:rsidR="00D301DF" w:rsidRPr="006E0D35" w:rsidRDefault="00D301DF" w:rsidP="00D301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Prevdis</w:t>
            </w:r>
          </w:p>
        </w:tc>
        <w:tc>
          <w:tcPr>
            <w:tcW w:w="0" w:type="auto"/>
          </w:tcPr>
          <w:p w14:paraId="6C7B1076" w14:textId="3B1F3060" w:rsidR="00D301DF" w:rsidRPr="006E0D35" w:rsidRDefault="004F59F9" w:rsidP="00D301DF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5.98</w:t>
            </w:r>
          </w:p>
        </w:tc>
        <w:tc>
          <w:tcPr>
            <w:tcW w:w="0" w:type="auto"/>
          </w:tcPr>
          <w:p w14:paraId="483368F7" w14:textId="0F8D7061" w:rsidR="00D301DF" w:rsidRPr="006E0D35" w:rsidRDefault="004F59F9" w:rsidP="00D301DF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(3.87, 9.24)</w:t>
            </w:r>
          </w:p>
        </w:tc>
        <w:tc>
          <w:tcPr>
            <w:tcW w:w="0" w:type="auto"/>
          </w:tcPr>
          <w:p w14:paraId="774EAD5C" w14:textId="107F322A" w:rsidR="00D301DF" w:rsidRPr="006E0D35" w:rsidRDefault="004F59F9" w:rsidP="00D301DF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&lt;0.001</w:t>
            </w:r>
          </w:p>
        </w:tc>
      </w:tr>
      <w:tr w:rsidR="00D301DF" w:rsidRPr="006E0D35" w14:paraId="3D54BDF4" w14:textId="77777777" w:rsidTr="00D301DF">
        <w:tc>
          <w:tcPr>
            <w:tcW w:w="0" w:type="auto"/>
          </w:tcPr>
          <w:p w14:paraId="2391924F" w14:textId="4A0DB4AD" w:rsidR="00D301DF" w:rsidRPr="006E0D35" w:rsidRDefault="00D301DF" w:rsidP="00D301D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Estrogen*Prevdis interaction </w:t>
            </w:r>
          </w:p>
        </w:tc>
        <w:tc>
          <w:tcPr>
            <w:tcW w:w="0" w:type="auto"/>
          </w:tcPr>
          <w:p w14:paraId="22A69633" w14:textId="34441107" w:rsidR="00D301DF" w:rsidRPr="006E0D35" w:rsidRDefault="004F59F9" w:rsidP="00D301DF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0.89</w:t>
            </w:r>
          </w:p>
        </w:tc>
        <w:tc>
          <w:tcPr>
            <w:tcW w:w="0" w:type="auto"/>
          </w:tcPr>
          <w:p w14:paraId="6BDCF086" w14:textId="411622CB" w:rsidR="00D301DF" w:rsidRPr="006E0D35" w:rsidRDefault="00D41FBD" w:rsidP="00D301DF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(0.08, 10.50</w:t>
            </w:r>
            <w:r w:rsidR="004F59F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16044842" w14:textId="774D73A7" w:rsidR="00D301DF" w:rsidRPr="006E0D35" w:rsidRDefault="004F59F9" w:rsidP="00D301DF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0.93</w:t>
            </w:r>
          </w:p>
        </w:tc>
      </w:tr>
    </w:tbl>
    <w:p w14:paraId="39D0A45F" w14:textId="77777777" w:rsidR="00BC1705" w:rsidRDefault="00BC1705" w:rsidP="00BC1705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563153EE" w14:textId="5D713B8B" w:rsidR="002D7BBA" w:rsidRPr="004F59F9" w:rsidRDefault="002D7BBA" w:rsidP="002D7BBA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Times New Roman"/>
          <w:i/>
          <w:sz w:val="22"/>
          <w:szCs w:val="22"/>
        </w:rPr>
        <w:t>Using a logistic</w:t>
      </w:r>
      <w:r>
        <w:rPr>
          <w:rFonts w:ascii="Arial" w:hAnsi="Arial" w:cs="Arial"/>
          <w:i/>
          <w:sz w:val="22"/>
          <w:szCs w:val="22"/>
        </w:rPr>
        <w:t xml:space="preserve"> regression model with robust standard errors and modeling estrogen use, prior CVD history and a estrogen-prior CVD history interaction, we estimate the</w:t>
      </w:r>
      <w:r w:rsidRPr="004F59F9">
        <w:rPr>
          <w:rFonts w:ascii="Arial" w:hAnsi="Arial" w:cs="Arial"/>
          <w:i/>
          <w:sz w:val="22"/>
          <w:szCs w:val="22"/>
        </w:rPr>
        <w:t xml:space="preserve"> difference</w:t>
      </w:r>
      <w:r>
        <w:rPr>
          <w:rFonts w:ascii="Arial" w:hAnsi="Arial" w:cs="Arial"/>
          <w:i/>
          <w:sz w:val="22"/>
          <w:szCs w:val="22"/>
        </w:rPr>
        <w:t xml:space="preserve"> in CVD mortality within 4 y</w:t>
      </w:r>
      <w:r w:rsidR="00A30575">
        <w:rPr>
          <w:rFonts w:ascii="Arial" w:hAnsi="Arial" w:cs="Arial"/>
          <w:i/>
          <w:sz w:val="22"/>
          <w:szCs w:val="22"/>
        </w:rPr>
        <w:t>ears</w:t>
      </w:r>
      <w:r w:rsidRPr="004F59F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of study enrollment</w:t>
      </w:r>
      <w:r w:rsidRPr="004F59F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was 11% lower</w:t>
      </w:r>
      <w:r w:rsidRPr="004F59F9">
        <w:rPr>
          <w:rFonts w:ascii="Arial" w:hAnsi="Arial" w:cs="Arial"/>
          <w:i/>
          <w:sz w:val="22"/>
          <w:szCs w:val="22"/>
        </w:rPr>
        <w:t xml:space="preserve"> in women who had a history of </w:t>
      </w:r>
      <w:r>
        <w:rPr>
          <w:rFonts w:ascii="Arial" w:hAnsi="Arial" w:cs="Arial"/>
          <w:i/>
          <w:sz w:val="22"/>
          <w:szCs w:val="22"/>
        </w:rPr>
        <w:t>prior CVD history</w:t>
      </w:r>
      <w:r w:rsidRPr="004F59F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than i</w:t>
      </w:r>
      <w:r w:rsidRPr="004F59F9">
        <w:rPr>
          <w:rFonts w:ascii="Arial" w:hAnsi="Arial" w:cs="Arial"/>
          <w:i/>
          <w:sz w:val="22"/>
          <w:szCs w:val="22"/>
        </w:rPr>
        <w:t xml:space="preserve">n women who did not have a history of </w:t>
      </w:r>
      <w:r>
        <w:rPr>
          <w:rFonts w:ascii="Arial" w:hAnsi="Arial" w:cs="Arial"/>
          <w:i/>
          <w:sz w:val="22"/>
          <w:szCs w:val="22"/>
        </w:rPr>
        <w:t>CVD</w:t>
      </w:r>
      <w:r w:rsidRPr="004F59F9"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 xml:space="preserve">This observed trend is not beyond that expected to occur by chance in the absence of a true difference in the odds of death by history of prior CVD (p=0.89). The 95% CI for the odds ratio estimating an estrogen treatment effect indicates that the observed results are not incompatible with a survival effect in women treated with estrogen that is 92% lower or 105% higher than in women who did not receive estrogen. </w:t>
      </w:r>
      <w:r w:rsidRPr="004F59F9">
        <w:rPr>
          <w:rFonts w:ascii="Arial" w:hAnsi="Arial" w:cs="Arial"/>
          <w:i/>
          <w:sz w:val="22"/>
          <w:szCs w:val="22"/>
        </w:rPr>
        <w:t xml:space="preserve">I conclude that a history of prior </w:t>
      </w:r>
      <w:r>
        <w:rPr>
          <w:rFonts w:ascii="Arial" w:hAnsi="Arial" w:cs="Arial"/>
          <w:i/>
          <w:sz w:val="22"/>
          <w:szCs w:val="22"/>
        </w:rPr>
        <w:t>CVD</w:t>
      </w:r>
      <w:r w:rsidRPr="004F59F9">
        <w:rPr>
          <w:rFonts w:ascii="Arial" w:hAnsi="Arial" w:cs="Arial"/>
          <w:i/>
          <w:sz w:val="22"/>
          <w:szCs w:val="22"/>
        </w:rPr>
        <w:t xml:space="preserve"> does not</w:t>
      </w:r>
      <w:r>
        <w:rPr>
          <w:rFonts w:ascii="Arial" w:hAnsi="Arial" w:cs="Arial"/>
          <w:i/>
          <w:sz w:val="22"/>
          <w:szCs w:val="22"/>
        </w:rPr>
        <w:t xml:space="preserve"> appear to</w:t>
      </w:r>
      <w:r w:rsidRPr="004F59F9">
        <w:rPr>
          <w:rFonts w:ascii="Arial" w:hAnsi="Arial" w:cs="Arial"/>
          <w:i/>
          <w:sz w:val="22"/>
          <w:szCs w:val="22"/>
        </w:rPr>
        <w:t xml:space="preserve"> modify the association between estrogen use and CVD mortality.</w:t>
      </w:r>
    </w:p>
    <w:p w14:paraId="0E7FC18F" w14:textId="77777777" w:rsidR="002D7BBA" w:rsidRPr="006E0D35" w:rsidRDefault="002D7BBA" w:rsidP="00BC1705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18E82116" w14:textId="77777777" w:rsidR="006E0D35" w:rsidRPr="006E0D35" w:rsidRDefault="006E0D35" w:rsidP="006E0D35">
      <w:pPr>
        <w:pStyle w:val="PlainText"/>
        <w:numPr>
          <w:ilvl w:val="1"/>
          <w:numId w:val="1"/>
        </w:numPr>
        <w:rPr>
          <w:rFonts w:ascii="Arial" w:hAnsi="Arial" w:cs="Times New Roman"/>
          <w:sz w:val="22"/>
          <w:szCs w:val="22"/>
        </w:rPr>
      </w:pPr>
      <w:r w:rsidRPr="006E0D35">
        <w:rPr>
          <w:rFonts w:ascii="Arial" w:hAnsi="Arial" w:cs="Times New Roman"/>
          <w:sz w:val="22"/>
          <w:szCs w:val="22"/>
        </w:rPr>
        <w:t>Suppose we just want to ignore any such effect modification. Is there evidence in the dataset that any estrogen-CVD mortality association is confounded by a history of prior CVD? Provide results of a statistical analysis in support of your answer.</w:t>
      </w:r>
    </w:p>
    <w:p w14:paraId="1C4A1A4B" w14:textId="77777777" w:rsidR="006E0D35" w:rsidRDefault="006E0D35" w:rsidP="004F59F9">
      <w:pPr>
        <w:pStyle w:val="PlainText"/>
        <w:ind w:left="720"/>
        <w:rPr>
          <w:rFonts w:ascii="Arial" w:hAnsi="Arial" w:cs="Times New Roman"/>
          <w:sz w:val="22"/>
          <w:szCs w:val="22"/>
        </w:rPr>
      </w:pPr>
    </w:p>
    <w:p w14:paraId="740C6510" w14:textId="7BE8CD53" w:rsidR="00D52976" w:rsidRDefault="00A30575" w:rsidP="004F59F9">
      <w:pPr>
        <w:pStyle w:val="PlainText"/>
        <w:ind w:left="108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Table 9</w:t>
      </w:r>
      <w:r w:rsidR="00B979FD">
        <w:rPr>
          <w:rFonts w:ascii="Arial" w:hAnsi="Arial" w:cs="Times New Roman"/>
          <w:b/>
          <w:sz w:val="22"/>
          <w:szCs w:val="22"/>
        </w:rPr>
        <w:t>:</w:t>
      </w:r>
      <w:r w:rsidR="004F59F9">
        <w:rPr>
          <w:rFonts w:ascii="Arial" w:hAnsi="Arial" w:cs="Times New Roman"/>
          <w:b/>
          <w:sz w:val="22"/>
          <w:szCs w:val="22"/>
        </w:rPr>
        <w:t xml:space="preserve"> </w:t>
      </w:r>
      <w:r w:rsidR="00D52976">
        <w:rPr>
          <w:rFonts w:ascii="Arial" w:hAnsi="Arial" w:cs="Times New Roman"/>
          <w:b/>
          <w:sz w:val="22"/>
          <w:szCs w:val="22"/>
        </w:rPr>
        <w:t xml:space="preserve">Association between CVD mortality and estrogen use, adjusted </w:t>
      </w:r>
    </w:p>
    <w:p w14:paraId="2D8A22C3" w14:textId="1A8DFDFE" w:rsidR="004F59F9" w:rsidRDefault="00D52976" w:rsidP="004F59F9">
      <w:pPr>
        <w:pStyle w:val="PlainText"/>
        <w:ind w:left="108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for prior CVD</w:t>
      </w:r>
    </w:p>
    <w:tbl>
      <w:tblPr>
        <w:tblW w:w="7300" w:type="dxa"/>
        <w:jc w:val="center"/>
        <w:tblInd w:w="93" w:type="dxa"/>
        <w:tblLook w:val="04A0" w:firstRow="1" w:lastRow="0" w:firstColumn="1" w:lastColumn="0" w:noHBand="0" w:noVBand="1"/>
      </w:tblPr>
      <w:tblGrid>
        <w:gridCol w:w="1500"/>
        <w:gridCol w:w="2102"/>
        <w:gridCol w:w="898"/>
        <w:gridCol w:w="1920"/>
        <w:gridCol w:w="880"/>
      </w:tblGrid>
      <w:tr w:rsidR="00D52976" w:rsidRPr="00D52976" w14:paraId="1027DAF2" w14:textId="77777777" w:rsidTr="00D52976">
        <w:trPr>
          <w:trHeight w:val="260"/>
          <w:jc w:val="center"/>
        </w:trPr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65EE" w14:textId="77777777" w:rsidR="00D52976" w:rsidRPr="00D52976" w:rsidRDefault="00D52976" w:rsidP="00D529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2976">
              <w:rPr>
                <w:rFonts w:ascii="Arial" w:hAnsi="Arial" w:cs="Arial"/>
                <w:b/>
                <w:bCs/>
                <w:color w:val="000000"/>
              </w:rPr>
              <w:t>Variable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A4735" w14:textId="135FDF44" w:rsidR="00D52976" w:rsidRPr="00D52976" w:rsidRDefault="00D52976" w:rsidP="00D529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2976">
              <w:rPr>
                <w:rFonts w:ascii="Arial" w:hAnsi="Arial" w:cs="Arial"/>
                <w:b/>
                <w:bCs/>
                <w:color w:val="000000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Pr="00D52976">
              <w:rPr>
                <w:rFonts w:ascii="Arial" w:hAnsi="Arial" w:cs="Arial"/>
                <w:b/>
                <w:bCs/>
                <w:color w:val="000000"/>
              </w:rPr>
              <w:t>Unadjusted model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9DE2" w14:textId="77777777" w:rsidR="00D52976" w:rsidRPr="00D52976" w:rsidRDefault="00D52976" w:rsidP="00D529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2976">
              <w:rPr>
                <w:rFonts w:ascii="Arial" w:hAnsi="Arial" w:cs="Arial"/>
                <w:b/>
                <w:bCs/>
                <w:color w:val="000000"/>
              </w:rPr>
              <w:t>Adjusted model</w:t>
            </w:r>
          </w:p>
        </w:tc>
      </w:tr>
      <w:tr w:rsidR="00D52976" w:rsidRPr="00D52976" w14:paraId="2C874A90" w14:textId="77777777" w:rsidTr="00D52976">
        <w:trPr>
          <w:trHeight w:val="280"/>
          <w:jc w:val="center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72258" w14:textId="77777777" w:rsidR="00D52976" w:rsidRPr="00D52976" w:rsidRDefault="00D52976" w:rsidP="00D52976">
            <w:pPr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D7F29" w14:textId="77777777" w:rsidR="00D52976" w:rsidRPr="00D52976" w:rsidRDefault="00D52976" w:rsidP="00D52976">
            <w:pPr>
              <w:jc w:val="center"/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(OR, 95% CI)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FEAC" w14:textId="77777777" w:rsidR="00D52976" w:rsidRPr="00D52976" w:rsidRDefault="00D52976" w:rsidP="00D52976">
            <w:pPr>
              <w:jc w:val="center"/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p-value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DB77E" w14:textId="77777777" w:rsidR="00D52976" w:rsidRPr="00D52976" w:rsidRDefault="00D52976" w:rsidP="00D52976">
            <w:pPr>
              <w:jc w:val="center"/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(aOR, 95% CI)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54C26" w14:textId="77777777" w:rsidR="00D52976" w:rsidRPr="00D52976" w:rsidRDefault="00D52976" w:rsidP="00D52976">
            <w:pPr>
              <w:jc w:val="center"/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p-value</w:t>
            </w:r>
          </w:p>
        </w:tc>
      </w:tr>
      <w:tr w:rsidR="00D52976" w:rsidRPr="00D52976" w14:paraId="3E21023E" w14:textId="77777777" w:rsidTr="00D52976">
        <w:trPr>
          <w:trHeight w:val="280"/>
          <w:jc w:val="center"/>
        </w:trPr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43A6C" w14:textId="77777777" w:rsidR="00D52976" w:rsidRPr="00D52976" w:rsidRDefault="00D52976" w:rsidP="00D52976">
            <w:pPr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Estrogen</w:t>
            </w:r>
          </w:p>
        </w:tc>
        <w:tc>
          <w:tcPr>
            <w:tcW w:w="21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21F59" w14:textId="05BA5C0E" w:rsidR="00D52976" w:rsidRPr="00D52976" w:rsidRDefault="00D52976" w:rsidP="00D529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0.25 (0.08</w:t>
            </w:r>
            <w:r w:rsidRPr="00D52976">
              <w:rPr>
                <w:rFonts w:ascii="Arial" w:hAnsi="Arial" w:cs="Arial"/>
                <w:color w:val="000000"/>
              </w:rPr>
              <w:t>, 0.79)</w:t>
            </w:r>
          </w:p>
        </w:tc>
        <w:tc>
          <w:tcPr>
            <w:tcW w:w="8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5234" w14:textId="77777777" w:rsidR="00D52976" w:rsidRPr="00D52976" w:rsidRDefault="00D52976" w:rsidP="00D52976">
            <w:pPr>
              <w:jc w:val="center"/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0.02</w:t>
            </w:r>
          </w:p>
        </w:tc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36990" w14:textId="77777777" w:rsidR="00D52976" w:rsidRPr="00D52976" w:rsidRDefault="00D52976" w:rsidP="00D52976">
            <w:pPr>
              <w:jc w:val="center"/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0.34 (0.11, 1.08)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57686" w14:textId="77777777" w:rsidR="00D52976" w:rsidRPr="00D52976" w:rsidRDefault="00D52976" w:rsidP="00D52976">
            <w:pPr>
              <w:jc w:val="center"/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0.07</w:t>
            </w:r>
          </w:p>
        </w:tc>
      </w:tr>
    </w:tbl>
    <w:p w14:paraId="414693CF" w14:textId="77777777" w:rsidR="00D52976" w:rsidRDefault="00D52976" w:rsidP="00D52976">
      <w:pPr>
        <w:pStyle w:val="PlainText"/>
        <w:ind w:left="1080"/>
        <w:jc w:val="center"/>
        <w:rPr>
          <w:rFonts w:ascii="Arial" w:hAnsi="Arial" w:cs="Times New Roman"/>
          <w:b/>
          <w:sz w:val="22"/>
          <w:szCs w:val="22"/>
        </w:rPr>
      </w:pPr>
    </w:p>
    <w:p w14:paraId="4AA966F4" w14:textId="775BA6C1" w:rsidR="00FF6CCB" w:rsidRDefault="00C5007B" w:rsidP="00FF6CCB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  <w:r>
        <w:rPr>
          <w:rFonts w:ascii="Arial" w:hAnsi="Arial" w:cs="Times New Roman"/>
          <w:i/>
          <w:sz w:val="22"/>
          <w:szCs w:val="22"/>
        </w:rPr>
        <w:t>When comparing two groups of women with different estrogen use, and th</w:t>
      </w:r>
      <w:r w:rsidR="00FF6CCB">
        <w:rPr>
          <w:rFonts w:ascii="Arial" w:hAnsi="Arial" w:cs="Times New Roman"/>
          <w:i/>
          <w:sz w:val="22"/>
          <w:szCs w:val="22"/>
        </w:rPr>
        <w:t xml:space="preserve">e same CVD history, the odds of CVD mortality associated with estrogen use were attenuated after adjusting for </w:t>
      </w:r>
      <w:r w:rsidR="00970893">
        <w:rPr>
          <w:rFonts w:ascii="Arial" w:hAnsi="Arial" w:cs="Times New Roman"/>
          <w:i/>
          <w:sz w:val="22"/>
          <w:szCs w:val="22"/>
        </w:rPr>
        <w:t>a history of prior CVD (aOR 0.34) suggesting confounding</w:t>
      </w:r>
      <w:r w:rsidR="00E62876">
        <w:rPr>
          <w:rFonts w:ascii="Arial" w:hAnsi="Arial" w:cs="Times New Roman"/>
          <w:i/>
          <w:sz w:val="22"/>
          <w:szCs w:val="22"/>
        </w:rPr>
        <w:t xml:space="preserve">. See response to </w:t>
      </w:r>
      <w:r w:rsidR="00466D6F">
        <w:rPr>
          <w:rFonts w:ascii="Arial" w:hAnsi="Arial" w:cs="Times New Roman"/>
          <w:i/>
          <w:sz w:val="22"/>
          <w:szCs w:val="22"/>
        </w:rPr>
        <w:t>1</w:t>
      </w:r>
      <w:r w:rsidR="00E62876">
        <w:rPr>
          <w:rFonts w:ascii="Arial" w:hAnsi="Arial" w:cs="Times New Roman"/>
          <w:i/>
          <w:sz w:val="22"/>
          <w:szCs w:val="22"/>
        </w:rPr>
        <w:t>(</w:t>
      </w:r>
      <w:r w:rsidR="00466D6F">
        <w:rPr>
          <w:rFonts w:ascii="Arial" w:hAnsi="Arial" w:cs="Times New Roman"/>
          <w:i/>
          <w:sz w:val="22"/>
          <w:szCs w:val="22"/>
        </w:rPr>
        <w:t>c)</w:t>
      </w:r>
      <w:r w:rsidR="00FF6CCB">
        <w:rPr>
          <w:rFonts w:ascii="Arial" w:hAnsi="Arial" w:cs="Times New Roman"/>
          <w:i/>
          <w:sz w:val="22"/>
          <w:szCs w:val="22"/>
        </w:rPr>
        <w:t>.</w:t>
      </w:r>
    </w:p>
    <w:p w14:paraId="562B209B" w14:textId="5C210014" w:rsidR="00D52976" w:rsidRPr="00D52976" w:rsidRDefault="00C5007B" w:rsidP="00D52976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  <w:r>
        <w:rPr>
          <w:rFonts w:ascii="Arial" w:hAnsi="Arial" w:cs="Times New Roman"/>
          <w:i/>
          <w:sz w:val="22"/>
          <w:szCs w:val="22"/>
        </w:rPr>
        <w:t xml:space="preserve"> </w:t>
      </w:r>
    </w:p>
    <w:p w14:paraId="61DF65CB" w14:textId="77777777" w:rsidR="006E0D35" w:rsidRPr="006E0D35" w:rsidRDefault="006E0D35" w:rsidP="006E0D35">
      <w:pPr>
        <w:pStyle w:val="PlainText"/>
        <w:numPr>
          <w:ilvl w:val="1"/>
          <w:numId w:val="1"/>
        </w:numPr>
        <w:rPr>
          <w:rFonts w:ascii="Arial" w:hAnsi="Arial" w:cs="Times New Roman"/>
          <w:sz w:val="22"/>
          <w:szCs w:val="22"/>
        </w:rPr>
      </w:pPr>
      <w:r w:rsidRPr="006E0D35">
        <w:rPr>
          <w:rFonts w:ascii="Arial" w:hAnsi="Arial" w:cs="Times New Roman"/>
          <w:sz w:val="22"/>
          <w:szCs w:val="22"/>
        </w:rPr>
        <w:t xml:space="preserve">Provide complete statistical inference regarding an association between estrogen and CVD mortality after adjustment for a prior history of CVD. </w:t>
      </w:r>
    </w:p>
    <w:p w14:paraId="5250FF93" w14:textId="77777777" w:rsidR="006E0D35" w:rsidRDefault="006E0D35" w:rsidP="00E751BC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044349A5" w14:textId="215F7FE7" w:rsidR="000D36D7" w:rsidRDefault="000D36D7" w:rsidP="00E751BC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  <w:r>
        <w:rPr>
          <w:rFonts w:ascii="Arial" w:hAnsi="Arial" w:cs="Times New Roman"/>
          <w:i/>
          <w:sz w:val="22"/>
          <w:szCs w:val="22"/>
        </w:rPr>
        <w:t>When comparing two groups of women with different estrogen use, and the same CVD history, the odds of death are estimated to be 66% lower (</w:t>
      </w:r>
      <w:r w:rsidR="00AE31DF">
        <w:rPr>
          <w:rFonts w:ascii="Arial" w:hAnsi="Arial" w:cs="Times New Roman"/>
          <w:i/>
          <w:sz w:val="22"/>
          <w:szCs w:val="22"/>
        </w:rPr>
        <w:t>a</w:t>
      </w:r>
      <w:r>
        <w:rPr>
          <w:rFonts w:ascii="Arial" w:hAnsi="Arial" w:cs="Times New Roman"/>
          <w:i/>
          <w:sz w:val="22"/>
          <w:szCs w:val="22"/>
        </w:rPr>
        <w:t>OR 0.34) among women taking estrogen. This observed difference is not statistically significant from an odds ratio of 1 (p=0.07), with a 95% confidence interval suggesting that the observed odds ratio is what might not be typically observed if the true odds of dying were between 11% lower or 8% higher for estrogen use. We fail to reject the null hypothesis of no association between estrogen use and CVD mortality after adjusting for prior CVD history</w:t>
      </w:r>
      <w:r w:rsidR="00AE31DF">
        <w:rPr>
          <w:rFonts w:ascii="Arial" w:hAnsi="Arial" w:cs="Times New Roman"/>
          <w:i/>
          <w:sz w:val="22"/>
          <w:szCs w:val="22"/>
        </w:rPr>
        <w:t>.</w:t>
      </w:r>
    </w:p>
    <w:p w14:paraId="003E3FD6" w14:textId="77777777" w:rsidR="000D36D7" w:rsidRDefault="000D36D7" w:rsidP="00E751BC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</w:p>
    <w:p w14:paraId="08699AA6" w14:textId="77777777" w:rsidR="006E0D35" w:rsidRPr="006E0D35" w:rsidRDefault="006E0D35" w:rsidP="006E0D35">
      <w:pPr>
        <w:pStyle w:val="PlainText"/>
        <w:numPr>
          <w:ilvl w:val="1"/>
          <w:numId w:val="1"/>
        </w:numPr>
        <w:rPr>
          <w:rFonts w:ascii="Arial" w:hAnsi="Arial" w:cs="Times New Roman"/>
          <w:sz w:val="22"/>
          <w:szCs w:val="22"/>
        </w:rPr>
      </w:pPr>
      <w:r w:rsidRPr="006E0D35">
        <w:rPr>
          <w:rFonts w:ascii="Arial" w:hAnsi="Arial" w:cs="Times New Roman"/>
          <w:sz w:val="22"/>
          <w:szCs w:val="22"/>
        </w:rPr>
        <w:t>Is there evidence in the dataset that the prior disease adjusted analysis of an association between estrogen-CVD mortality is further confounded by age? Provide results of a statistical analysis in support of your answer.</w:t>
      </w:r>
    </w:p>
    <w:p w14:paraId="565E8987" w14:textId="77777777" w:rsidR="006E0D35" w:rsidRDefault="006E0D35" w:rsidP="00D41FBD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2D4D76A4" w14:textId="5B97D6AC" w:rsidR="00B979FD" w:rsidRDefault="00B979FD" w:rsidP="00D41FBD">
      <w:pPr>
        <w:pStyle w:val="PlainText"/>
        <w:ind w:left="108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Table 9</w:t>
      </w:r>
      <w:r w:rsidRPr="00B979FD">
        <w:rPr>
          <w:rFonts w:ascii="Arial" w:hAnsi="Arial" w:cs="Times New Roman"/>
          <w:b/>
          <w:sz w:val="22"/>
          <w:szCs w:val="22"/>
        </w:rPr>
        <w:t xml:space="preserve">: </w:t>
      </w:r>
      <w:r w:rsidR="004E524E">
        <w:rPr>
          <w:rFonts w:ascii="Arial" w:hAnsi="Arial" w:cs="Times New Roman"/>
          <w:b/>
          <w:sz w:val="22"/>
          <w:szCs w:val="22"/>
        </w:rPr>
        <w:t>Estrogen-CVD mortality association</w:t>
      </w:r>
    </w:p>
    <w:p w14:paraId="4A4588CA" w14:textId="77777777" w:rsidR="00B979FD" w:rsidRDefault="00B979FD" w:rsidP="00B979FD">
      <w:pPr>
        <w:pStyle w:val="PlainText"/>
        <w:ind w:left="1080"/>
        <w:jc w:val="center"/>
        <w:rPr>
          <w:rFonts w:ascii="Arial" w:hAnsi="Arial" w:cs="Times New Roman"/>
          <w:sz w:val="22"/>
          <w:szCs w:val="22"/>
        </w:rPr>
      </w:pPr>
    </w:p>
    <w:tbl>
      <w:tblPr>
        <w:tblW w:w="8560" w:type="dxa"/>
        <w:jc w:val="center"/>
        <w:tblInd w:w="93" w:type="dxa"/>
        <w:tblLook w:val="04A0" w:firstRow="1" w:lastRow="0" w:firstColumn="1" w:lastColumn="0" w:noHBand="0" w:noVBand="1"/>
      </w:tblPr>
      <w:tblGrid>
        <w:gridCol w:w="1520"/>
        <w:gridCol w:w="2496"/>
        <w:gridCol w:w="1144"/>
        <w:gridCol w:w="2331"/>
        <w:gridCol w:w="1069"/>
      </w:tblGrid>
      <w:tr w:rsidR="00B979FD" w:rsidRPr="00B979FD" w14:paraId="6568624B" w14:textId="77777777" w:rsidTr="00B979FD">
        <w:trPr>
          <w:trHeight w:val="260"/>
          <w:jc w:val="center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8EAF" w14:textId="77777777" w:rsidR="00B979FD" w:rsidRPr="00B979FD" w:rsidRDefault="00B979FD" w:rsidP="00B979F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79FD">
              <w:rPr>
                <w:rFonts w:ascii="Arial" w:hAnsi="Arial" w:cs="Arial"/>
                <w:b/>
                <w:bCs/>
                <w:color w:val="000000"/>
              </w:rPr>
              <w:t>Variable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69569" w14:textId="2A08A92D" w:rsidR="00B979FD" w:rsidRPr="00B979FD" w:rsidRDefault="00B979FD" w:rsidP="00B979F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9FD">
              <w:rPr>
                <w:rFonts w:ascii="Arial" w:hAnsi="Arial" w:cs="Arial"/>
                <w:b/>
                <w:bCs/>
                <w:color w:val="000000"/>
              </w:rPr>
              <w:t>Adjusted for prior CVD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9BB7" w14:textId="77777777" w:rsidR="00B979FD" w:rsidRPr="00B979FD" w:rsidRDefault="00B979FD" w:rsidP="00B979F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9FD">
              <w:rPr>
                <w:rFonts w:ascii="Arial" w:hAnsi="Arial" w:cs="Arial"/>
                <w:b/>
                <w:bCs/>
                <w:color w:val="000000"/>
              </w:rPr>
              <w:t>Adjusted for prior CVD, age</w:t>
            </w:r>
          </w:p>
        </w:tc>
      </w:tr>
      <w:tr w:rsidR="00B979FD" w:rsidRPr="00B979FD" w14:paraId="03F1AA8E" w14:textId="77777777" w:rsidTr="00B979FD">
        <w:trPr>
          <w:trHeight w:val="280"/>
          <w:jc w:val="center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FB488" w14:textId="77777777" w:rsidR="00B979FD" w:rsidRPr="00B979FD" w:rsidRDefault="00B979FD" w:rsidP="00B979FD">
            <w:pPr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DBBB8" w14:textId="77777777" w:rsidR="00B979FD" w:rsidRPr="00B979FD" w:rsidRDefault="00B979FD" w:rsidP="00B979FD">
            <w:pPr>
              <w:jc w:val="center"/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(aOR, 95% CI)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547E" w14:textId="77777777" w:rsidR="00B979FD" w:rsidRPr="00B979FD" w:rsidRDefault="00B979FD" w:rsidP="00B979FD">
            <w:pPr>
              <w:jc w:val="center"/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p-value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126AA" w14:textId="77777777" w:rsidR="00B979FD" w:rsidRPr="00B979FD" w:rsidRDefault="00B979FD" w:rsidP="00B979FD">
            <w:pPr>
              <w:jc w:val="center"/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(aOR, 95% CI)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506C6" w14:textId="77777777" w:rsidR="00B979FD" w:rsidRPr="00B979FD" w:rsidRDefault="00B979FD" w:rsidP="00B979FD">
            <w:pPr>
              <w:jc w:val="center"/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p-value</w:t>
            </w:r>
          </w:p>
        </w:tc>
      </w:tr>
      <w:tr w:rsidR="00B979FD" w:rsidRPr="00B979FD" w14:paraId="2EDE537D" w14:textId="77777777" w:rsidTr="00B979FD">
        <w:trPr>
          <w:trHeight w:val="280"/>
          <w:jc w:val="center"/>
        </w:trPr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8CE25" w14:textId="77777777" w:rsidR="00B979FD" w:rsidRPr="00B979FD" w:rsidRDefault="00B979FD" w:rsidP="00B979FD">
            <w:pPr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Estrogen use</w:t>
            </w:r>
          </w:p>
        </w:tc>
        <w:tc>
          <w:tcPr>
            <w:tcW w:w="2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942FF" w14:textId="77777777" w:rsidR="00B979FD" w:rsidRPr="00B979FD" w:rsidRDefault="00B979FD" w:rsidP="00B979FD">
            <w:pPr>
              <w:jc w:val="center"/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0.34 (0.11, 1.08)</w:t>
            </w:r>
          </w:p>
        </w:tc>
        <w:tc>
          <w:tcPr>
            <w:tcW w:w="11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1D83" w14:textId="77777777" w:rsidR="00B979FD" w:rsidRPr="00B979FD" w:rsidRDefault="00B979FD" w:rsidP="00B979FD">
            <w:pPr>
              <w:jc w:val="center"/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0.07</w:t>
            </w:r>
          </w:p>
        </w:tc>
        <w:tc>
          <w:tcPr>
            <w:tcW w:w="23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4DB25" w14:textId="77777777" w:rsidR="00B979FD" w:rsidRPr="00B979FD" w:rsidRDefault="00B979FD" w:rsidP="00B979FD">
            <w:pPr>
              <w:jc w:val="center"/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0.43 (0.13, 1.38)</w:t>
            </w:r>
          </w:p>
        </w:tc>
        <w:tc>
          <w:tcPr>
            <w:tcW w:w="10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7E8E4" w14:textId="77777777" w:rsidR="00B979FD" w:rsidRPr="00B979FD" w:rsidRDefault="00B979FD" w:rsidP="00B979FD">
            <w:pPr>
              <w:jc w:val="center"/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0.16</w:t>
            </w:r>
          </w:p>
        </w:tc>
      </w:tr>
    </w:tbl>
    <w:p w14:paraId="689D859C" w14:textId="77777777" w:rsidR="00B979FD" w:rsidRPr="00B979FD" w:rsidRDefault="00B979FD" w:rsidP="00B979FD">
      <w:pPr>
        <w:pStyle w:val="PlainText"/>
        <w:ind w:left="1080"/>
        <w:jc w:val="center"/>
        <w:rPr>
          <w:rFonts w:ascii="Arial" w:hAnsi="Arial" w:cs="Times New Roman"/>
          <w:sz w:val="22"/>
          <w:szCs w:val="22"/>
        </w:rPr>
      </w:pPr>
    </w:p>
    <w:p w14:paraId="4DF947DC" w14:textId="546DCD26" w:rsidR="00413717" w:rsidRDefault="00291231" w:rsidP="00D41FBD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  <w:r>
        <w:rPr>
          <w:rFonts w:ascii="Arial" w:hAnsi="Arial" w:cs="Times New Roman"/>
          <w:i/>
          <w:sz w:val="22"/>
          <w:szCs w:val="22"/>
        </w:rPr>
        <w:t>It</w:t>
      </w:r>
      <w:r w:rsidR="00413717">
        <w:rPr>
          <w:rFonts w:ascii="Arial" w:hAnsi="Arial" w:cs="Times New Roman"/>
          <w:i/>
          <w:sz w:val="22"/>
          <w:szCs w:val="22"/>
        </w:rPr>
        <w:t xml:space="preserve"> appears that the</w:t>
      </w:r>
      <w:r w:rsidR="00970893">
        <w:rPr>
          <w:rFonts w:ascii="Arial" w:hAnsi="Arial" w:cs="Times New Roman"/>
          <w:i/>
          <w:sz w:val="22"/>
          <w:szCs w:val="22"/>
        </w:rPr>
        <w:t xml:space="preserve"> odds ratio for the</w:t>
      </w:r>
      <w:r w:rsidR="00413717">
        <w:rPr>
          <w:rFonts w:ascii="Arial" w:hAnsi="Arial" w:cs="Times New Roman"/>
          <w:i/>
          <w:sz w:val="22"/>
          <w:szCs w:val="22"/>
        </w:rPr>
        <w:t xml:space="preserve"> estrogen-CVD mortality association is further </w:t>
      </w:r>
      <w:r w:rsidR="00970893">
        <w:rPr>
          <w:rFonts w:ascii="Arial" w:hAnsi="Arial" w:cs="Times New Roman"/>
          <w:i/>
          <w:sz w:val="22"/>
          <w:szCs w:val="22"/>
        </w:rPr>
        <w:t>attenuated after adjustment</w:t>
      </w:r>
      <w:r w:rsidR="00A30575">
        <w:rPr>
          <w:rFonts w:ascii="Arial" w:hAnsi="Arial" w:cs="Times New Roman"/>
          <w:i/>
          <w:sz w:val="22"/>
          <w:szCs w:val="22"/>
        </w:rPr>
        <w:t xml:space="preserve"> for</w:t>
      </w:r>
      <w:r w:rsidR="00413717">
        <w:rPr>
          <w:rFonts w:ascii="Arial" w:hAnsi="Arial" w:cs="Times New Roman"/>
          <w:i/>
          <w:sz w:val="22"/>
          <w:szCs w:val="22"/>
        </w:rPr>
        <w:t xml:space="preserve"> age (aOR 0.43).</w:t>
      </w:r>
      <w:r w:rsidR="00970893">
        <w:rPr>
          <w:rFonts w:ascii="Arial" w:hAnsi="Arial" w:cs="Times New Roman"/>
          <w:i/>
          <w:sz w:val="22"/>
          <w:szCs w:val="22"/>
        </w:rPr>
        <w:t xml:space="preserve"> See answer to 1e.</w:t>
      </w:r>
    </w:p>
    <w:p w14:paraId="52D2C1E5" w14:textId="77777777" w:rsidR="00413717" w:rsidRPr="00413717" w:rsidRDefault="00413717" w:rsidP="00D41FBD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</w:p>
    <w:p w14:paraId="03CED4DE" w14:textId="77777777" w:rsidR="006E0D35" w:rsidRPr="006E0D35" w:rsidRDefault="006E0D35" w:rsidP="006E0D35">
      <w:pPr>
        <w:pStyle w:val="PlainText"/>
        <w:numPr>
          <w:ilvl w:val="1"/>
          <w:numId w:val="1"/>
        </w:numPr>
        <w:rPr>
          <w:rFonts w:ascii="Arial" w:hAnsi="Arial" w:cs="Times New Roman"/>
          <w:sz w:val="22"/>
          <w:szCs w:val="22"/>
        </w:rPr>
      </w:pPr>
      <w:r w:rsidRPr="006E0D35">
        <w:rPr>
          <w:rFonts w:ascii="Arial" w:hAnsi="Arial" w:cs="Times New Roman"/>
          <w:sz w:val="22"/>
          <w:szCs w:val="22"/>
        </w:rPr>
        <w:t>Provide complete statistical inference regarding an association between estrogen and CVD mortality after adjustment for age and any prior history of CVD.</w:t>
      </w:r>
    </w:p>
    <w:p w14:paraId="7F52C868" w14:textId="77777777" w:rsidR="006E0D35" w:rsidRDefault="006E0D35" w:rsidP="00413717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5C186003" w14:textId="08277491" w:rsidR="00466D6F" w:rsidRPr="00DD47DC" w:rsidRDefault="00466D6F" w:rsidP="00466D6F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From a logistic regression analysis using robust standard errors, </w:t>
      </w:r>
      <w:r w:rsidR="00A30575">
        <w:rPr>
          <w:rFonts w:ascii="Arial" w:hAnsi="Arial" w:cs="Arial"/>
          <w:i/>
          <w:sz w:val="22"/>
          <w:szCs w:val="22"/>
        </w:rPr>
        <w:t xml:space="preserve">and adjusting for prior CVD history and age, </w:t>
      </w:r>
      <w:r>
        <w:rPr>
          <w:rFonts w:ascii="Arial" w:hAnsi="Arial" w:cs="Arial"/>
          <w:i/>
          <w:sz w:val="22"/>
          <w:szCs w:val="22"/>
        </w:rPr>
        <w:t xml:space="preserve">we estimate that the odds of CVD mortality were 57% </w:t>
      </w:r>
      <w:r w:rsidR="00A30575">
        <w:rPr>
          <w:rFonts w:ascii="Arial" w:hAnsi="Arial" w:cs="Arial"/>
          <w:i/>
          <w:sz w:val="22"/>
          <w:szCs w:val="22"/>
        </w:rPr>
        <w:t>lower</w:t>
      </w:r>
      <w:r>
        <w:rPr>
          <w:rFonts w:ascii="Arial" w:hAnsi="Arial" w:cs="Arial"/>
          <w:i/>
          <w:sz w:val="22"/>
          <w:szCs w:val="22"/>
        </w:rPr>
        <w:t xml:space="preserve"> (on average), among women of the same age and with the same estrogen usage, with the estrogen group tending towards lower CVD mortality. This result is not significantly different from 0 (p=0.16), with a 95% CI suggesting that such observed results would be unusual if the true odds of CVD mortality were anywhere between 13% lower</w:t>
      </w:r>
      <w:r w:rsidR="00A30575">
        <w:rPr>
          <w:rFonts w:ascii="Arial" w:hAnsi="Arial" w:cs="Arial"/>
          <w:i/>
          <w:sz w:val="22"/>
          <w:szCs w:val="22"/>
        </w:rPr>
        <w:t xml:space="preserve"> and </w:t>
      </w:r>
      <w:r>
        <w:rPr>
          <w:rFonts w:ascii="Arial" w:hAnsi="Arial" w:cs="Arial"/>
          <w:i/>
          <w:sz w:val="22"/>
          <w:szCs w:val="22"/>
        </w:rPr>
        <w:t>38% higher for women of the same</w:t>
      </w:r>
      <w:r w:rsidR="00A30575">
        <w:rPr>
          <w:rFonts w:ascii="Arial" w:hAnsi="Arial" w:cs="Arial"/>
          <w:i/>
          <w:sz w:val="22"/>
          <w:szCs w:val="22"/>
        </w:rPr>
        <w:t xml:space="preserve"> age</w:t>
      </w:r>
      <w:r>
        <w:rPr>
          <w:rFonts w:ascii="Arial" w:hAnsi="Arial" w:cs="Arial"/>
          <w:i/>
          <w:sz w:val="22"/>
          <w:szCs w:val="22"/>
        </w:rPr>
        <w:t>, with the estrogen group tending towards lower average CVD mortality. We fail to reject the null hypothesis that CVD mortality does not differ across es</w:t>
      </w:r>
      <w:r w:rsidR="00E62876">
        <w:rPr>
          <w:rFonts w:ascii="Arial" w:hAnsi="Arial" w:cs="Arial"/>
          <w:i/>
          <w:sz w:val="22"/>
          <w:szCs w:val="22"/>
        </w:rPr>
        <w:t>trogen groups of the same age. S</w:t>
      </w:r>
      <w:r>
        <w:rPr>
          <w:rFonts w:ascii="Arial" w:hAnsi="Arial" w:cs="Arial"/>
          <w:i/>
          <w:sz w:val="22"/>
          <w:szCs w:val="22"/>
        </w:rPr>
        <w:t>ee answer to 1</w:t>
      </w:r>
      <w:r w:rsidR="00E62876"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f). </w:t>
      </w:r>
    </w:p>
    <w:p w14:paraId="486815C7" w14:textId="77777777" w:rsidR="00466D6F" w:rsidRDefault="00466D6F" w:rsidP="00413717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76018B5A" w14:textId="77777777" w:rsidR="00CA36C9" w:rsidRPr="006E0D35" w:rsidRDefault="00CA36C9" w:rsidP="00CA36C9">
      <w:pPr>
        <w:pStyle w:val="Plai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0D35">
        <w:rPr>
          <w:rFonts w:ascii="Arial" w:hAnsi="Arial" w:cs="Arial"/>
          <w:sz w:val="22"/>
          <w:szCs w:val="22"/>
        </w:rPr>
        <w:t xml:space="preserve">Answer all parts of problem 1 using the </w:t>
      </w:r>
      <w:r w:rsidRPr="006E0D35">
        <w:rPr>
          <w:rFonts w:ascii="Arial" w:hAnsi="Arial" w:cs="Arial"/>
          <w:b/>
          <w:bCs/>
          <w:sz w:val="22"/>
          <w:szCs w:val="22"/>
        </w:rPr>
        <w:t>risk ratio (RR)</w:t>
      </w:r>
      <w:r w:rsidRPr="006E0D35">
        <w:rPr>
          <w:rFonts w:ascii="Arial" w:hAnsi="Arial" w:cs="Arial"/>
          <w:sz w:val="22"/>
          <w:szCs w:val="22"/>
        </w:rPr>
        <w:t xml:space="preserve"> as the measure of association. (Note that the Stata glm command can be used to effect such analyses.)</w:t>
      </w:r>
    </w:p>
    <w:p w14:paraId="34695DBB" w14:textId="77777777" w:rsidR="00291231" w:rsidRPr="006E0D35" w:rsidRDefault="00291231" w:rsidP="00291231">
      <w:pPr>
        <w:pStyle w:val="PlainText"/>
        <w:rPr>
          <w:rFonts w:ascii="Arial" w:hAnsi="Arial" w:cs="Times New Roman"/>
          <w:sz w:val="22"/>
          <w:szCs w:val="22"/>
        </w:rPr>
      </w:pPr>
    </w:p>
    <w:p w14:paraId="493DAF71" w14:textId="77777777" w:rsidR="00291231" w:rsidRPr="006E0D35" w:rsidRDefault="00291231" w:rsidP="00291231">
      <w:pPr>
        <w:pStyle w:val="PlainText"/>
        <w:numPr>
          <w:ilvl w:val="1"/>
          <w:numId w:val="1"/>
        </w:numPr>
        <w:rPr>
          <w:rFonts w:ascii="Arial" w:hAnsi="Arial" w:cs="Times New Roman"/>
          <w:sz w:val="22"/>
          <w:szCs w:val="22"/>
        </w:rPr>
      </w:pPr>
      <w:r w:rsidRPr="006E0D35">
        <w:rPr>
          <w:rFonts w:ascii="Arial" w:hAnsi="Arial" w:cs="Times New Roman"/>
          <w:sz w:val="22"/>
          <w:szCs w:val="22"/>
        </w:rPr>
        <w:t>Provide complete statistical inference regarding such an association. (Include point estimates, confidence intervals, and a p value, along with a full interpretation of those quantities.)</w:t>
      </w:r>
    </w:p>
    <w:p w14:paraId="5E805A17" w14:textId="77777777" w:rsidR="00291231" w:rsidRDefault="00291231" w:rsidP="00291231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5FB2C8DD" w14:textId="06EAF986" w:rsidR="00E62876" w:rsidRDefault="00E62876" w:rsidP="00E62876">
      <w:pPr>
        <w:pStyle w:val="PlainText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10: Association between estrogen use and CVD mortality among women in the CHS</w:t>
      </w:r>
    </w:p>
    <w:p w14:paraId="68D0ABE3" w14:textId="77777777" w:rsidR="00E62876" w:rsidRDefault="00E62876" w:rsidP="00E62876">
      <w:pPr>
        <w:pStyle w:val="PlainText"/>
        <w:ind w:left="1080"/>
        <w:rPr>
          <w:rFonts w:ascii="Arial" w:hAnsi="Arial" w:cs="Arial"/>
          <w:b/>
        </w:rPr>
      </w:pPr>
    </w:p>
    <w:tbl>
      <w:tblPr>
        <w:tblW w:w="5140" w:type="dxa"/>
        <w:jc w:val="center"/>
        <w:tblInd w:w="93" w:type="dxa"/>
        <w:tblLook w:val="04A0" w:firstRow="1" w:lastRow="0" w:firstColumn="1" w:lastColumn="0" w:noHBand="0" w:noVBand="1"/>
      </w:tblPr>
      <w:tblGrid>
        <w:gridCol w:w="1500"/>
        <w:gridCol w:w="2697"/>
        <w:gridCol w:w="943"/>
      </w:tblGrid>
      <w:tr w:rsidR="00E62876" w:rsidRPr="00DC39B0" w14:paraId="1DF7887F" w14:textId="77777777" w:rsidTr="00E62876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1FFF" w14:textId="77777777" w:rsidR="00E62876" w:rsidRPr="00DC39B0" w:rsidRDefault="00E62876" w:rsidP="00E62876">
            <w:pPr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>Variable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4F21" w14:textId="22B13D7C" w:rsidR="00E62876" w:rsidRPr="00DC39B0" w:rsidRDefault="00E62876" w:rsidP="00E6287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 xml:space="preserve">      Unadjusted model</w:t>
            </w:r>
            <w:r w:rsidR="00826694">
              <w:rPr>
                <w:rFonts w:ascii="Arial" w:hAnsi="Arial"/>
                <w:b/>
                <w:bCs/>
                <w:color w:val="000000"/>
              </w:rPr>
              <w:t>*</w:t>
            </w:r>
          </w:p>
        </w:tc>
      </w:tr>
      <w:tr w:rsidR="00E62876" w:rsidRPr="00DC39B0" w14:paraId="26F6AC74" w14:textId="77777777" w:rsidTr="00E62876">
        <w:trPr>
          <w:trHeight w:val="260"/>
          <w:jc w:val="center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C2C01" w14:textId="77777777" w:rsidR="00E62876" w:rsidRPr="00DC39B0" w:rsidRDefault="00E62876" w:rsidP="00E62876">
            <w:pPr>
              <w:rPr>
                <w:rFonts w:ascii="Arial" w:hAnsi="Arial"/>
                <w:color w:val="000000"/>
              </w:rPr>
            </w:pPr>
            <w:r w:rsidRPr="00DC39B0"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10138" w14:textId="2320B3C5" w:rsidR="00E62876" w:rsidRPr="00DC39B0" w:rsidRDefault="00E62876" w:rsidP="00E628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(RR</w:t>
            </w:r>
            <w:r w:rsidRPr="00DC39B0">
              <w:rPr>
                <w:rFonts w:ascii="Arial" w:hAnsi="Arial"/>
                <w:color w:val="000000"/>
              </w:rPr>
              <w:t>, 95% CI)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8BFE5" w14:textId="77777777" w:rsidR="00E62876" w:rsidRPr="00DC39B0" w:rsidRDefault="00E62876" w:rsidP="00E62876">
            <w:pPr>
              <w:jc w:val="center"/>
              <w:rPr>
                <w:rFonts w:ascii="Arial" w:hAnsi="Arial"/>
                <w:color w:val="000000"/>
              </w:rPr>
            </w:pPr>
            <w:r w:rsidRPr="00DC39B0">
              <w:rPr>
                <w:rFonts w:ascii="Arial" w:hAnsi="Arial"/>
                <w:color w:val="000000"/>
              </w:rPr>
              <w:t>p-value</w:t>
            </w:r>
          </w:p>
        </w:tc>
      </w:tr>
      <w:tr w:rsidR="00E62876" w:rsidRPr="00DC39B0" w14:paraId="2AD90B31" w14:textId="77777777" w:rsidTr="00E62876">
        <w:trPr>
          <w:trHeight w:val="280"/>
          <w:jc w:val="center"/>
        </w:trPr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2A612" w14:textId="77777777" w:rsidR="00E62876" w:rsidRPr="00DC39B0" w:rsidRDefault="00E62876" w:rsidP="00E62876">
            <w:pPr>
              <w:rPr>
                <w:rFonts w:ascii="Arial" w:hAnsi="Arial"/>
                <w:color w:val="000000"/>
              </w:rPr>
            </w:pPr>
            <w:r w:rsidRPr="00DC39B0">
              <w:rPr>
                <w:rFonts w:ascii="Arial" w:hAnsi="Arial"/>
                <w:color w:val="000000"/>
              </w:rPr>
              <w:t>Estrogen use</w:t>
            </w:r>
          </w:p>
        </w:tc>
        <w:tc>
          <w:tcPr>
            <w:tcW w:w="26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9E8C3" w14:textId="0EF0ACCC" w:rsidR="00E62876" w:rsidRPr="00DC39B0" w:rsidRDefault="00E62876" w:rsidP="00E628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0.26 (0.08, 0.81</w:t>
            </w:r>
            <w:r w:rsidRPr="00DC39B0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37414" w14:textId="77777777" w:rsidR="00E62876" w:rsidRPr="00DC39B0" w:rsidRDefault="00E62876" w:rsidP="00E6287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0.02</w:t>
            </w:r>
          </w:p>
        </w:tc>
      </w:tr>
    </w:tbl>
    <w:p w14:paraId="0200470F" w14:textId="3434D54B" w:rsidR="00E62876" w:rsidRPr="00826694" w:rsidRDefault="00826694" w:rsidP="00291231">
      <w:pPr>
        <w:pStyle w:val="PlainText"/>
        <w:ind w:left="1080"/>
        <w:rPr>
          <w:rFonts w:ascii="Arial" w:hAnsi="Arial" w:cs="Times New Roman"/>
          <w:sz w:val="18"/>
          <w:szCs w:val="18"/>
        </w:rPr>
      </w:pPr>
      <w:r w:rsidRPr="00826694">
        <w:rPr>
          <w:rFonts w:ascii="Arial" w:hAnsi="Arial" w:cs="Times New Roman"/>
          <w:sz w:val="18"/>
          <w:szCs w:val="18"/>
        </w:rPr>
        <w:t>*Generalized linear model</w:t>
      </w:r>
    </w:p>
    <w:p w14:paraId="69E768B9" w14:textId="77777777" w:rsidR="00826694" w:rsidRDefault="00826694" w:rsidP="00291231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</w:p>
    <w:p w14:paraId="7D0D0E9A" w14:textId="3CB1433B" w:rsidR="00291231" w:rsidRPr="004F59F9" w:rsidRDefault="00E62876" w:rsidP="00291231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  <w:r>
        <w:rPr>
          <w:rFonts w:ascii="Arial" w:hAnsi="Arial" w:cs="Times New Roman"/>
          <w:i/>
          <w:sz w:val="22"/>
          <w:szCs w:val="22"/>
        </w:rPr>
        <w:t>See response to 2(a)</w:t>
      </w:r>
    </w:p>
    <w:p w14:paraId="78F61983" w14:textId="77777777" w:rsidR="00291231" w:rsidRPr="006E0D35" w:rsidRDefault="00291231" w:rsidP="00291231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143DA244" w14:textId="77777777" w:rsidR="00291231" w:rsidRPr="006E0D35" w:rsidRDefault="00291231" w:rsidP="00291231">
      <w:pPr>
        <w:pStyle w:val="PlainText"/>
        <w:numPr>
          <w:ilvl w:val="1"/>
          <w:numId w:val="1"/>
        </w:numPr>
        <w:rPr>
          <w:rFonts w:ascii="Arial" w:hAnsi="Arial" w:cs="Times New Roman"/>
          <w:sz w:val="22"/>
          <w:szCs w:val="22"/>
        </w:rPr>
      </w:pPr>
      <w:r w:rsidRPr="006E0D35">
        <w:rPr>
          <w:rFonts w:ascii="Arial" w:hAnsi="Arial" w:cs="Times New Roman"/>
          <w:sz w:val="22"/>
          <w:szCs w:val="22"/>
        </w:rPr>
        <w:t xml:space="preserve">Is there evidence in the dataset that any such effect is modified by a history of prior CVD (as measured by variable </w:t>
      </w:r>
      <w:r w:rsidRPr="006E0D35">
        <w:rPr>
          <w:rFonts w:ascii="Arial" w:hAnsi="Arial" w:cs="Times New Roman"/>
          <w:i/>
          <w:iCs/>
          <w:sz w:val="22"/>
          <w:szCs w:val="22"/>
        </w:rPr>
        <w:t>prevdis)</w:t>
      </w:r>
      <w:r w:rsidRPr="006E0D35">
        <w:rPr>
          <w:rFonts w:ascii="Arial" w:hAnsi="Arial" w:cs="Times New Roman"/>
          <w:sz w:val="22"/>
          <w:szCs w:val="22"/>
        </w:rPr>
        <w:t>? Provide results of a statistical analysis in support of your answer.</w:t>
      </w:r>
    </w:p>
    <w:p w14:paraId="3DB47A24" w14:textId="77777777" w:rsidR="00291231" w:rsidRDefault="00291231" w:rsidP="005A4663">
      <w:pPr>
        <w:pStyle w:val="PlainText"/>
        <w:rPr>
          <w:rFonts w:ascii="Arial" w:hAnsi="Arial" w:cs="Times New Roman"/>
          <w:sz w:val="22"/>
          <w:szCs w:val="22"/>
        </w:rPr>
      </w:pPr>
    </w:p>
    <w:p w14:paraId="15A94641" w14:textId="1A010B2D" w:rsidR="00196A77" w:rsidRDefault="00196A77" w:rsidP="00196A77">
      <w:pPr>
        <w:pStyle w:val="PlainText"/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11: Estrogen-Prior CVD history interaction</w:t>
      </w:r>
    </w:p>
    <w:p w14:paraId="19F8F1D3" w14:textId="77777777" w:rsidR="00196A77" w:rsidRDefault="00196A77" w:rsidP="00196A77">
      <w:pPr>
        <w:pStyle w:val="PlainText"/>
        <w:ind w:left="1080"/>
        <w:rPr>
          <w:rFonts w:ascii="Arial" w:hAnsi="Arial" w:cs="Arial"/>
          <w:b/>
          <w:sz w:val="22"/>
          <w:szCs w:val="22"/>
        </w:rPr>
      </w:pPr>
    </w:p>
    <w:tbl>
      <w:tblPr>
        <w:tblW w:w="6080" w:type="dxa"/>
        <w:jc w:val="center"/>
        <w:tblInd w:w="93" w:type="dxa"/>
        <w:tblLook w:val="04A0" w:firstRow="1" w:lastRow="0" w:firstColumn="1" w:lastColumn="0" w:noHBand="0" w:noVBand="1"/>
      </w:tblPr>
      <w:tblGrid>
        <w:gridCol w:w="2680"/>
        <w:gridCol w:w="2478"/>
        <w:gridCol w:w="1239"/>
      </w:tblGrid>
      <w:tr w:rsidR="00196A77" w:rsidRPr="00DC39B0" w14:paraId="72CEE1D0" w14:textId="77777777" w:rsidTr="00196A77">
        <w:trPr>
          <w:trHeight w:val="260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E6B1" w14:textId="77777777" w:rsidR="00196A77" w:rsidRPr="00DC39B0" w:rsidRDefault="00196A77" w:rsidP="00196A77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C199A" w14:textId="1B898A77" w:rsidR="00196A77" w:rsidRPr="00DC39B0" w:rsidRDefault="00196A77" w:rsidP="00196A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>Interaction model</w:t>
            </w:r>
            <w:r w:rsidR="00826694">
              <w:rPr>
                <w:rFonts w:ascii="Arial" w:hAnsi="Arial"/>
                <w:b/>
                <w:bCs/>
                <w:color w:val="000000"/>
              </w:rPr>
              <w:t>*</w:t>
            </w:r>
          </w:p>
        </w:tc>
      </w:tr>
      <w:tr w:rsidR="00196A77" w:rsidRPr="00DC39B0" w14:paraId="332F1D38" w14:textId="77777777" w:rsidTr="00196A77">
        <w:trPr>
          <w:trHeight w:val="280"/>
          <w:jc w:val="center"/>
        </w:trPr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E399" w14:textId="77777777" w:rsidR="00196A77" w:rsidRPr="00DC39B0" w:rsidRDefault="00196A77" w:rsidP="00196A77">
            <w:pPr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>Variable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D21F3" w14:textId="2744010F" w:rsidR="00196A77" w:rsidRPr="00DC39B0" w:rsidRDefault="00196A77" w:rsidP="00196A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>(</w:t>
            </w:r>
            <w:r>
              <w:rPr>
                <w:rFonts w:ascii="Arial" w:hAnsi="Arial"/>
                <w:b/>
                <w:bCs/>
                <w:color w:val="000000"/>
              </w:rPr>
              <w:t>RR</w:t>
            </w:r>
            <w:r w:rsidRPr="00DC39B0">
              <w:rPr>
                <w:rFonts w:ascii="Arial" w:hAnsi="Arial"/>
                <w:b/>
                <w:bCs/>
                <w:color w:val="000000"/>
              </w:rPr>
              <w:t>, 95% CI)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C380C" w14:textId="6CAF8B1B" w:rsidR="00196A77" w:rsidRPr="00DC39B0" w:rsidRDefault="00196A77" w:rsidP="00196A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39B0">
              <w:rPr>
                <w:rFonts w:ascii="Arial" w:hAnsi="Arial"/>
                <w:b/>
                <w:bCs/>
                <w:color w:val="000000"/>
              </w:rPr>
              <w:t>p-value</w:t>
            </w:r>
            <w:r w:rsidR="00A30575">
              <w:rPr>
                <w:rFonts w:ascii="Arial" w:hAnsi="Arial"/>
                <w:b/>
                <w:bCs/>
                <w:color w:val="000000"/>
              </w:rPr>
              <w:t xml:space="preserve"> for interaction</w:t>
            </w:r>
          </w:p>
        </w:tc>
      </w:tr>
      <w:tr w:rsidR="00196A77" w:rsidRPr="00DC39B0" w14:paraId="31F4A61A" w14:textId="77777777" w:rsidTr="00196A77">
        <w:trPr>
          <w:trHeight w:val="280"/>
          <w:jc w:val="center"/>
        </w:trPr>
        <w:tc>
          <w:tcPr>
            <w:tcW w:w="26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0C6A9" w14:textId="77777777" w:rsidR="00196A77" w:rsidRPr="00DC39B0" w:rsidRDefault="00196A77" w:rsidP="00196A77">
            <w:pPr>
              <w:rPr>
                <w:rFonts w:ascii="Arial" w:hAnsi="Arial"/>
                <w:color w:val="000000"/>
              </w:rPr>
            </w:pPr>
            <w:r w:rsidRPr="00DC39B0">
              <w:rPr>
                <w:rFonts w:ascii="Arial" w:hAnsi="Arial"/>
                <w:color w:val="000000"/>
              </w:rPr>
              <w:t>Estrogen*CVD interaction</w:t>
            </w:r>
          </w:p>
        </w:tc>
        <w:tc>
          <w:tcPr>
            <w:tcW w:w="24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208A7" w14:textId="76E97097" w:rsidR="00196A77" w:rsidRPr="00DC39B0" w:rsidRDefault="00196A77" w:rsidP="00196A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0.94 (0.08, 10.45</w:t>
            </w:r>
            <w:r w:rsidRPr="00DC39B0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2BE8B" w14:textId="74915061" w:rsidR="00196A77" w:rsidRPr="00DC39B0" w:rsidRDefault="00196A77" w:rsidP="00196A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0.96</w:t>
            </w:r>
          </w:p>
        </w:tc>
      </w:tr>
    </w:tbl>
    <w:p w14:paraId="18414890" w14:textId="77777777" w:rsidR="00826694" w:rsidRPr="00826694" w:rsidRDefault="00826694" w:rsidP="00826694">
      <w:pPr>
        <w:pStyle w:val="PlainText"/>
        <w:ind w:left="1080"/>
        <w:rPr>
          <w:rFonts w:ascii="Arial" w:hAnsi="Arial" w:cs="Times New Roman"/>
          <w:sz w:val="18"/>
          <w:szCs w:val="18"/>
        </w:rPr>
      </w:pPr>
      <w:r w:rsidRPr="00826694">
        <w:rPr>
          <w:rFonts w:ascii="Arial" w:hAnsi="Arial" w:cs="Times New Roman"/>
          <w:sz w:val="18"/>
          <w:szCs w:val="18"/>
        </w:rPr>
        <w:t>*Generalized linear model</w:t>
      </w:r>
    </w:p>
    <w:p w14:paraId="0464449F" w14:textId="77777777" w:rsidR="00196A77" w:rsidRDefault="00196A77" w:rsidP="00826694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4FBE9317" w14:textId="05C59F70" w:rsidR="00291231" w:rsidRPr="004F59F9" w:rsidRDefault="00196A77" w:rsidP="00291231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  <w:r>
        <w:rPr>
          <w:rFonts w:ascii="Arial" w:hAnsi="Arial" w:cs="Times New Roman"/>
          <w:i/>
          <w:sz w:val="22"/>
          <w:szCs w:val="22"/>
        </w:rPr>
        <w:t xml:space="preserve">See response to 2(b) </w:t>
      </w:r>
    </w:p>
    <w:p w14:paraId="5D1DB54B" w14:textId="77777777" w:rsidR="00291231" w:rsidRPr="006E0D35" w:rsidRDefault="00291231" w:rsidP="00291231">
      <w:pPr>
        <w:pStyle w:val="PlainText"/>
        <w:ind w:left="1080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 </w:t>
      </w:r>
    </w:p>
    <w:p w14:paraId="57C0D337" w14:textId="77777777" w:rsidR="00291231" w:rsidRPr="006E0D35" w:rsidRDefault="00291231" w:rsidP="00291231">
      <w:pPr>
        <w:pStyle w:val="PlainText"/>
        <w:numPr>
          <w:ilvl w:val="1"/>
          <w:numId w:val="1"/>
        </w:numPr>
        <w:rPr>
          <w:rFonts w:ascii="Arial" w:hAnsi="Arial" w:cs="Times New Roman"/>
          <w:sz w:val="22"/>
          <w:szCs w:val="22"/>
        </w:rPr>
      </w:pPr>
      <w:r w:rsidRPr="006E0D35">
        <w:rPr>
          <w:rFonts w:ascii="Arial" w:hAnsi="Arial" w:cs="Times New Roman"/>
          <w:sz w:val="22"/>
          <w:szCs w:val="22"/>
        </w:rPr>
        <w:t>Suppose we just want to ignore any such effect modification. Is there evidence in the dataset that any estrogen-CVD mortality association is confounded by a history of prior CVD? Provide results of a statistical analysis in support of your answer.</w:t>
      </w:r>
    </w:p>
    <w:p w14:paraId="5BEC545F" w14:textId="77777777" w:rsidR="00291231" w:rsidRDefault="00291231" w:rsidP="00826694">
      <w:pPr>
        <w:pStyle w:val="PlainText"/>
        <w:ind w:left="720"/>
        <w:rPr>
          <w:rFonts w:ascii="Arial" w:hAnsi="Arial" w:cs="Times New Roman"/>
          <w:b/>
          <w:sz w:val="22"/>
          <w:szCs w:val="22"/>
        </w:rPr>
      </w:pPr>
    </w:p>
    <w:p w14:paraId="743F25B5" w14:textId="3E65C694" w:rsidR="00826694" w:rsidRDefault="00826694" w:rsidP="00826694">
      <w:pPr>
        <w:pStyle w:val="PlainText"/>
        <w:ind w:left="108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Table 12: Association between CVD mortality and estrogen use, adjusted for prior CVD</w:t>
      </w:r>
    </w:p>
    <w:tbl>
      <w:tblPr>
        <w:tblW w:w="7300" w:type="dxa"/>
        <w:jc w:val="center"/>
        <w:tblInd w:w="93" w:type="dxa"/>
        <w:tblLook w:val="04A0" w:firstRow="1" w:lastRow="0" w:firstColumn="1" w:lastColumn="0" w:noHBand="0" w:noVBand="1"/>
      </w:tblPr>
      <w:tblGrid>
        <w:gridCol w:w="1500"/>
        <w:gridCol w:w="2102"/>
        <w:gridCol w:w="898"/>
        <w:gridCol w:w="1920"/>
        <w:gridCol w:w="880"/>
      </w:tblGrid>
      <w:tr w:rsidR="00826694" w:rsidRPr="00D52976" w14:paraId="38260FC6" w14:textId="77777777" w:rsidTr="00826694">
        <w:trPr>
          <w:trHeight w:val="260"/>
          <w:jc w:val="center"/>
        </w:trPr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8A10" w14:textId="77777777" w:rsidR="00826694" w:rsidRPr="00D52976" w:rsidRDefault="00826694" w:rsidP="008266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2976">
              <w:rPr>
                <w:rFonts w:ascii="Arial" w:hAnsi="Arial" w:cs="Arial"/>
                <w:b/>
                <w:bCs/>
                <w:color w:val="000000"/>
              </w:rPr>
              <w:t>Variable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B64A5" w14:textId="77777777" w:rsidR="00826694" w:rsidRPr="00D52976" w:rsidRDefault="00826694" w:rsidP="008266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52976">
              <w:rPr>
                <w:rFonts w:ascii="Arial" w:hAnsi="Arial" w:cs="Arial"/>
                <w:b/>
                <w:bCs/>
                <w:color w:val="000000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Pr="00D52976">
              <w:rPr>
                <w:rFonts w:ascii="Arial" w:hAnsi="Arial" w:cs="Arial"/>
                <w:b/>
                <w:bCs/>
                <w:color w:val="000000"/>
              </w:rPr>
              <w:t>Unadjusted model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102A" w14:textId="0691BC05" w:rsidR="00826694" w:rsidRPr="00D52976" w:rsidRDefault="00826694" w:rsidP="008266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2976">
              <w:rPr>
                <w:rFonts w:ascii="Arial" w:hAnsi="Arial" w:cs="Arial"/>
                <w:b/>
                <w:bCs/>
                <w:color w:val="000000"/>
              </w:rPr>
              <w:t>Adjusted model</w:t>
            </w:r>
            <w:r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</w:tr>
      <w:tr w:rsidR="00826694" w:rsidRPr="00D52976" w14:paraId="69847ED2" w14:textId="77777777" w:rsidTr="00826694">
        <w:trPr>
          <w:trHeight w:val="280"/>
          <w:jc w:val="center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7E3B7" w14:textId="77777777" w:rsidR="00826694" w:rsidRPr="00D52976" w:rsidRDefault="00826694" w:rsidP="00826694">
            <w:pPr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7B395" w14:textId="2AF7BC71" w:rsidR="00826694" w:rsidRPr="00D52976" w:rsidRDefault="00826694" w:rsidP="008266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(R</w:t>
            </w:r>
            <w:r w:rsidRPr="00D52976">
              <w:rPr>
                <w:rFonts w:ascii="Arial" w:hAnsi="Arial" w:cs="Arial"/>
                <w:color w:val="000000"/>
              </w:rPr>
              <w:t>R, 95% CI)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1546" w14:textId="77777777" w:rsidR="00826694" w:rsidRPr="00D52976" w:rsidRDefault="00826694" w:rsidP="00826694">
            <w:pPr>
              <w:jc w:val="center"/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p-value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9F678" w14:textId="4732FE2C" w:rsidR="00826694" w:rsidRPr="00D52976" w:rsidRDefault="00826694" w:rsidP="008266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(aR</w:t>
            </w:r>
            <w:r w:rsidRPr="00D52976">
              <w:rPr>
                <w:rFonts w:ascii="Arial" w:hAnsi="Arial" w:cs="Arial"/>
                <w:color w:val="000000"/>
              </w:rPr>
              <w:t>R, 95% CI)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143D7" w14:textId="77777777" w:rsidR="00826694" w:rsidRPr="00D52976" w:rsidRDefault="00826694" w:rsidP="00826694">
            <w:pPr>
              <w:jc w:val="center"/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p-value</w:t>
            </w:r>
          </w:p>
        </w:tc>
      </w:tr>
      <w:tr w:rsidR="00826694" w:rsidRPr="00D52976" w14:paraId="506DF4DA" w14:textId="77777777" w:rsidTr="00826694">
        <w:trPr>
          <w:trHeight w:val="280"/>
          <w:jc w:val="center"/>
        </w:trPr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237D3" w14:textId="77777777" w:rsidR="00826694" w:rsidRPr="00D52976" w:rsidRDefault="00826694" w:rsidP="00826694">
            <w:pPr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Estrogen</w:t>
            </w:r>
          </w:p>
        </w:tc>
        <w:tc>
          <w:tcPr>
            <w:tcW w:w="21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464F5" w14:textId="2037D4CC" w:rsidR="00826694" w:rsidRPr="00D52976" w:rsidRDefault="00826694" w:rsidP="008266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0.26 (0.08, 0.81</w:t>
            </w:r>
            <w:r w:rsidRPr="00D5297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D388" w14:textId="77777777" w:rsidR="00826694" w:rsidRPr="00D52976" w:rsidRDefault="00826694" w:rsidP="00826694">
            <w:pPr>
              <w:jc w:val="center"/>
              <w:rPr>
                <w:rFonts w:ascii="Arial" w:hAnsi="Arial" w:cs="Arial"/>
                <w:color w:val="000000"/>
              </w:rPr>
            </w:pPr>
            <w:r w:rsidRPr="00D52976">
              <w:rPr>
                <w:rFonts w:ascii="Arial" w:hAnsi="Arial" w:cs="Arial"/>
                <w:color w:val="000000"/>
              </w:rPr>
              <w:t>0.02</w:t>
            </w:r>
          </w:p>
        </w:tc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D0203" w14:textId="1400AFAF" w:rsidR="00826694" w:rsidRPr="00D52976" w:rsidRDefault="00826694" w:rsidP="008266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0.34 (0.08, 1.49</w:t>
            </w:r>
            <w:r w:rsidRPr="00D5297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325CD" w14:textId="172D7D40" w:rsidR="00826694" w:rsidRPr="00D52976" w:rsidRDefault="00826694" w:rsidP="008266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0.15</w:t>
            </w:r>
          </w:p>
        </w:tc>
      </w:tr>
    </w:tbl>
    <w:p w14:paraId="1FE6B58E" w14:textId="77777777" w:rsidR="00826694" w:rsidRPr="00826694" w:rsidRDefault="00826694" w:rsidP="00826694">
      <w:pPr>
        <w:pStyle w:val="PlainText"/>
        <w:ind w:left="1080"/>
        <w:rPr>
          <w:rFonts w:ascii="Arial" w:hAnsi="Arial" w:cs="Times New Roman"/>
          <w:sz w:val="18"/>
          <w:szCs w:val="18"/>
        </w:rPr>
      </w:pPr>
      <w:r w:rsidRPr="00826694">
        <w:rPr>
          <w:rFonts w:ascii="Arial" w:hAnsi="Arial" w:cs="Times New Roman"/>
          <w:sz w:val="18"/>
          <w:szCs w:val="18"/>
        </w:rPr>
        <w:t>*Generalized linear model</w:t>
      </w:r>
    </w:p>
    <w:p w14:paraId="6D1FC7C8" w14:textId="77777777" w:rsidR="00826694" w:rsidRDefault="00826694" w:rsidP="00826694">
      <w:pPr>
        <w:pStyle w:val="PlainText"/>
        <w:ind w:left="1080"/>
        <w:rPr>
          <w:rFonts w:ascii="Arial" w:hAnsi="Arial" w:cs="Times New Roman"/>
          <w:b/>
          <w:sz w:val="22"/>
          <w:szCs w:val="22"/>
        </w:rPr>
      </w:pPr>
    </w:p>
    <w:p w14:paraId="146D9748" w14:textId="04AD909B" w:rsidR="00291231" w:rsidRDefault="00826694" w:rsidP="00291231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  <w:r>
        <w:rPr>
          <w:rFonts w:ascii="Arial" w:hAnsi="Arial" w:cs="Times New Roman"/>
          <w:i/>
          <w:sz w:val="22"/>
          <w:szCs w:val="22"/>
        </w:rPr>
        <w:t>See response to 2 (c)</w:t>
      </w:r>
    </w:p>
    <w:p w14:paraId="4B5165AB" w14:textId="77777777" w:rsidR="00291231" w:rsidRPr="00D52976" w:rsidRDefault="00291231" w:rsidP="00291231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</w:p>
    <w:p w14:paraId="0CB63A06" w14:textId="77777777" w:rsidR="00291231" w:rsidRPr="006E0D35" w:rsidRDefault="00291231" w:rsidP="00291231">
      <w:pPr>
        <w:pStyle w:val="PlainText"/>
        <w:numPr>
          <w:ilvl w:val="1"/>
          <w:numId w:val="1"/>
        </w:numPr>
        <w:rPr>
          <w:rFonts w:ascii="Arial" w:hAnsi="Arial" w:cs="Times New Roman"/>
          <w:sz w:val="22"/>
          <w:szCs w:val="22"/>
        </w:rPr>
      </w:pPr>
      <w:r w:rsidRPr="006E0D35">
        <w:rPr>
          <w:rFonts w:ascii="Arial" w:hAnsi="Arial" w:cs="Times New Roman"/>
          <w:sz w:val="22"/>
          <w:szCs w:val="22"/>
        </w:rPr>
        <w:t xml:space="preserve">Provide complete statistical inference regarding an association between estrogen and CVD mortality after adjustment for a prior history of CVD. </w:t>
      </w:r>
    </w:p>
    <w:p w14:paraId="45DCB70B" w14:textId="77777777" w:rsidR="00291231" w:rsidRDefault="00291231" w:rsidP="00291231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3F670A0C" w14:textId="40400408" w:rsidR="00291231" w:rsidRDefault="00905C34" w:rsidP="00291231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  <w:r>
        <w:rPr>
          <w:rFonts w:ascii="Arial" w:hAnsi="Arial" w:cs="Times New Roman"/>
          <w:i/>
          <w:sz w:val="22"/>
          <w:szCs w:val="22"/>
        </w:rPr>
        <w:t>Similar response as</w:t>
      </w:r>
      <w:r w:rsidR="00826694">
        <w:rPr>
          <w:rFonts w:ascii="Arial" w:hAnsi="Arial" w:cs="Times New Roman"/>
          <w:i/>
          <w:sz w:val="22"/>
          <w:szCs w:val="22"/>
        </w:rPr>
        <w:t xml:space="preserve"> 2 (d)</w:t>
      </w:r>
    </w:p>
    <w:p w14:paraId="6EF93B29" w14:textId="77777777" w:rsidR="00291231" w:rsidRPr="00E751BC" w:rsidRDefault="00291231" w:rsidP="00291231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</w:p>
    <w:p w14:paraId="6A5F74B3" w14:textId="77777777" w:rsidR="00291231" w:rsidRPr="006E0D35" w:rsidRDefault="00291231" w:rsidP="00291231">
      <w:pPr>
        <w:pStyle w:val="PlainText"/>
        <w:numPr>
          <w:ilvl w:val="1"/>
          <w:numId w:val="1"/>
        </w:numPr>
        <w:rPr>
          <w:rFonts w:ascii="Arial" w:hAnsi="Arial" w:cs="Times New Roman"/>
          <w:sz w:val="22"/>
          <w:szCs w:val="22"/>
        </w:rPr>
      </w:pPr>
      <w:r w:rsidRPr="006E0D35">
        <w:rPr>
          <w:rFonts w:ascii="Arial" w:hAnsi="Arial" w:cs="Times New Roman"/>
          <w:sz w:val="22"/>
          <w:szCs w:val="22"/>
        </w:rPr>
        <w:t>Is there evidence in the dataset that the prior disease adjusted analysis of an association between estrogen-CVD mortality is further confounded by age? Provide results of a statistical analysis in support of your answer.</w:t>
      </w:r>
    </w:p>
    <w:p w14:paraId="6B0CEAF0" w14:textId="77777777" w:rsidR="00291231" w:rsidRDefault="00291231" w:rsidP="00291231">
      <w:pPr>
        <w:pStyle w:val="PlainText"/>
        <w:ind w:left="1080"/>
        <w:rPr>
          <w:rFonts w:ascii="Arial" w:hAnsi="Arial" w:cs="Times New Roman"/>
          <w:sz w:val="22"/>
          <w:szCs w:val="22"/>
        </w:rPr>
      </w:pPr>
    </w:p>
    <w:p w14:paraId="6FD7A797" w14:textId="28BC1335" w:rsidR="00826694" w:rsidRDefault="00826694" w:rsidP="009156B8">
      <w:pPr>
        <w:pStyle w:val="PlainText"/>
        <w:ind w:left="1080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Table 9</w:t>
      </w:r>
      <w:r w:rsidRPr="00B979FD">
        <w:rPr>
          <w:rFonts w:ascii="Arial" w:hAnsi="Arial" w:cs="Times New Roman"/>
          <w:b/>
          <w:sz w:val="22"/>
          <w:szCs w:val="22"/>
        </w:rPr>
        <w:t xml:space="preserve">: </w:t>
      </w:r>
      <w:r>
        <w:rPr>
          <w:rFonts w:ascii="Arial" w:hAnsi="Arial" w:cs="Times New Roman"/>
          <w:b/>
          <w:sz w:val="22"/>
          <w:szCs w:val="22"/>
        </w:rPr>
        <w:t>Estrogen-CVD mortality association</w:t>
      </w:r>
      <w:r w:rsidR="00905C34">
        <w:rPr>
          <w:rFonts w:ascii="Arial" w:hAnsi="Arial" w:cs="Times New Roman"/>
          <w:b/>
          <w:sz w:val="22"/>
          <w:szCs w:val="22"/>
        </w:rPr>
        <w:t>*</w:t>
      </w:r>
    </w:p>
    <w:tbl>
      <w:tblPr>
        <w:tblW w:w="8560" w:type="dxa"/>
        <w:jc w:val="center"/>
        <w:tblInd w:w="93" w:type="dxa"/>
        <w:tblLook w:val="04A0" w:firstRow="1" w:lastRow="0" w:firstColumn="1" w:lastColumn="0" w:noHBand="0" w:noVBand="1"/>
      </w:tblPr>
      <w:tblGrid>
        <w:gridCol w:w="1520"/>
        <w:gridCol w:w="2496"/>
        <w:gridCol w:w="1144"/>
        <w:gridCol w:w="2331"/>
        <w:gridCol w:w="1069"/>
      </w:tblGrid>
      <w:tr w:rsidR="00826694" w:rsidRPr="00B979FD" w14:paraId="2DAE274F" w14:textId="77777777" w:rsidTr="00826694">
        <w:trPr>
          <w:trHeight w:val="260"/>
          <w:jc w:val="center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477D" w14:textId="77777777" w:rsidR="00826694" w:rsidRPr="00B979FD" w:rsidRDefault="00826694" w:rsidP="0082669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79FD">
              <w:rPr>
                <w:rFonts w:ascii="Arial" w:hAnsi="Arial" w:cs="Arial"/>
                <w:b/>
                <w:bCs/>
                <w:color w:val="000000"/>
              </w:rPr>
              <w:t>Variable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45528" w14:textId="57ECCFCD" w:rsidR="00826694" w:rsidRPr="00B979FD" w:rsidRDefault="00905C34" w:rsidP="00905C3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Una</w:t>
            </w:r>
            <w:r w:rsidR="00826694" w:rsidRPr="00B979FD">
              <w:rPr>
                <w:rFonts w:ascii="Arial" w:hAnsi="Arial" w:cs="Arial"/>
                <w:b/>
                <w:bCs/>
                <w:color w:val="000000"/>
              </w:rPr>
              <w:t>djusted for prior CVD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DC0F" w14:textId="77777777" w:rsidR="00826694" w:rsidRPr="00B979FD" w:rsidRDefault="00826694" w:rsidP="008266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79FD">
              <w:rPr>
                <w:rFonts w:ascii="Arial" w:hAnsi="Arial" w:cs="Arial"/>
                <w:b/>
                <w:bCs/>
                <w:color w:val="000000"/>
              </w:rPr>
              <w:t>Adjusted for prior CVD, age</w:t>
            </w:r>
          </w:p>
        </w:tc>
      </w:tr>
      <w:tr w:rsidR="00826694" w:rsidRPr="00B979FD" w14:paraId="4CC2B594" w14:textId="77777777" w:rsidTr="00826694">
        <w:trPr>
          <w:trHeight w:val="280"/>
          <w:jc w:val="center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6BEEB" w14:textId="77777777" w:rsidR="00826694" w:rsidRPr="00B979FD" w:rsidRDefault="00826694" w:rsidP="00826694">
            <w:pPr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70036" w14:textId="3F99C866" w:rsidR="00826694" w:rsidRPr="00B979FD" w:rsidRDefault="00905C34" w:rsidP="008266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(R</w:t>
            </w:r>
            <w:r w:rsidR="00826694" w:rsidRPr="00B979FD">
              <w:rPr>
                <w:rFonts w:ascii="Arial" w:hAnsi="Arial" w:cs="Arial"/>
                <w:color w:val="000000"/>
              </w:rPr>
              <w:t>R, 95% CI)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CBFE" w14:textId="77777777" w:rsidR="00826694" w:rsidRPr="00B979FD" w:rsidRDefault="00826694" w:rsidP="00826694">
            <w:pPr>
              <w:jc w:val="center"/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p-value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1A7D6" w14:textId="1AD336C6" w:rsidR="00826694" w:rsidRPr="00B979FD" w:rsidRDefault="00A30575" w:rsidP="008266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(aR</w:t>
            </w:r>
            <w:r w:rsidR="00826694" w:rsidRPr="00B979FD">
              <w:rPr>
                <w:rFonts w:ascii="Arial" w:hAnsi="Arial" w:cs="Arial"/>
                <w:color w:val="000000"/>
              </w:rPr>
              <w:t>R, 95% CI)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0B168" w14:textId="77777777" w:rsidR="00826694" w:rsidRPr="00B979FD" w:rsidRDefault="00826694" w:rsidP="00826694">
            <w:pPr>
              <w:jc w:val="center"/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p-value</w:t>
            </w:r>
          </w:p>
        </w:tc>
      </w:tr>
      <w:tr w:rsidR="00826694" w:rsidRPr="00B979FD" w14:paraId="65151541" w14:textId="77777777" w:rsidTr="00826694">
        <w:trPr>
          <w:trHeight w:val="280"/>
          <w:jc w:val="center"/>
        </w:trPr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CBD97" w14:textId="77777777" w:rsidR="00826694" w:rsidRPr="00B979FD" w:rsidRDefault="00826694" w:rsidP="00826694">
            <w:pPr>
              <w:rPr>
                <w:rFonts w:ascii="Arial" w:hAnsi="Arial" w:cs="Arial"/>
                <w:color w:val="000000"/>
              </w:rPr>
            </w:pPr>
            <w:r w:rsidRPr="00B979FD">
              <w:rPr>
                <w:rFonts w:ascii="Arial" w:hAnsi="Arial" w:cs="Arial"/>
                <w:color w:val="000000"/>
              </w:rPr>
              <w:t>Estrogen use</w:t>
            </w:r>
          </w:p>
        </w:tc>
        <w:tc>
          <w:tcPr>
            <w:tcW w:w="2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226FE" w14:textId="116502B6" w:rsidR="00826694" w:rsidRPr="00B979FD" w:rsidRDefault="00905C34" w:rsidP="008266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0.26 (0.08, 0.81</w:t>
            </w:r>
            <w:r w:rsidRPr="00D5297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AFA6" w14:textId="52EA9894" w:rsidR="00826694" w:rsidRPr="00B979FD" w:rsidRDefault="00905C34" w:rsidP="008266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0.02</w:t>
            </w:r>
          </w:p>
        </w:tc>
        <w:tc>
          <w:tcPr>
            <w:tcW w:w="23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530D3" w14:textId="5A12D389" w:rsidR="00826694" w:rsidRPr="00B979FD" w:rsidRDefault="00905C34" w:rsidP="00905C3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</w:t>
            </w:r>
            <w:r w:rsidR="00826694" w:rsidRPr="00B979FD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0 (0.08, 1.11</w:t>
            </w:r>
            <w:r w:rsidR="00826694" w:rsidRPr="00B979F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0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EC6FF" w14:textId="77D147FA" w:rsidR="00826694" w:rsidRPr="00B979FD" w:rsidRDefault="00905C34" w:rsidP="0082669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0.07</w:t>
            </w:r>
          </w:p>
        </w:tc>
      </w:tr>
    </w:tbl>
    <w:p w14:paraId="0E6143DA" w14:textId="77777777" w:rsidR="00905C34" w:rsidRPr="00826694" w:rsidRDefault="00905C34" w:rsidP="00905C34">
      <w:pPr>
        <w:pStyle w:val="PlainText"/>
        <w:ind w:left="1080"/>
        <w:rPr>
          <w:rFonts w:ascii="Arial" w:hAnsi="Arial" w:cs="Times New Roman"/>
          <w:sz w:val="18"/>
          <w:szCs w:val="18"/>
        </w:rPr>
      </w:pPr>
      <w:r w:rsidRPr="00826694">
        <w:rPr>
          <w:rFonts w:ascii="Arial" w:hAnsi="Arial" w:cs="Times New Roman"/>
          <w:sz w:val="18"/>
          <w:szCs w:val="18"/>
        </w:rPr>
        <w:t>*Generalized linear model</w:t>
      </w:r>
    </w:p>
    <w:p w14:paraId="4474BEAA" w14:textId="77777777" w:rsidR="00905C34" w:rsidRDefault="00905C34" w:rsidP="00905C34">
      <w:pPr>
        <w:pStyle w:val="PlainText"/>
        <w:ind w:left="1080"/>
        <w:rPr>
          <w:rFonts w:ascii="Arial" w:hAnsi="Arial" w:cs="Times New Roman"/>
          <w:b/>
          <w:sz w:val="22"/>
          <w:szCs w:val="22"/>
        </w:rPr>
      </w:pPr>
    </w:p>
    <w:p w14:paraId="699DF950" w14:textId="36FDC8A7" w:rsidR="00291231" w:rsidRDefault="00905C34" w:rsidP="00291231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  <w:r>
        <w:rPr>
          <w:rFonts w:ascii="Arial" w:hAnsi="Arial" w:cs="Times New Roman"/>
          <w:i/>
          <w:sz w:val="22"/>
          <w:szCs w:val="22"/>
        </w:rPr>
        <w:t>Similar response as 2 (e)</w:t>
      </w:r>
    </w:p>
    <w:p w14:paraId="6C726347" w14:textId="77777777" w:rsidR="00291231" w:rsidRPr="00413717" w:rsidRDefault="00291231" w:rsidP="00291231">
      <w:pPr>
        <w:pStyle w:val="PlainText"/>
        <w:ind w:left="1080"/>
        <w:rPr>
          <w:rFonts w:ascii="Arial" w:hAnsi="Arial" w:cs="Times New Roman"/>
          <w:i/>
          <w:sz w:val="22"/>
          <w:szCs w:val="22"/>
        </w:rPr>
      </w:pPr>
    </w:p>
    <w:p w14:paraId="7B57863D" w14:textId="77777777" w:rsidR="00291231" w:rsidRPr="006E0D35" w:rsidRDefault="00291231" w:rsidP="00291231">
      <w:pPr>
        <w:pStyle w:val="PlainText"/>
        <w:numPr>
          <w:ilvl w:val="1"/>
          <w:numId w:val="1"/>
        </w:numPr>
        <w:rPr>
          <w:rFonts w:ascii="Arial" w:hAnsi="Arial" w:cs="Times New Roman"/>
          <w:sz w:val="22"/>
          <w:szCs w:val="22"/>
        </w:rPr>
      </w:pPr>
      <w:r w:rsidRPr="006E0D35">
        <w:rPr>
          <w:rFonts w:ascii="Arial" w:hAnsi="Arial" w:cs="Times New Roman"/>
          <w:sz w:val="22"/>
          <w:szCs w:val="22"/>
        </w:rPr>
        <w:t>Provide complete statistical inference regarding an association between estrogen and CVD mortality after adjustment for age and any prior history of CVD.</w:t>
      </w:r>
    </w:p>
    <w:p w14:paraId="67C5BE48" w14:textId="77777777" w:rsidR="00291231" w:rsidRDefault="00291231" w:rsidP="00291231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344BE0ED" w14:textId="59183461" w:rsidR="00CA36C9" w:rsidRPr="00905C34" w:rsidRDefault="00905C34" w:rsidP="00905C34">
      <w:pPr>
        <w:pStyle w:val="PlainText"/>
        <w:ind w:left="1080"/>
        <w:rPr>
          <w:rFonts w:ascii="Arial" w:hAnsi="Arial" w:cs="Arial"/>
          <w:i/>
          <w:sz w:val="22"/>
          <w:szCs w:val="22"/>
        </w:rPr>
      </w:pPr>
      <w:r w:rsidRPr="00905C34">
        <w:rPr>
          <w:rFonts w:ascii="Arial" w:hAnsi="Arial" w:cs="Arial"/>
          <w:i/>
          <w:sz w:val="22"/>
          <w:szCs w:val="22"/>
        </w:rPr>
        <w:t>Similar response to 2 (f)</w:t>
      </w:r>
    </w:p>
    <w:p w14:paraId="410788CF" w14:textId="77777777" w:rsidR="00905C34" w:rsidRDefault="00905C34" w:rsidP="00905C34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74F5A860" w14:textId="77777777" w:rsidR="00E810C9" w:rsidRPr="006E0D35" w:rsidRDefault="00E810C9" w:rsidP="00905C34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5E00A6DB" w14:textId="77777777" w:rsidR="00CA36C9" w:rsidRPr="006E0D35" w:rsidRDefault="00CA36C9" w:rsidP="00CA36C9">
      <w:pPr>
        <w:pStyle w:val="Plai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0D35">
        <w:rPr>
          <w:rFonts w:ascii="Arial" w:hAnsi="Arial" w:cs="Arial"/>
          <w:sz w:val="22"/>
          <w:szCs w:val="22"/>
        </w:rPr>
        <w:t>Of the three measures of association used above, how similar were the conclusions? What are the relative advantages and disadvantages of the three?</w:t>
      </w:r>
    </w:p>
    <w:p w14:paraId="5A0E19B1" w14:textId="77777777" w:rsidR="00CA36C9" w:rsidRPr="006E0D35" w:rsidRDefault="00CA36C9" w:rsidP="00CA36C9">
      <w:pPr>
        <w:pStyle w:val="PlainText"/>
        <w:rPr>
          <w:rFonts w:ascii="Arial" w:hAnsi="Arial" w:cs="Arial"/>
          <w:sz w:val="22"/>
          <w:szCs w:val="22"/>
        </w:rPr>
      </w:pPr>
    </w:p>
    <w:p w14:paraId="69FC77FC" w14:textId="67D7C507" w:rsidR="002102E0" w:rsidRPr="000E027A" w:rsidRDefault="007F7189">
      <w:pPr>
        <w:rPr>
          <w:rFonts w:ascii="Arial" w:hAnsi="Arial" w:cs="Arial"/>
          <w:i/>
          <w:sz w:val="22"/>
          <w:szCs w:val="22"/>
        </w:rPr>
      </w:pPr>
      <w:r w:rsidRPr="000E027A">
        <w:rPr>
          <w:rFonts w:ascii="Arial" w:hAnsi="Arial" w:cs="Arial"/>
          <w:i/>
          <w:sz w:val="22"/>
          <w:szCs w:val="22"/>
        </w:rPr>
        <w:t>The OR and RR estimates of the association between post-menopausal estrogen use and CVD mortality were similar</w:t>
      </w:r>
      <w:r w:rsidR="000E027A">
        <w:rPr>
          <w:rFonts w:ascii="Arial" w:hAnsi="Arial" w:cs="Arial"/>
          <w:i/>
          <w:sz w:val="22"/>
          <w:szCs w:val="22"/>
        </w:rPr>
        <w:t>. This is because the</w:t>
      </w:r>
      <w:r w:rsidR="000E027A" w:rsidRPr="000E027A">
        <w:rPr>
          <w:rFonts w:ascii="Arial" w:hAnsi="Arial" w:cs="Arial"/>
          <w:i/>
          <w:sz w:val="22"/>
          <w:szCs w:val="22"/>
        </w:rPr>
        <w:t xml:space="preserve"> </w:t>
      </w:r>
      <w:r w:rsidRPr="000E027A">
        <w:rPr>
          <w:rFonts w:ascii="Arial" w:hAnsi="Arial" w:cs="Arial"/>
          <w:i/>
          <w:sz w:val="22"/>
          <w:szCs w:val="22"/>
        </w:rPr>
        <w:t xml:space="preserve">outcome </w:t>
      </w:r>
      <w:r w:rsidR="000E027A" w:rsidRPr="000E027A">
        <w:rPr>
          <w:rFonts w:ascii="Arial" w:hAnsi="Arial" w:cs="Arial"/>
          <w:i/>
          <w:sz w:val="22"/>
          <w:szCs w:val="22"/>
        </w:rPr>
        <w:t xml:space="preserve">(CVD mortality) </w:t>
      </w:r>
      <w:r w:rsidRPr="000E027A">
        <w:rPr>
          <w:rFonts w:ascii="Arial" w:hAnsi="Arial" w:cs="Arial"/>
          <w:i/>
          <w:sz w:val="22"/>
          <w:szCs w:val="22"/>
        </w:rPr>
        <w:t>was rare</w:t>
      </w:r>
      <w:r w:rsidR="000E027A" w:rsidRPr="000E027A">
        <w:rPr>
          <w:rFonts w:ascii="Arial" w:hAnsi="Arial" w:cs="Arial"/>
          <w:i/>
          <w:sz w:val="22"/>
          <w:szCs w:val="22"/>
        </w:rPr>
        <w:t xml:space="preserve"> (3%), a</w:t>
      </w:r>
      <w:r w:rsidR="000E027A">
        <w:rPr>
          <w:rFonts w:ascii="Arial" w:hAnsi="Arial" w:cs="Arial"/>
          <w:i/>
          <w:sz w:val="22"/>
          <w:szCs w:val="22"/>
        </w:rPr>
        <w:t>nd therefore the OR approximated</w:t>
      </w:r>
      <w:r w:rsidR="000E027A" w:rsidRPr="000E027A">
        <w:rPr>
          <w:rFonts w:ascii="Arial" w:hAnsi="Arial" w:cs="Arial"/>
          <w:i/>
          <w:sz w:val="22"/>
          <w:szCs w:val="22"/>
        </w:rPr>
        <w:t xml:space="preserve"> the RR</w:t>
      </w:r>
      <w:r w:rsidR="00834C21">
        <w:rPr>
          <w:rFonts w:ascii="Arial" w:hAnsi="Arial" w:cs="Arial"/>
          <w:i/>
          <w:sz w:val="22"/>
          <w:szCs w:val="22"/>
        </w:rPr>
        <w:t xml:space="preserve"> (0.25 vs. 0.26)</w:t>
      </w:r>
      <w:r w:rsidR="000E027A" w:rsidRPr="000E027A">
        <w:rPr>
          <w:rFonts w:ascii="Arial" w:hAnsi="Arial" w:cs="Arial"/>
          <w:i/>
          <w:sz w:val="22"/>
          <w:szCs w:val="22"/>
        </w:rPr>
        <w:t xml:space="preserve">. </w:t>
      </w:r>
      <w:r w:rsidR="00834C21">
        <w:rPr>
          <w:rFonts w:ascii="Arial" w:hAnsi="Arial" w:cs="Arial"/>
          <w:i/>
          <w:sz w:val="22"/>
          <w:szCs w:val="22"/>
        </w:rPr>
        <w:t>The OR was &lt;1, and therefore smaller than the RR</w:t>
      </w:r>
      <w:r w:rsidR="00290589">
        <w:rPr>
          <w:rFonts w:ascii="Arial" w:hAnsi="Arial" w:cs="Arial"/>
          <w:i/>
          <w:sz w:val="22"/>
          <w:szCs w:val="22"/>
        </w:rPr>
        <w:t>. The RD is an absolute measure of risk</w:t>
      </w:r>
      <w:r w:rsidR="00E810C9">
        <w:rPr>
          <w:rFonts w:ascii="Arial" w:hAnsi="Arial" w:cs="Arial"/>
          <w:i/>
          <w:sz w:val="22"/>
          <w:szCs w:val="22"/>
        </w:rPr>
        <w:t>, and is therefore more clinically meaningful</w:t>
      </w:r>
      <w:r w:rsidR="00290589">
        <w:rPr>
          <w:rFonts w:ascii="Arial" w:hAnsi="Arial" w:cs="Arial"/>
          <w:i/>
          <w:sz w:val="22"/>
          <w:szCs w:val="22"/>
        </w:rPr>
        <w:t>.</w:t>
      </w:r>
    </w:p>
    <w:p w14:paraId="2D8204D1" w14:textId="77777777" w:rsidR="000E027A" w:rsidRPr="000E027A" w:rsidRDefault="000E027A">
      <w:pPr>
        <w:rPr>
          <w:rFonts w:ascii="Arial" w:hAnsi="Arial" w:cs="Arial"/>
          <w:i/>
          <w:sz w:val="22"/>
          <w:szCs w:val="22"/>
        </w:rPr>
      </w:pPr>
    </w:p>
    <w:p w14:paraId="02CB7C6C" w14:textId="69B5E4E5" w:rsidR="00644C61" w:rsidRPr="00644C61" w:rsidRDefault="00644C61">
      <w:pPr>
        <w:rPr>
          <w:rFonts w:ascii="Arial" w:hAnsi="Arial" w:cs="Arial"/>
          <w:i/>
          <w:sz w:val="22"/>
          <w:szCs w:val="22"/>
          <w:u w:val="single"/>
        </w:rPr>
      </w:pPr>
      <w:r w:rsidRPr="00644C61">
        <w:rPr>
          <w:rFonts w:ascii="Arial" w:hAnsi="Arial" w:cs="Arial"/>
          <w:i/>
          <w:sz w:val="22"/>
          <w:szCs w:val="22"/>
          <w:u w:val="single"/>
        </w:rPr>
        <w:t>Relative risk</w:t>
      </w:r>
    </w:p>
    <w:p w14:paraId="6FFF8C22" w14:textId="7D266467" w:rsidR="000E027A" w:rsidRDefault="00644C6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Pros:</w:t>
      </w:r>
      <w:r w:rsidR="000E027A">
        <w:rPr>
          <w:rFonts w:ascii="Arial" w:hAnsi="Arial" w:cs="Arial"/>
          <w:i/>
          <w:sz w:val="22"/>
          <w:szCs w:val="22"/>
        </w:rPr>
        <w:t xml:space="preserve"> provides information about </w:t>
      </w:r>
      <w:r w:rsidR="005E474A">
        <w:rPr>
          <w:rFonts w:ascii="Arial" w:hAnsi="Arial" w:cs="Arial"/>
          <w:i/>
          <w:sz w:val="22"/>
          <w:szCs w:val="22"/>
        </w:rPr>
        <w:t xml:space="preserve">the relative effect of </w:t>
      </w:r>
      <w:r w:rsidR="000E027A">
        <w:rPr>
          <w:rFonts w:ascii="Arial" w:hAnsi="Arial" w:cs="Arial"/>
          <w:i/>
          <w:sz w:val="22"/>
          <w:szCs w:val="22"/>
        </w:rPr>
        <w:t xml:space="preserve">estrogen use </w:t>
      </w:r>
      <w:r w:rsidR="005E474A">
        <w:rPr>
          <w:rFonts w:ascii="Arial" w:hAnsi="Arial" w:cs="Arial"/>
          <w:i/>
          <w:sz w:val="22"/>
          <w:szCs w:val="22"/>
        </w:rPr>
        <w:t>on</w:t>
      </w:r>
      <w:r w:rsidR="000E027A">
        <w:rPr>
          <w:rFonts w:ascii="Arial" w:hAnsi="Arial" w:cs="Arial"/>
          <w:i/>
          <w:sz w:val="22"/>
          <w:szCs w:val="22"/>
        </w:rPr>
        <w:t xml:space="preserve"> CVD mortality.</w:t>
      </w:r>
      <w:r w:rsidR="005E474A">
        <w:rPr>
          <w:rFonts w:ascii="Arial" w:hAnsi="Arial" w:cs="Arial"/>
          <w:i/>
          <w:sz w:val="22"/>
          <w:szCs w:val="22"/>
        </w:rPr>
        <w:t xml:space="preserve"> Can be used to summarize the evidence about the estrogen-CVD mortality association.</w:t>
      </w:r>
    </w:p>
    <w:p w14:paraId="021B25EC" w14:textId="5DFB4BA6" w:rsidR="00644C61" w:rsidRDefault="00644C6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Cons: unlike AR or PAR, is not directly applicable to public health practice</w:t>
      </w:r>
      <w:r w:rsidR="005E474A">
        <w:rPr>
          <w:rFonts w:ascii="Arial" w:hAnsi="Arial" w:cs="Arial"/>
          <w:i/>
          <w:sz w:val="22"/>
          <w:szCs w:val="22"/>
        </w:rPr>
        <w:t>.</w:t>
      </w:r>
      <w:r w:rsidR="00834C21">
        <w:rPr>
          <w:rFonts w:ascii="Arial" w:hAnsi="Arial" w:cs="Arial"/>
          <w:i/>
          <w:sz w:val="22"/>
          <w:szCs w:val="22"/>
        </w:rPr>
        <w:t xml:space="preserve"> </w:t>
      </w:r>
    </w:p>
    <w:p w14:paraId="7199CF27" w14:textId="77777777" w:rsidR="00644C61" w:rsidRDefault="00644C61">
      <w:pPr>
        <w:rPr>
          <w:rFonts w:ascii="Arial" w:hAnsi="Arial" w:cs="Arial"/>
          <w:i/>
          <w:sz w:val="22"/>
          <w:szCs w:val="22"/>
        </w:rPr>
      </w:pPr>
    </w:p>
    <w:p w14:paraId="6148D2B6" w14:textId="77777777" w:rsidR="00644C61" w:rsidRPr="00644C61" w:rsidRDefault="000E027A">
      <w:pPr>
        <w:rPr>
          <w:rFonts w:ascii="Arial" w:hAnsi="Arial" w:cs="Arial"/>
          <w:i/>
          <w:sz w:val="22"/>
          <w:szCs w:val="22"/>
          <w:u w:val="single"/>
        </w:rPr>
      </w:pPr>
      <w:r w:rsidRPr="00644C61">
        <w:rPr>
          <w:rFonts w:ascii="Arial" w:hAnsi="Arial" w:cs="Arial"/>
          <w:i/>
          <w:sz w:val="22"/>
          <w:szCs w:val="22"/>
          <w:u w:val="single"/>
        </w:rPr>
        <w:t>Odds ratio</w:t>
      </w:r>
    </w:p>
    <w:p w14:paraId="073039EC" w14:textId="4214A179" w:rsidR="000E027A" w:rsidRDefault="00644C6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Pros</w:t>
      </w:r>
      <w:r w:rsidR="000E027A"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i/>
          <w:sz w:val="22"/>
          <w:szCs w:val="22"/>
        </w:rPr>
        <w:t xml:space="preserve"> can be used in a variety of study designs (cohort, case-control, cross-sectional), and</w:t>
      </w:r>
      <w:r w:rsidR="000E027A">
        <w:rPr>
          <w:rFonts w:ascii="Arial" w:hAnsi="Arial" w:cs="Arial"/>
          <w:i/>
          <w:sz w:val="22"/>
          <w:szCs w:val="22"/>
        </w:rPr>
        <w:t xml:space="preserve"> is a valid measure of association since it approximates the RR given the rare </w:t>
      </w:r>
      <w:r>
        <w:rPr>
          <w:rFonts w:ascii="Arial" w:hAnsi="Arial" w:cs="Arial"/>
          <w:i/>
          <w:sz w:val="22"/>
          <w:szCs w:val="22"/>
        </w:rPr>
        <w:t xml:space="preserve">disease </w:t>
      </w:r>
      <w:r w:rsidR="000E027A">
        <w:rPr>
          <w:rFonts w:ascii="Arial" w:hAnsi="Arial" w:cs="Arial"/>
          <w:i/>
          <w:sz w:val="22"/>
          <w:szCs w:val="22"/>
        </w:rPr>
        <w:t>outcome.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5AC33DA" w14:textId="6452F7DA" w:rsidR="00644C61" w:rsidRDefault="00644C6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Cons:</w:t>
      </w:r>
      <w:r w:rsidR="00834C21">
        <w:rPr>
          <w:rFonts w:ascii="Arial" w:hAnsi="Arial" w:cs="Arial"/>
          <w:i/>
          <w:sz w:val="22"/>
          <w:szCs w:val="22"/>
        </w:rPr>
        <w:t xml:space="preserve"> </w:t>
      </w:r>
      <w:r w:rsidR="005E474A">
        <w:rPr>
          <w:rFonts w:ascii="Arial" w:hAnsi="Arial" w:cs="Arial"/>
          <w:i/>
          <w:sz w:val="22"/>
          <w:szCs w:val="22"/>
        </w:rPr>
        <w:t xml:space="preserve">compared with a relative risk, </w:t>
      </w:r>
      <w:r w:rsidR="00834C21">
        <w:rPr>
          <w:rFonts w:ascii="Arial" w:hAnsi="Arial" w:cs="Arial"/>
          <w:i/>
          <w:sz w:val="22"/>
          <w:szCs w:val="22"/>
        </w:rPr>
        <w:t>would overestimate the effect of estrogen on CVD mortality if that outcome was common (i.e., &gt;10%)</w:t>
      </w:r>
    </w:p>
    <w:p w14:paraId="6C047B79" w14:textId="77777777" w:rsidR="00644C61" w:rsidRDefault="00644C61">
      <w:pPr>
        <w:rPr>
          <w:rFonts w:ascii="Arial" w:hAnsi="Arial" w:cs="Arial"/>
          <w:i/>
          <w:sz w:val="22"/>
          <w:szCs w:val="22"/>
        </w:rPr>
      </w:pPr>
    </w:p>
    <w:p w14:paraId="5BAE9342" w14:textId="77777777" w:rsidR="00E810C9" w:rsidRDefault="00E810C9" w:rsidP="00644C61">
      <w:pPr>
        <w:rPr>
          <w:rFonts w:ascii="Arial" w:hAnsi="Arial" w:cs="Arial"/>
          <w:i/>
          <w:sz w:val="22"/>
          <w:szCs w:val="22"/>
          <w:u w:val="single"/>
        </w:rPr>
      </w:pPr>
    </w:p>
    <w:p w14:paraId="5354232B" w14:textId="77777777" w:rsidR="00E810C9" w:rsidRDefault="00E810C9" w:rsidP="00644C61">
      <w:pPr>
        <w:rPr>
          <w:rFonts w:ascii="Arial" w:hAnsi="Arial" w:cs="Arial"/>
          <w:i/>
          <w:sz w:val="22"/>
          <w:szCs w:val="22"/>
          <w:u w:val="single"/>
        </w:rPr>
      </w:pPr>
    </w:p>
    <w:p w14:paraId="76CEFE9B" w14:textId="77777777" w:rsidR="00644C61" w:rsidRPr="00644C61" w:rsidRDefault="00644C61" w:rsidP="00644C61">
      <w:pPr>
        <w:rPr>
          <w:rFonts w:ascii="Arial" w:hAnsi="Arial" w:cs="Arial"/>
          <w:i/>
          <w:sz w:val="22"/>
          <w:szCs w:val="22"/>
          <w:u w:val="single"/>
        </w:rPr>
      </w:pPr>
      <w:r w:rsidRPr="00644C61">
        <w:rPr>
          <w:rFonts w:ascii="Arial" w:hAnsi="Arial" w:cs="Arial"/>
          <w:i/>
          <w:sz w:val="22"/>
          <w:szCs w:val="22"/>
          <w:u w:val="single"/>
        </w:rPr>
        <w:t>Risk difference</w:t>
      </w:r>
    </w:p>
    <w:p w14:paraId="0301CAD5" w14:textId="0F49573A" w:rsidR="00644C61" w:rsidRDefault="00644C61" w:rsidP="00644C6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Pros: </w:t>
      </w:r>
      <w:r w:rsidR="00834C21">
        <w:rPr>
          <w:rFonts w:ascii="Arial" w:hAnsi="Arial" w:cs="Arial"/>
          <w:i/>
          <w:sz w:val="22"/>
          <w:szCs w:val="22"/>
        </w:rPr>
        <w:t xml:space="preserve">provides information on </w:t>
      </w:r>
      <w:r w:rsidR="00E810C9">
        <w:rPr>
          <w:rFonts w:ascii="Arial" w:hAnsi="Arial" w:cs="Arial"/>
          <w:i/>
          <w:sz w:val="22"/>
          <w:szCs w:val="22"/>
        </w:rPr>
        <w:t xml:space="preserve">absolute </w:t>
      </w:r>
      <w:r w:rsidR="00834C21">
        <w:rPr>
          <w:rFonts w:ascii="Arial" w:hAnsi="Arial" w:cs="Arial"/>
          <w:i/>
          <w:sz w:val="22"/>
          <w:szCs w:val="22"/>
        </w:rPr>
        <w:t>risk of CVD death without estrogen use, and risk reduction associated with treatment, i.e. t</w:t>
      </w:r>
      <w:r>
        <w:rPr>
          <w:rFonts w:ascii="Arial" w:hAnsi="Arial" w:cs="Arial"/>
          <w:i/>
          <w:sz w:val="22"/>
          <w:szCs w:val="22"/>
        </w:rPr>
        <w:t xml:space="preserve">he number of CVD deaths that might be preventable </w:t>
      </w:r>
      <w:r w:rsidR="00834C21">
        <w:rPr>
          <w:rFonts w:ascii="Arial" w:hAnsi="Arial" w:cs="Arial"/>
          <w:i/>
          <w:sz w:val="22"/>
          <w:szCs w:val="22"/>
        </w:rPr>
        <w:t>by treatment with post-menopausal estrogen, which is useful in clinical practice.</w:t>
      </w:r>
    </w:p>
    <w:p w14:paraId="65DB194D" w14:textId="07055BD7" w:rsidR="00644C61" w:rsidRPr="000E027A" w:rsidRDefault="00834C2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Cons: </w:t>
      </w:r>
      <w:r w:rsidR="00DF18E6">
        <w:rPr>
          <w:rFonts w:ascii="Arial" w:hAnsi="Arial" w:cs="Arial"/>
          <w:i/>
          <w:sz w:val="22"/>
          <w:szCs w:val="22"/>
        </w:rPr>
        <w:t>generally precision is less</w:t>
      </w:r>
      <w:r>
        <w:rPr>
          <w:rFonts w:ascii="Arial" w:hAnsi="Arial" w:cs="Arial"/>
          <w:i/>
          <w:sz w:val="22"/>
          <w:szCs w:val="22"/>
        </w:rPr>
        <w:t xml:space="preserve"> meaningful if risks are </w:t>
      </w:r>
      <w:r w:rsidR="00DF18E6">
        <w:rPr>
          <w:rFonts w:ascii="Arial" w:hAnsi="Arial" w:cs="Arial"/>
          <w:i/>
          <w:sz w:val="22"/>
          <w:szCs w:val="22"/>
        </w:rPr>
        <w:t xml:space="preserve">not </w:t>
      </w:r>
      <w:r>
        <w:rPr>
          <w:rFonts w:ascii="Arial" w:hAnsi="Arial" w:cs="Arial"/>
          <w:i/>
          <w:sz w:val="22"/>
          <w:szCs w:val="22"/>
        </w:rPr>
        <w:t>close to</w:t>
      </w:r>
      <w:r w:rsidR="00DF18E6">
        <w:rPr>
          <w:rFonts w:ascii="Arial" w:hAnsi="Arial" w:cs="Arial"/>
          <w:i/>
          <w:sz w:val="22"/>
          <w:szCs w:val="22"/>
        </w:rPr>
        <w:t xml:space="preserve"> either</w:t>
      </w:r>
      <w:r>
        <w:rPr>
          <w:rFonts w:ascii="Arial" w:hAnsi="Arial" w:cs="Arial"/>
          <w:i/>
          <w:sz w:val="22"/>
          <w:szCs w:val="22"/>
        </w:rPr>
        <w:t xml:space="preserve"> 0 or 1.</w:t>
      </w:r>
    </w:p>
    <w:sectPr w:rsidR="00644C61" w:rsidRPr="000E027A" w:rsidSect="00C87E1E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93F67" w14:textId="77777777" w:rsidR="00A30575" w:rsidRDefault="00A30575">
      <w:r>
        <w:separator/>
      </w:r>
    </w:p>
  </w:endnote>
  <w:endnote w:type="continuationSeparator" w:id="0">
    <w:p w14:paraId="380E3913" w14:textId="77777777" w:rsidR="00A30575" w:rsidRDefault="00A3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3D359" w14:textId="77777777" w:rsidR="00A30575" w:rsidRDefault="00A30575">
      <w:r>
        <w:separator/>
      </w:r>
    </w:p>
  </w:footnote>
  <w:footnote w:type="continuationSeparator" w:id="0">
    <w:p w14:paraId="363D2BD0" w14:textId="77777777" w:rsidR="00A30575" w:rsidRDefault="00A305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3F2D7" w14:textId="77777777" w:rsidR="00A30575" w:rsidRDefault="00A30575">
    <w:pPr>
      <w:pStyle w:val="Header"/>
    </w:pPr>
    <w:r>
      <w:t>Biost 536, Fall 2013</w:t>
    </w:r>
    <w:r>
      <w:tab/>
      <w:t>Homework #2</w:t>
    </w:r>
    <w:r>
      <w:tab/>
      <w:t xml:space="preserve">October 10, 2013, </w:t>
    </w: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A65D3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9A65D3">
      <w:rPr>
        <w:noProof/>
        <w:snapToGrid w:val="0"/>
      </w:rPr>
      <w:t>2</w:t>
    </w:r>
    <w:r>
      <w:rPr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68B"/>
    <w:multiLevelType w:val="hybridMultilevel"/>
    <w:tmpl w:val="D0D034FA"/>
    <w:lvl w:ilvl="0" w:tplc="B204C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C9"/>
    <w:rsid w:val="00010BF4"/>
    <w:rsid w:val="0003050E"/>
    <w:rsid w:val="000D36D7"/>
    <w:rsid w:val="000E027A"/>
    <w:rsid w:val="000E654D"/>
    <w:rsid w:val="000F0E0E"/>
    <w:rsid w:val="0012633D"/>
    <w:rsid w:val="00134513"/>
    <w:rsid w:val="00170590"/>
    <w:rsid w:val="00171756"/>
    <w:rsid w:val="0019515A"/>
    <w:rsid w:val="00196A77"/>
    <w:rsid w:val="001C3471"/>
    <w:rsid w:val="001C6592"/>
    <w:rsid w:val="002102E0"/>
    <w:rsid w:val="00217997"/>
    <w:rsid w:val="00236A0D"/>
    <w:rsid w:val="00237228"/>
    <w:rsid w:val="00240B07"/>
    <w:rsid w:val="0024226C"/>
    <w:rsid w:val="00272F9F"/>
    <w:rsid w:val="00280633"/>
    <w:rsid w:val="00290589"/>
    <w:rsid w:val="00291231"/>
    <w:rsid w:val="002D7BBA"/>
    <w:rsid w:val="00336F1C"/>
    <w:rsid w:val="0035131F"/>
    <w:rsid w:val="00352B5E"/>
    <w:rsid w:val="003809AB"/>
    <w:rsid w:val="003D25F3"/>
    <w:rsid w:val="00413717"/>
    <w:rsid w:val="00466D6F"/>
    <w:rsid w:val="004803C1"/>
    <w:rsid w:val="004B492F"/>
    <w:rsid w:val="004B62B8"/>
    <w:rsid w:val="004C7F64"/>
    <w:rsid w:val="004D1BF3"/>
    <w:rsid w:val="004D6B31"/>
    <w:rsid w:val="004E524E"/>
    <w:rsid w:val="004F59F9"/>
    <w:rsid w:val="004F5D22"/>
    <w:rsid w:val="00531958"/>
    <w:rsid w:val="005A4663"/>
    <w:rsid w:val="005D210E"/>
    <w:rsid w:val="005D78C5"/>
    <w:rsid w:val="005E3811"/>
    <w:rsid w:val="005E474A"/>
    <w:rsid w:val="00603635"/>
    <w:rsid w:val="006362CD"/>
    <w:rsid w:val="00644C61"/>
    <w:rsid w:val="00647CD1"/>
    <w:rsid w:val="00662314"/>
    <w:rsid w:val="00685FF0"/>
    <w:rsid w:val="006B0036"/>
    <w:rsid w:val="006E0D35"/>
    <w:rsid w:val="00753040"/>
    <w:rsid w:val="00791610"/>
    <w:rsid w:val="007B0BBB"/>
    <w:rsid w:val="007D00E7"/>
    <w:rsid w:val="007E4773"/>
    <w:rsid w:val="007F4C3B"/>
    <w:rsid w:val="007F7189"/>
    <w:rsid w:val="008042E3"/>
    <w:rsid w:val="00820588"/>
    <w:rsid w:val="00826694"/>
    <w:rsid w:val="00834C21"/>
    <w:rsid w:val="00850C12"/>
    <w:rsid w:val="008656F7"/>
    <w:rsid w:val="0087445E"/>
    <w:rsid w:val="008A42D7"/>
    <w:rsid w:val="008A6FFB"/>
    <w:rsid w:val="008C42EC"/>
    <w:rsid w:val="00902682"/>
    <w:rsid w:val="00905C34"/>
    <w:rsid w:val="009156B8"/>
    <w:rsid w:val="0092542D"/>
    <w:rsid w:val="00937A91"/>
    <w:rsid w:val="00970893"/>
    <w:rsid w:val="009A65D3"/>
    <w:rsid w:val="009D3460"/>
    <w:rsid w:val="009E2D66"/>
    <w:rsid w:val="009E718D"/>
    <w:rsid w:val="00A0580D"/>
    <w:rsid w:val="00A26C2A"/>
    <w:rsid w:val="00A2723E"/>
    <w:rsid w:val="00A30575"/>
    <w:rsid w:val="00A42557"/>
    <w:rsid w:val="00A55012"/>
    <w:rsid w:val="00A8173C"/>
    <w:rsid w:val="00AA3202"/>
    <w:rsid w:val="00AE31DF"/>
    <w:rsid w:val="00AE4968"/>
    <w:rsid w:val="00AF74F9"/>
    <w:rsid w:val="00B17D05"/>
    <w:rsid w:val="00B40D02"/>
    <w:rsid w:val="00B66221"/>
    <w:rsid w:val="00B82E5F"/>
    <w:rsid w:val="00B942E2"/>
    <w:rsid w:val="00B94AEB"/>
    <w:rsid w:val="00B979FD"/>
    <w:rsid w:val="00BC1705"/>
    <w:rsid w:val="00BD6FE4"/>
    <w:rsid w:val="00C07B8A"/>
    <w:rsid w:val="00C14ABA"/>
    <w:rsid w:val="00C22B13"/>
    <w:rsid w:val="00C2483A"/>
    <w:rsid w:val="00C44168"/>
    <w:rsid w:val="00C5007B"/>
    <w:rsid w:val="00C547FD"/>
    <w:rsid w:val="00C87E1E"/>
    <w:rsid w:val="00CA36C9"/>
    <w:rsid w:val="00CB7275"/>
    <w:rsid w:val="00CC6C81"/>
    <w:rsid w:val="00CD23C4"/>
    <w:rsid w:val="00D172D7"/>
    <w:rsid w:val="00D26D0C"/>
    <w:rsid w:val="00D301DF"/>
    <w:rsid w:val="00D41FBD"/>
    <w:rsid w:val="00D52976"/>
    <w:rsid w:val="00DC39B0"/>
    <w:rsid w:val="00DD47DC"/>
    <w:rsid w:val="00DF18E6"/>
    <w:rsid w:val="00E03BE1"/>
    <w:rsid w:val="00E62876"/>
    <w:rsid w:val="00E64CC2"/>
    <w:rsid w:val="00E71106"/>
    <w:rsid w:val="00E751BC"/>
    <w:rsid w:val="00E810C9"/>
    <w:rsid w:val="00E81E81"/>
    <w:rsid w:val="00E93005"/>
    <w:rsid w:val="00E944F5"/>
    <w:rsid w:val="00E97BE2"/>
    <w:rsid w:val="00EA135B"/>
    <w:rsid w:val="00EB45D6"/>
    <w:rsid w:val="00EC22B8"/>
    <w:rsid w:val="00EC7A12"/>
    <w:rsid w:val="00ED211F"/>
    <w:rsid w:val="00EE4F21"/>
    <w:rsid w:val="00F0058D"/>
    <w:rsid w:val="00F01FAE"/>
    <w:rsid w:val="00F40E22"/>
    <w:rsid w:val="00F841A7"/>
    <w:rsid w:val="00F85F1C"/>
    <w:rsid w:val="00F9182D"/>
    <w:rsid w:val="00FD3FDC"/>
    <w:rsid w:val="00FE7662"/>
    <w:rsid w:val="00FF6C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C0C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C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36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36C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PlainText">
    <w:name w:val="Plain Text"/>
    <w:basedOn w:val="Normal"/>
    <w:link w:val="PlainTextChar"/>
    <w:rsid w:val="00CA36C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CA36C9"/>
    <w:rPr>
      <w:rFonts w:ascii="Courier New" w:eastAsia="Times New Roman" w:hAnsi="Courier New" w:cs="Courier New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E03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C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36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36C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PlainText">
    <w:name w:val="Plain Text"/>
    <w:basedOn w:val="Normal"/>
    <w:link w:val="PlainTextChar"/>
    <w:rsid w:val="00CA36C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CA36C9"/>
    <w:rPr>
      <w:rFonts w:ascii="Courier New" w:eastAsia="Times New Roman" w:hAnsi="Courier New" w:cs="Courier New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E03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8</Pages>
  <Words>2639</Words>
  <Characters>13672</Characters>
  <Application>Microsoft Macintosh Word</Application>
  <DocSecurity>0</DocSecurity>
  <Lines>488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57</cp:revision>
  <dcterms:created xsi:type="dcterms:W3CDTF">2013-10-12T17:28:00Z</dcterms:created>
  <dcterms:modified xsi:type="dcterms:W3CDTF">2013-10-17T18:31:00Z</dcterms:modified>
</cp:coreProperties>
</file>