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193" w:rsidRPr="000D661A" w:rsidRDefault="00530A8D" w:rsidP="000D661A">
      <w:pPr>
        <w:spacing w:after="0"/>
        <w:rPr>
          <w:b/>
        </w:rPr>
      </w:pPr>
      <w:r w:rsidRPr="000D661A">
        <w:rPr>
          <w:b/>
        </w:rPr>
        <w:t>BIOST 518</w:t>
      </w:r>
    </w:p>
    <w:p w:rsidR="00530A8D" w:rsidRPr="000D661A" w:rsidRDefault="00530A8D" w:rsidP="000D661A">
      <w:pPr>
        <w:spacing w:after="0"/>
        <w:rPr>
          <w:b/>
        </w:rPr>
      </w:pPr>
      <w:r w:rsidRPr="000D661A">
        <w:rPr>
          <w:b/>
        </w:rPr>
        <w:t>HW #6</w:t>
      </w:r>
    </w:p>
    <w:p w:rsidR="000D661A" w:rsidRPr="000D661A" w:rsidRDefault="000D661A">
      <w:pPr>
        <w:rPr>
          <w:b/>
        </w:rPr>
      </w:pPr>
      <w:r w:rsidRPr="000D661A">
        <w:rPr>
          <w:b/>
        </w:rPr>
        <w:t>Answers</w:t>
      </w:r>
    </w:p>
    <w:p w:rsidR="00530A8D" w:rsidRDefault="00E911B9" w:rsidP="00F95108">
      <w:r>
        <w:t>1</w:t>
      </w:r>
      <w:r w:rsidR="00166B04">
        <w:t>a</w:t>
      </w:r>
      <w:r>
        <w:t>. Methods:</w:t>
      </w:r>
      <w:r w:rsidR="00C83DD3">
        <w:t xml:space="preserve"> We investigate the association between time to death and serum LDL. We evaluate the linearity relationship between </w:t>
      </w:r>
      <w:r w:rsidR="00C83DD3" w:rsidRPr="00C83DD3">
        <w:t>log hazard</w:t>
      </w:r>
      <w:r w:rsidR="00C83DD3">
        <w:t xml:space="preserve"> function and LDL using a Cox proportional-hazards model with robust standard errors</w:t>
      </w:r>
      <w:r w:rsidR="005A34FC">
        <w:t>. As predictors we include</w:t>
      </w:r>
      <w:r w:rsidR="00C83DD3">
        <w:t xml:space="preserve"> LDL serum le</w:t>
      </w:r>
      <w:r w:rsidR="00A25B15">
        <w:t>vels and 4</w:t>
      </w:r>
      <w:r w:rsidR="005A34FC">
        <w:t xml:space="preserve"> indicator variables for different interval segments of LDL levels (</w:t>
      </w:r>
      <w:r w:rsidR="00043528">
        <w:t xml:space="preserve">in mg/dl </w:t>
      </w:r>
      <w:r w:rsidR="005A34FC">
        <w:t>70 ≤ LDL &lt; 100, 10</w:t>
      </w:r>
      <w:r w:rsidR="00A25B15">
        <w:t>0 ≤ LDL &lt; 130,  130 ≤ LDL &lt; 160 and 160 ≤ LDL &lt; 400</w:t>
      </w:r>
      <w:r w:rsidR="005A34FC">
        <w:t>; therefore subjects with LDL below 70 are used as reference).</w:t>
      </w:r>
      <w:r w:rsidR="00F95108">
        <w:t xml:space="preserve"> </w:t>
      </w:r>
      <w:r w:rsidR="00C83DD3">
        <w:t>The coefficients</w:t>
      </w:r>
      <w:r w:rsidR="00F95108">
        <w:t xml:space="preserve"> estimates </w:t>
      </w:r>
      <w:r w:rsidR="005B1B15">
        <w:t xml:space="preserve">of the indicator </w:t>
      </w:r>
      <w:r w:rsidR="00F95108">
        <w:t>are used to test the null hypothesis that a linear association log hazard ratio</w:t>
      </w:r>
      <w:r w:rsidR="005B1B15">
        <w:t xml:space="preserve"> </w:t>
      </w:r>
      <w:r w:rsidR="00F95108">
        <w:t xml:space="preserve">and </w:t>
      </w:r>
      <w:r w:rsidR="005B1B15">
        <w:t>untransformed LDL</w:t>
      </w:r>
      <w:r w:rsidR="00F95108">
        <w:t xml:space="preserve"> </w:t>
      </w:r>
      <w:r w:rsidR="005B1B15">
        <w:t>are</w:t>
      </w:r>
      <w:r w:rsidR="00F95108">
        <w:t xml:space="preserve"> adequate to describe the data. </w:t>
      </w:r>
      <w:r w:rsidR="00404183">
        <w:t>A global Wald test for the indicator variables is employed as s</w:t>
      </w:r>
      <w:r w:rsidR="005B1B15">
        <w:t>tatistical e</w:t>
      </w:r>
      <w:r w:rsidR="00F95108">
        <w:t xml:space="preserve">vidence </w:t>
      </w:r>
      <w:r w:rsidR="00404183">
        <w:t>for at</w:t>
      </w:r>
      <w:r w:rsidR="005B1B15">
        <w:t xml:space="preserve"> least one of the indicator variables</w:t>
      </w:r>
      <w:r w:rsidR="00E80A9F">
        <w:t xml:space="preserve"> coefficients</w:t>
      </w:r>
      <w:r w:rsidR="005B1B15">
        <w:t xml:space="preserve"> </w:t>
      </w:r>
      <w:r w:rsidR="00404183">
        <w:t>to be</w:t>
      </w:r>
      <w:r w:rsidR="005B1B15">
        <w:t xml:space="preserve"> different from zero</w:t>
      </w:r>
      <w:r w:rsidR="00404183">
        <w:t>; thus a</w:t>
      </w:r>
      <w:r w:rsidR="005B1B15">
        <w:t xml:space="preserve"> nonlinear association. </w:t>
      </w:r>
      <w:r w:rsidR="00F95108">
        <w:t xml:space="preserve"> 95% confidence intervals and two-sided p values were computed using Wald</w:t>
      </w:r>
      <w:r w:rsidR="005B1B15">
        <w:t xml:space="preserve"> </w:t>
      </w:r>
      <w:r w:rsidR="00F95108">
        <w:t>statistics based on the Huber-White sandwich estimator for the standard error</w:t>
      </w:r>
      <w:r w:rsidR="005B1B15">
        <w:t>.</w:t>
      </w:r>
      <w:r w:rsidR="0084219E">
        <w:t xml:space="preserve"> In all tests the significance level is set to 5%.</w:t>
      </w:r>
      <w:r w:rsidR="002C1FC4">
        <w:t xml:space="preserve"> </w:t>
      </w:r>
    </w:p>
    <w:p w:rsidR="005202F9" w:rsidRDefault="005202F9" w:rsidP="00F95108">
      <w:r>
        <w:t>Time to event on the original dataset is in days. We transformed it to years considering that each year has 365.25 days.</w:t>
      </w:r>
      <w:r w:rsidR="009B4CF7">
        <w:t xml:space="preserve"> LDL serum levels have been subtracted 1 mg/dl.</w:t>
      </w:r>
    </w:p>
    <w:p w:rsidR="003D1418" w:rsidRDefault="00CA7402">
      <w:r>
        <w:t>Results:</w:t>
      </w:r>
      <w:r w:rsidR="005202F9">
        <w:t xml:space="preserve"> </w:t>
      </w:r>
      <w:r w:rsidR="00511E22">
        <w:t>There</w:t>
      </w:r>
      <w:r w:rsidR="007A125E">
        <w:t xml:space="preserve"> are</w:t>
      </w:r>
      <w:r w:rsidR="00511E22">
        <w:t xml:space="preserve"> 735 subjects in the dataset but 10 miss LDL serum data. </w:t>
      </w:r>
      <w:r w:rsidR="005202F9">
        <w:t xml:space="preserve">Among the 725 subjects we recorded 3582.94 person-years of follow up and found 131 deaths as shown on table 1. </w:t>
      </w:r>
      <w:r w:rsidR="002E47C0">
        <w:t>The global Wald-test is 15.84 corresponding to a p-value of 0.0073 for 5 degrees of freedom. So we reject the null hypothesis of all coefficients of the model to be zero</w:t>
      </w:r>
      <w:r w:rsidR="00AC55AA">
        <w:t xml:space="preserve"> (in log hazard scale)</w:t>
      </w:r>
      <w:r w:rsidR="002E47C0">
        <w:t>; so there is</w:t>
      </w:r>
      <w:r w:rsidR="004E7754">
        <w:t xml:space="preserve"> an</w:t>
      </w:r>
      <w:r w:rsidR="002E47C0">
        <w:t xml:space="preserve"> association </w:t>
      </w:r>
      <w:r w:rsidR="0084219E">
        <w:t xml:space="preserve">between time to death and serum LDL. The global Wald-test for </w:t>
      </w:r>
      <w:r w:rsidR="0084219E" w:rsidRPr="00043528">
        <w:rPr>
          <w:rFonts w:ascii="Calibri" w:eastAsia="Times New Roman" w:hAnsi="Calibri" w:cs="Times New Roman"/>
          <w:color w:val="000000"/>
        </w:rPr>
        <w:t>LDL level</w:t>
      </w:r>
      <w:r w:rsidR="0084219E">
        <w:rPr>
          <w:rFonts w:ascii="Calibri" w:eastAsia="Times New Roman" w:hAnsi="Calibri" w:cs="Times New Roman"/>
          <w:color w:val="000000"/>
        </w:rPr>
        <w:t>s categorized has p-value &gt; 5% we fail to reject the null hypothesis that all indicator variable</w:t>
      </w:r>
      <w:r w:rsidR="003D2436">
        <w:rPr>
          <w:rFonts w:ascii="Calibri" w:eastAsia="Times New Roman" w:hAnsi="Calibri" w:cs="Times New Roman"/>
          <w:color w:val="000000"/>
        </w:rPr>
        <w:t>s (from the categorized LDL) have</w:t>
      </w:r>
      <w:r w:rsidR="0084219E">
        <w:rPr>
          <w:rFonts w:ascii="Calibri" w:eastAsia="Times New Roman" w:hAnsi="Calibri" w:cs="Times New Roman"/>
          <w:color w:val="000000"/>
        </w:rPr>
        <w:t xml:space="preserve"> coefficients equal to zero (in log hazard scale)</w:t>
      </w:r>
      <w:r w:rsidR="00376381">
        <w:rPr>
          <w:rFonts w:ascii="Calibri" w:eastAsia="Times New Roman" w:hAnsi="Calibri" w:cs="Times New Roman"/>
          <w:color w:val="000000"/>
        </w:rPr>
        <w:t>; so a linear relationship is adequate based on this model.</w:t>
      </w:r>
    </w:p>
    <w:p w:rsidR="00043528" w:rsidRDefault="005202F9">
      <w:r>
        <w:t>Table 1 – Cox proportional-hazard regression estimates with LDL and LDL categorized</w:t>
      </w:r>
      <w:r w:rsidR="00B81FEF">
        <w:t xml:space="preserve"> as predictors</w:t>
      </w:r>
    </w:p>
    <w:tbl>
      <w:tblPr>
        <w:tblW w:w="7818" w:type="dxa"/>
        <w:tblInd w:w="99" w:type="dxa"/>
        <w:tblLook w:val="04A0"/>
      </w:tblPr>
      <w:tblGrid>
        <w:gridCol w:w="4059"/>
        <w:gridCol w:w="1127"/>
        <w:gridCol w:w="1672"/>
        <w:gridCol w:w="960"/>
      </w:tblGrid>
      <w:tr w:rsidR="00043528" w:rsidRPr="00043528" w:rsidTr="00043528">
        <w:trPr>
          <w:trHeight w:val="600"/>
        </w:trPr>
        <w:tc>
          <w:tcPr>
            <w:tcW w:w="4059" w:type="dxa"/>
            <w:tcBorders>
              <w:top w:val="single" w:sz="4" w:space="0" w:color="auto"/>
              <w:left w:val="nil"/>
              <w:bottom w:val="single" w:sz="4" w:space="0" w:color="auto"/>
              <w:right w:val="nil"/>
            </w:tcBorders>
            <w:shd w:val="clear" w:color="auto" w:fill="auto"/>
            <w:vAlign w:val="center"/>
            <w:hideMark/>
          </w:tcPr>
          <w:p w:rsidR="00043528" w:rsidRPr="00043528" w:rsidRDefault="00043528" w:rsidP="00043528">
            <w:pPr>
              <w:spacing w:after="0" w:line="240" w:lineRule="auto"/>
              <w:jc w:val="center"/>
              <w:rPr>
                <w:rFonts w:ascii="Calibri" w:eastAsia="Times New Roman" w:hAnsi="Calibri" w:cs="Times New Roman"/>
                <w:b/>
                <w:bCs/>
                <w:color w:val="000000"/>
              </w:rPr>
            </w:pPr>
            <w:r w:rsidRPr="00043528">
              <w:rPr>
                <w:rFonts w:ascii="Calibri" w:eastAsia="Times New Roman" w:hAnsi="Calibri" w:cs="Times New Roman"/>
                <w:b/>
                <w:bCs/>
                <w:color w:val="000000"/>
              </w:rPr>
              <w:t>Variable</w:t>
            </w:r>
          </w:p>
        </w:tc>
        <w:tc>
          <w:tcPr>
            <w:tcW w:w="1127" w:type="dxa"/>
            <w:tcBorders>
              <w:top w:val="single" w:sz="4" w:space="0" w:color="auto"/>
              <w:left w:val="nil"/>
              <w:bottom w:val="single" w:sz="4" w:space="0" w:color="auto"/>
              <w:right w:val="nil"/>
            </w:tcBorders>
            <w:shd w:val="clear" w:color="auto" w:fill="auto"/>
            <w:vAlign w:val="center"/>
            <w:hideMark/>
          </w:tcPr>
          <w:p w:rsidR="00043528" w:rsidRPr="00043528" w:rsidRDefault="00043528" w:rsidP="00043528">
            <w:pPr>
              <w:spacing w:after="0" w:line="240" w:lineRule="auto"/>
              <w:jc w:val="center"/>
              <w:rPr>
                <w:rFonts w:ascii="Calibri" w:eastAsia="Times New Roman" w:hAnsi="Calibri" w:cs="Times New Roman"/>
                <w:b/>
                <w:bCs/>
                <w:color w:val="000000"/>
              </w:rPr>
            </w:pPr>
            <w:r w:rsidRPr="00043528">
              <w:rPr>
                <w:rFonts w:ascii="Calibri" w:eastAsia="Times New Roman" w:hAnsi="Calibri" w:cs="Times New Roman"/>
                <w:b/>
                <w:bCs/>
                <w:color w:val="000000"/>
              </w:rPr>
              <w:t>Hazard-Ratio</w:t>
            </w:r>
          </w:p>
        </w:tc>
        <w:tc>
          <w:tcPr>
            <w:tcW w:w="1672" w:type="dxa"/>
            <w:tcBorders>
              <w:top w:val="single" w:sz="4" w:space="0" w:color="auto"/>
              <w:left w:val="nil"/>
              <w:bottom w:val="single" w:sz="4" w:space="0" w:color="auto"/>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b/>
                <w:bCs/>
                <w:color w:val="000000"/>
              </w:rPr>
            </w:pPr>
            <w:r w:rsidRPr="00043528">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b/>
                <w:bCs/>
                <w:color w:val="000000"/>
              </w:rPr>
            </w:pPr>
            <w:r w:rsidRPr="00043528">
              <w:rPr>
                <w:rFonts w:ascii="Calibri" w:eastAsia="Times New Roman" w:hAnsi="Calibri" w:cs="Times New Roman"/>
                <w:b/>
                <w:bCs/>
                <w:color w:val="000000"/>
              </w:rPr>
              <w:t>p</w:t>
            </w:r>
            <w:r>
              <w:rPr>
                <w:rFonts w:ascii="Calibri" w:eastAsia="Times New Roman" w:hAnsi="Calibri" w:cs="Times New Roman"/>
                <w:b/>
                <w:bCs/>
                <w:color w:val="000000"/>
              </w:rPr>
              <w:t>-value</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Total records in the model</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725</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Person-years</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3582.94</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Total deaths</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131</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3B0176" w:rsidP="00043528">
            <w:pPr>
              <w:spacing w:after="0" w:line="240" w:lineRule="auto"/>
              <w:rPr>
                <w:rFonts w:ascii="Calibri" w:eastAsia="Times New Roman" w:hAnsi="Calibri" w:cs="Times New Roman"/>
                <w:color w:val="000000"/>
              </w:rPr>
            </w:pPr>
            <w:r>
              <w:rPr>
                <w:rFonts w:ascii="Calibri" w:eastAsia="Times New Roman" w:hAnsi="Calibri" w:cs="Times New Roman"/>
                <w:color w:val="000000"/>
              </w:rPr>
              <w:t>Untransformed LDL</w:t>
            </w:r>
            <w:r w:rsidRPr="00CB5270">
              <w:rPr>
                <w:rFonts w:ascii="Calibri" w:eastAsia="Times New Roman" w:hAnsi="Calibri" w:cs="Times New Roman"/>
                <w:color w:val="000000"/>
              </w:rPr>
              <w:t xml:space="preserve"> </w:t>
            </w:r>
            <w:r>
              <w:rPr>
                <w:rFonts w:ascii="Calibri" w:eastAsia="Times New Roman" w:hAnsi="Calibri" w:cs="Times New Roman"/>
                <w:color w:val="000000"/>
              </w:rPr>
              <w:t>– 1</w:t>
            </w:r>
            <w:r w:rsidR="00043528" w:rsidRPr="00043528">
              <w:rPr>
                <w:rFonts w:ascii="Calibri" w:eastAsia="Times New Roman" w:hAnsi="Calibri" w:cs="Times New Roman"/>
                <w:color w:val="000000"/>
              </w:rPr>
              <w:t>(mg/dl)</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0.996</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0.979 - 1.013</w:t>
            </w: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0.621</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1127"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1672"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LDL levels indicators</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ind w:firstLineChars="100" w:firstLine="220"/>
              <w:rPr>
                <w:rFonts w:ascii="Calibri" w:eastAsia="Times New Roman" w:hAnsi="Calibri" w:cs="Times New Roman"/>
                <w:color w:val="000000"/>
              </w:rPr>
            </w:pPr>
            <w:r w:rsidRPr="00043528">
              <w:rPr>
                <w:rFonts w:ascii="Calibri" w:eastAsia="Times New Roman" w:hAnsi="Calibri" w:cs="Times New Roman"/>
                <w:color w:val="000000"/>
              </w:rPr>
              <w:t>&lt; 70</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1.000</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w:t>
            </w: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ind w:firstLineChars="100" w:firstLine="220"/>
              <w:rPr>
                <w:rFonts w:ascii="Calibri" w:eastAsia="Times New Roman" w:hAnsi="Calibri" w:cs="Times New Roman"/>
                <w:color w:val="000000"/>
              </w:rPr>
            </w:pPr>
            <w:r w:rsidRPr="00043528">
              <w:rPr>
                <w:rFonts w:ascii="Calibri" w:eastAsia="Times New Roman" w:hAnsi="Calibri" w:cs="Times New Roman"/>
                <w:color w:val="000000"/>
              </w:rPr>
              <w:t>70 - 100</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0.456</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0.185 - 1.124</w:t>
            </w: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0.088</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ind w:firstLineChars="100" w:firstLine="220"/>
              <w:rPr>
                <w:rFonts w:ascii="Calibri" w:eastAsia="Times New Roman" w:hAnsi="Calibri" w:cs="Times New Roman"/>
                <w:color w:val="000000"/>
              </w:rPr>
            </w:pPr>
            <w:r w:rsidRPr="00043528">
              <w:rPr>
                <w:rFonts w:ascii="Calibri" w:eastAsia="Times New Roman" w:hAnsi="Calibri" w:cs="Times New Roman"/>
                <w:color w:val="000000"/>
              </w:rPr>
              <w:t>100 - 130</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0.508</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0.150 - 1.722</w:t>
            </w: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0.277</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ind w:firstLineChars="100" w:firstLine="220"/>
              <w:rPr>
                <w:rFonts w:ascii="Calibri" w:eastAsia="Times New Roman" w:hAnsi="Calibri" w:cs="Times New Roman"/>
                <w:color w:val="000000"/>
              </w:rPr>
            </w:pPr>
            <w:r w:rsidRPr="00043528">
              <w:rPr>
                <w:rFonts w:ascii="Calibri" w:eastAsia="Times New Roman" w:hAnsi="Calibri" w:cs="Times New Roman"/>
                <w:color w:val="000000"/>
              </w:rPr>
              <w:t>130 - 160</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0.429</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0.083 - 2.227</w:t>
            </w: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0.314</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ind w:firstLineChars="100" w:firstLine="220"/>
              <w:rPr>
                <w:rFonts w:ascii="Calibri" w:eastAsia="Times New Roman" w:hAnsi="Calibri" w:cs="Times New Roman"/>
                <w:color w:val="000000"/>
              </w:rPr>
            </w:pPr>
            <w:r w:rsidRPr="00043528">
              <w:rPr>
                <w:rFonts w:ascii="Calibri" w:eastAsia="Times New Roman" w:hAnsi="Calibri" w:cs="Times New Roman"/>
                <w:color w:val="000000"/>
              </w:rPr>
              <w:t>160 - 400</w:t>
            </w:r>
          </w:p>
        </w:tc>
        <w:tc>
          <w:tcPr>
            <w:tcW w:w="1127"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0.465</w:t>
            </w:r>
          </w:p>
        </w:tc>
        <w:tc>
          <w:tcPr>
            <w:tcW w:w="1672"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0.047 - 4.601</w:t>
            </w:r>
          </w:p>
        </w:tc>
        <w:tc>
          <w:tcPr>
            <w:tcW w:w="960" w:type="dxa"/>
            <w:tcBorders>
              <w:top w:val="nil"/>
              <w:left w:val="nil"/>
              <w:bottom w:val="nil"/>
              <w:right w:val="nil"/>
            </w:tcBorders>
            <w:shd w:val="clear" w:color="auto" w:fill="auto"/>
            <w:noWrap/>
            <w:vAlign w:val="center"/>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0.513</w:t>
            </w:r>
          </w:p>
        </w:tc>
      </w:tr>
      <w:tr w:rsidR="00043528" w:rsidRPr="00043528" w:rsidTr="00043528">
        <w:trPr>
          <w:trHeight w:val="300"/>
        </w:trPr>
        <w:tc>
          <w:tcPr>
            <w:tcW w:w="4059" w:type="dxa"/>
            <w:tcBorders>
              <w:top w:val="nil"/>
              <w:left w:val="nil"/>
              <w:bottom w:val="single" w:sz="4" w:space="0" w:color="auto"/>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 </w:t>
            </w:r>
          </w:p>
        </w:tc>
        <w:tc>
          <w:tcPr>
            <w:tcW w:w="1127" w:type="dxa"/>
            <w:tcBorders>
              <w:top w:val="nil"/>
              <w:left w:val="nil"/>
              <w:bottom w:val="single" w:sz="4" w:space="0" w:color="auto"/>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 </w:t>
            </w:r>
          </w:p>
        </w:tc>
        <w:tc>
          <w:tcPr>
            <w:tcW w:w="1672" w:type="dxa"/>
            <w:tcBorders>
              <w:top w:val="nil"/>
              <w:left w:val="nil"/>
              <w:bottom w:val="single" w:sz="4" w:space="0" w:color="auto"/>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 </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Overall model Wald-test p</w:t>
            </w:r>
            <w:r>
              <w:rPr>
                <w:rFonts w:ascii="Calibri" w:eastAsia="Times New Roman" w:hAnsi="Calibri" w:cs="Times New Roman"/>
                <w:color w:val="000000"/>
              </w:rPr>
              <w:t>-value</w:t>
            </w:r>
          </w:p>
        </w:tc>
        <w:tc>
          <w:tcPr>
            <w:tcW w:w="1127"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1672"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0.0073</w:t>
            </w:r>
          </w:p>
        </w:tc>
      </w:tr>
      <w:tr w:rsidR="00043528" w:rsidRPr="00043528" w:rsidTr="00043528">
        <w:trPr>
          <w:trHeight w:val="300"/>
        </w:trPr>
        <w:tc>
          <w:tcPr>
            <w:tcW w:w="4059"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r w:rsidRPr="00043528">
              <w:rPr>
                <w:rFonts w:ascii="Calibri" w:eastAsia="Times New Roman" w:hAnsi="Calibri" w:cs="Times New Roman"/>
                <w:color w:val="000000"/>
              </w:rPr>
              <w:t>Overall LDL categorized Wald-test p</w:t>
            </w:r>
            <w:r>
              <w:rPr>
                <w:rFonts w:ascii="Calibri" w:eastAsia="Times New Roman" w:hAnsi="Calibri" w:cs="Times New Roman"/>
                <w:color w:val="000000"/>
              </w:rPr>
              <w:t>-value</w:t>
            </w:r>
          </w:p>
        </w:tc>
        <w:tc>
          <w:tcPr>
            <w:tcW w:w="1127"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1672"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43528" w:rsidRPr="00043528" w:rsidRDefault="00043528" w:rsidP="00043528">
            <w:pPr>
              <w:spacing w:after="0" w:line="240" w:lineRule="auto"/>
              <w:jc w:val="center"/>
              <w:rPr>
                <w:rFonts w:ascii="Calibri" w:eastAsia="Times New Roman" w:hAnsi="Calibri" w:cs="Times New Roman"/>
                <w:color w:val="000000"/>
              </w:rPr>
            </w:pPr>
            <w:r w:rsidRPr="00043528">
              <w:rPr>
                <w:rFonts w:ascii="Calibri" w:eastAsia="Times New Roman" w:hAnsi="Calibri" w:cs="Times New Roman"/>
                <w:color w:val="000000"/>
              </w:rPr>
              <w:t>0.3609</w:t>
            </w:r>
          </w:p>
        </w:tc>
      </w:tr>
    </w:tbl>
    <w:p w:rsidR="00043528" w:rsidRDefault="00043528"/>
    <w:p w:rsidR="00376381" w:rsidRDefault="00166B04" w:rsidP="00376381">
      <w:r>
        <w:t>1b</w:t>
      </w:r>
      <w:r w:rsidR="00376381">
        <w:t>.</w:t>
      </w:r>
      <w:r w:rsidR="00376381" w:rsidRPr="00376381">
        <w:t xml:space="preserve"> </w:t>
      </w:r>
      <w:r w:rsidR="00376381">
        <w:t xml:space="preserve">Methods: We investigate the association between time to death and serum LDL. We evaluate the linearity relationship between </w:t>
      </w:r>
      <w:r w:rsidR="00376381" w:rsidRPr="00C83DD3">
        <w:t>log hazard</w:t>
      </w:r>
      <w:r w:rsidR="00376381">
        <w:t xml:space="preserve"> function and LDL using a Cox proportional-hazards model with robust standard errors. As predictors we include LDL serum levels and squared LDL serum levels (quadratic term). The coefficient</w:t>
      </w:r>
      <w:r w:rsidR="007A1AE8">
        <w:t xml:space="preserve"> estimate</w:t>
      </w:r>
      <w:r w:rsidR="00376381">
        <w:t xml:space="preserve"> of the </w:t>
      </w:r>
      <w:r w:rsidR="007A1AE8">
        <w:t>quadratic term is</w:t>
      </w:r>
      <w:r w:rsidR="00376381">
        <w:t xml:space="preserve"> used to test the null hypothesis that a linear association log hazard ratio and untransformed LDL are </w:t>
      </w:r>
      <w:r w:rsidR="00376381">
        <w:lastRenderedPageBreak/>
        <w:t>adequate to descr</w:t>
      </w:r>
      <w:r w:rsidR="007A1AE8">
        <w:t xml:space="preserve">ibe the data. A </w:t>
      </w:r>
      <w:r w:rsidR="00376381">
        <w:t xml:space="preserve">Wald test for the </w:t>
      </w:r>
      <w:r w:rsidR="007A1AE8">
        <w:t xml:space="preserve">quadratic term </w:t>
      </w:r>
      <w:r w:rsidR="00376381">
        <w:t xml:space="preserve">is employed as statistical evidence for </w:t>
      </w:r>
      <w:r w:rsidR="007A1AE8">
        <w:t xml:space="preserve">coefficient </w:t>
      </w:r>
      <w:r w:rsidR="00376381">
        <w:t>to be different from zero; thus a nonlinear association.  95% confidence intervals and two-sided p values were computed using Wald statistics based on the Huber-White sandwich estimator for the standard error. In all tests the significance level is set to 5%.</w:t>
      </w:r>
    </w:p>
    <w:p w:rsidR="00376381" w:rsidRDefault="00376381" w:rsidP="00376381">
      <w:r>
        <w:t>Time to event on the original dataset is in days. We transformed it to years considering that each year has 365.25 days.</w:t>
      </w:r>
      <w:r w:rsidR="001E2D8A">
        <w:t xml:space="preserve"> LDL serum leve</w:t>
      </w:r>
      <w:r w:rsidR="002C1FC4">
        <w:t>ls have been subtracted 1 mg/dl.</w:t>
      </w:r>
    </w:p>
    <w:p w:rsidR="007962A2" w:rsidRDefault="00166B04" w:rsidP="00376381">
      <w:pPr>
        <w:rPr>
          <w:rFonts w:ascii="Calibri" w:eastAsia="Times New Roman" w:hAnsi="Calibri" w:cs="Times New Roman"/>
          <w:color w:val="000000"/>
        </w:rPr>
      </w:pPr>
      <w:r>
        <w:t xml:space="preserve">Results: </w:t>
      </w:r>
      <w:r w:rsidR="00700872">
        <w:t xml:space="preserve">There are 735 subjects in the dataset but 10 miss LDL serum data. Among the 725 subjects we recorded 3582.94 person-years of follow up and found 131 deaths as shown on table </w:t>
      </w:r>
      <w:r w:rsidR="00BC012A">
        <w:t>2</w:t>
      </w:r>
      <w:r w:rsidR="006214F6">
        <w:t>. The global Wald-test is 15.28</w:t>
      </w:r>
      <w:r w:rsidR="00700872">
        <w:t xml:space="preserve"> corr</w:t>
      </w:r>
      <w:r w:rsidR="006214F6">
        <w:t>esponding to a p-value of 0.0005 for 2</w:t>
      </w:r>
      <w:r w:rsidR="00700872">
        <w:t xml:space="preserve"> degrees of freedom. So we reject the null hypothesis of all coefficients of the model to be zero (in log hazard scale); so there is </w:t>
      </w:r>
      <w:r w:rsidR="00082996">
        <w:t xml:space="preserve">an </w:t>
      </w:r>
      <w:r w:rsidR="00700872">
        <w:t>association between time to death an</w:t>
      </w:r>
      <w:r w:rsidR="00F02AF5">
        <w:t xml:space="preserve">d serum LDL. The </w:t>
      </w:r>
      <w:r w:rsidR="00700872">
        <w:t xml:space="preserve">Wald-test for </w:t>
      </w:r>
      <w:r w:rsidR="00700872" w:rsidRPr="00043528">
        <w:rPr>
          <w:rFonts w:ascii="Calibri" w:eastAsia="Times New Roman" w:hAnsi="Calibri" w:cs="Times New Roman"/>
          <w:color w:val="000000"/>
        </w:rPr>
        <w:t xml:space="preserve">LDL </w:t>
      </w:r>
      <w:r w:rsidR="00F02AF5">
        <w:rPr>
          <w:rFonts w:ascii="Calibri" w:eastAsia="Times New Roman" w:hAnsi="Calibri" w:cs="Times New Roman"/>
          <w:color w:val="000000"/>
        </w:rPr>
        <w:t xml:space="preserve">squared term has </w:t>
      </w:r>
      <w:r w:rsidR="00700872">
        <w:rPr>
          <w:rFonts w:ascii="Calibri" w:eastAsia="Times New Roman" w:hAnsi="Calibri" w:cs="Times New Roman"/>
          <w:color w:val="000000"/>
        </w:rPr>
        <w:t>p-value &gt; 5%</w:t>
      </w:r>
      <w:r w:rsidR="00F02AF5">
        <w:rPr>
          <w:rFonts w:ascii="Calibri" w:eastAsia="Times New Roman" w:hAnsi="Calibri" w:cs="Times New Roman"/>
          <w:color w:val="000000"/>
        </w:rPr>
        <w:t>. So</w:t>
      </w:r>
      <w:r w:rsidR="00700872">
        <w:rPr>
          <w:rFonts w:ascii="Calibri" w:eastAsia="Times New Roman" w:hAnsi="Calibri" w:cs="Times New Roman"/>
          <w:color w:val="000000"/>
        </w:rPr>
        <w:t xml:space="preserve"> we fail to reject the null hypothesis that </w:t>
      </w:r>
      <w:r w:rsidR="00F02AF5">
        <w:rPr>
          <w:rFonts w:ascii="Calibri" w:eastAsia="Times New Roman" w:hAnsi="Calibri" w:cs="Times New Roman"/>
          <w:color w:val="000000"/>
        </w:rPr>
        <w:t>the quadratic term has coefficient</w:t>
      </w:r>
      <w:r w:rsidR="00700872">
        <w:rPr>
          <w:rFonts w:ascii="Calibri" w:eastAsia="Times New Roman" w:hAnsi="Calibri" w:cs="Times New Roman"/>
          <w:color w:val="000000"/>
        </w:rPr>
        <w:t xml:space="preserve"> equal to zero (in log hazard scale); so a linear relationship is adequate based on this model.</w:t>
      </w:r>
    </w:p>
    <w:p w:rsidR="007962A2" w:rsidRPr="007962A2" w:rsidRDefault="007962A2" w:rsidP="00376381">
      <w:r>
        <w:t>Table 2 – Cox proportional-hazard regression estima</w:t>
      </w:r>
      <w:r w:rsidR="005756AE">
        <w:t>tes with LDL and squared LDL</w:t>
      </w:r>
      <w:r w:rsidR="00B81FEF">
        <w:t xml:space="preserve"> as predictors</w:t>
      </w:r>
    </w:p>
    <w:tbl>
      <w:tblPr>
        <w:tblW w:w="7448" w:type="dxa"/>
        <w:tblInd w:w="99" w:type="dxa"/>
        <w:tblLook w:val="04A0"/>
      </w:tblPr>
      <w:tblGrid>
        <w:gridCol w:w="3609"/>
        <w:gridCol w:w="1140"/>
        <w:gridCol w:w="1739"/>
        <w:gridCol w:w="960"/>
      </w:tblGrid>
      <w:tr w:rsidR="007962A2" w:rsidRPr="007962A2" w:rsidTr="00CE79CE">
        <w:trPr>
          <w:trHeight w:val="600"/>
        </w:trPr>
        <w:tc>
          <w:tcPr>
            <w:tcW w:w="3609" w:type="dxa"/>
            <w:tcBorders>
              <w:top w:val="single" w:sz="4" w:space="0" w:color="auto"/>
              <w:left w:val="nil"/>
              <w:bottom w:val="single" w:sz="4" w:space="0" w:color="auto"/>
              <w:right w:val="nil"/>
            </w:tcBorders>
            <w:shd w:val="clear" w:color="auto" w:fill="auto"/>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r w:rsidRPr="007962A2">
              <w:rPr>
                <w:rFonts w:ascii="Calibri" w:eastAsia="Times New Roman" w:hAnsi="Calibri" w:cs="Times New Roman"/>
                <w:b/>
                <w:bCs/>
                <w:color w:val="000000"/>
              </w:rPr>
              <w:t>Variable</w:t>
            </w:r>
          </w:p>
        </w:tc>
        <w:tc>
          <w:tcPr>
            <w:tcW w:w="1140" w:type="dxa"/>
            <w:tcBorders>
              <w:top w:val="single" w:sz="4" w:space="0" w:color="auto"/>
              <w:left w:val="nil"/>
              <w:bottom w:val="single" w:sz="4" w:space="0" w:color="auto"/>
              <w:right w:val="nil"/>
            </w:tcBorders>
            <w:shd w:val="clear" w:color="auto" w:fill="auto"/>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r w:rsidRPr="007962A2">
              <w:rPr>
                <w:rFonts w:ascii="Calibri" w:eastAsia="Times New Roman" w:hAnsi="Calibri" w:cs="Times New Roman"/>
                <w:b/>
                <w:bCs/>
                <w:color w:val="000000"/>
              </w:rPr>
              <w:t>Hazard-Ratio</w:t>
            </w:r>
          </w:p>
        </w:tc>
        <w:tc>
          <w:tcPr>
            <w:tcW w:w="1739" w:type="dxa"/>
            <w:tcBorders>
              <w:top w:val="single" w:sz="4" w:space="0" w:color="auto"/>
              <w:left w:val="nil"/>
              <w:bottom w:val="single" w:sz="4" w:space="0" w:color="auto"/>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r w:rsidRPr="007962A2">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r w:rsidRPr="007962A2">
              <w:rPr>
                <w:rFonts w:ascii="Calibri" w:eastAsia="Times New Roman" w:hAnsi="Calibri" w:cs="Times New Roman"/>
                <w:b/>
                <w:bCs/>
                <w:color w:val="000000"/>
              </w:rPr>
              <w:t>p-value</w:t>
            </w:r>
          </w:p>
        </w:tc>
      </w:tr>
      <w:tr w:rsidR="007962A2" w:rsidRPr="007962A2" w:rsidTr="00CE79CE">
        <w:trPr>
          <w:trHeight w:val="300"/>
        </w:trPr>
        <w:tc>
          <w:tcPr>
            <w:tcW w:w="360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Total records in the model</w:t>
            </w:r>
          </w:p>
        </w:tc>
        <w:tc>
          <w:tcPr>
            <w:tcW w:w="114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725</w:t>
            </w:r>
          </w:p>
        </w:tc>
        <w:tc>
          <w:tcPr>
            <w:tcW w:w="1739"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r>
      <w:tr w:rsidR="007962A2" w:rsidRPr="007962A2" w:rsidTr="00CE79CE">
        <w:trPr>
          <w:trHeight w:val="300"/>
        </w:trPr>
        <w:tc>
          <w:tcPr>
            <w:tcW w:w="360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Person-years</w:t>
            </w:r>
          </w:p>
        </w:tc>
        <w:tc>
          <w:tcPr>
            <w:tcW w:w="114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3582.94</w:t>
            </w:r>
          </w:p>
        </w:tc>
        <w:tc>
          <w:tcPr>
            <w:tcW w:w="1739"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r>
      <w:tr w:rsidR="007962A2" w:rsidRPr="007962A2" w:rsidTr="00CE79CE">
        <w:trPr>
          <w:trHeight w:val="300"/>
        </w:trPr>
        <w:tc>
          <w:tcPr>
            <w:tcW w:w="360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Total deaths</w:t>
            </w:r>
          </w:p>
        </w:tc>
        <w:tc>
          <w:tcPr>
            <w:tcW w:w="114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131</w:t>
            </w:r>
          </w:p>
        </w:tc>
        <w:tc>
          <w:tcPr>
            <w:tcW w:w="1739"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r>
      <w:tr w:rsidR="007962A2" w:rsidRPr="007962A2" w:rsidTr="00CE79CE">
        <w:trPr>
          <w:trHeight w:val="300"/>
        </w:trPr>
        <w:tc>
          <w:tcPr>
            <w:tcW w:w="3609" w:type="dxa"/>
            <w:tcBorders>
              <w:top w:val="nil"/>
              <w:left w:val="nil"/>
              <w:bottom w:val="nil"/>
              <w:right w:val="nil"/>
            </w:tcBorders>
            <w:shd w:val="clear" w:color="auto" w:fill="auto"/>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c>
          <w:tcPr>
            <w:tcW w:w="1140" w:type="dxa"/>
            <w:tcBorders>
              <w:top w:val="nil"/>
              <w:left w:val="nil"/>
              <w:bottom w:val="nil"/>
              <w:right w:val="nil"/>
            </w:tcBorders>
            <w:shd w:val="clear" w:color="auto" w:fill="auto"/>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c>
          <w:tcPr>
            <w:tcW w:w="1739"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b/>
                <w:bCs/>
                <w:color w:val="000000"/>
              </w:rPr>
            </w:pPr>
          </w:p>
        </w:tc>
      </w:tr>
      <w:tr w:rsidR="007962A2" w:rsidRPr="007962A2" w:rsidTr="00CE79CE">
        <w:trPr>
          <w:trHeight w:val="300"/>
        </w:trPr>
        <w:tc>
          <w:tcPr>
            <w:tcW w:w="360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Untransformed LDL</w:t>
            </w:r>
            <w:r w:rsidR="00DD63DF" w:rsidRPr="00CB5270">
              <w:rPr>
                <w:rFonts w:ascii="Calibri" w:eastAsia="Times New Roman" w:hAnsi="Calibri" w:cs="Times New Roman"/>
                <w:color w:val="000000"/>
              </w:rPr>
              <w:t xml:space="preserve"> </w:t>
            </w:r>
            <w:r w:rsidR="00DD63DF">
              <w:rPr>
                <w:rFonts w:ascii="Calibri" w:eastAsia="Times New Roman" w:hAnsi="Calibri" w:cs="Times New Roman"/>
                <w:color w:val="000000"/>
              </w:rPr>
              <w:t xml:space="preserve">– 1 </w:t>
            </w:r>
            <w:r w:rsidRPr="007962A2">
              <w:rPr>
                <w:rFonts w:ascii="Calibri" w:eastAsia="Times New Roman" w:hAnsi="Calibri" w:cs="Times New Roman"/>
                <w:color w:val="000000"/>
              </w:rPr>
              <w:t>(mg/dl)</w:t>
            </w:r>
          </w:p>
        </w:tc>
        <w:tc>
          <w:tcPr>
            <w:tcW w:w="114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0.974</w:t>
            </w:r>
          </w:p>
        </w:tc>
        <w:tc>
          <w:tcPr>
            <w:tcW w:w="1739"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0.956 - 0.993</w:t>
            </w:r>
          </w:p>
        </w:tc>
        <w:tc>
          <w:tcPr>
            <w:tcW w:w="96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0.007</w:t>
            </w:r>
          </w:p>
        </w:tc>
      </w:tr>
      <w:tr w:rsidR="007962A2" w:rsidRPr="007962A2" w:rsidTr="00CE79CE">
        <w:trPr>
          <w:trHeight w:val="300"/>
        </w:trPr>
        <w:tc>
          <w:tcPr>
            <w:tcW w:w="360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Squared LDL (mg/dl)</w:t>
            </w:r>
          </w:p>
        </w:tc>
        <w:tc>
          <w:tcPr>
            <w:tcW w:w="114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1.000</w:t>
            </w:r>
          </w:p>
        </w:tc>
        <w:tc>
          <w:tcPr>
            <w:tcW w:w="1739"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1.000 - 1.000</w:t>
            </w:r>
          </w:p>
        </w:tc>
        <w:tc>
          <w:tcPr>
            <w:tcW w:w="960" w:type="dxa"/>
            <w:tcBorders>
              <w:top w:val="nil"/>
              <w:left w:val="nil"/>
              <w:bottom w:val="nil"/>
              <w:right w:val="nil"/>
            </w:tcBorders>
            <w:shd w:val="clear" w:color="auto" w:fill="auto"/>
            <w:noWrap/>
            <w:vAlign w:val="center"/>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0.055</w:t>
            </w:r>
          </w:p>
        </w:tc>
      </w:tr>
      <w:tr w:rsidR="007962A2" w:rsidRPr="007962A2" w:rsidTr="00CE79CE">
        <w:trPr>
          <w:trHeight w:val="300"/>
        </w:trPr>
        <w:tc>
          <w:tcPr>
            <w:tcW w:w="3609" w:type="dxa"/>
            <w:tcBorders>
              <w:top w:val="nil"/>
              <w:left w:val="nil"/>
              <w:bottom w:val="single" w:sz="4" w:space="0" w:color="auto"/>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 </w:t>
            </w:r>
          </w:p>
        </w:tc>
        <w:tc>
          <w:tcPr>
            <w:tcW w:w="1140" w:type="dxa"/>
            <w:tcBorders>
              <w:top w:val="nil"/>
              <w:left w:val="nil"/>
              <w:bottom w:val="single" w:sz="4" w:space="0" w:color="auto"/>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 </w:t>
            </w:r>
          </w:p>
        </w:tc>
        <w:tc>
          <w:tcPr>
            <w:tcW w:w="1739" w:type="dxa"/>
            <w:tcBorders>
              <w:top w:val="nil"/>
              <w:left w:val="nil"/>
              <w:bottom w:val="single" w:sz="4" w:space="0" w:color="auto"/>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 </w:t>
            </w:r>
          </w:p>
        </w:tc>
      </w:tr>
      <w:tr w:rsidR="007962A2" w:rsidRPr="007962A2" w:rsidTr="00CE79CE">
        <w:trPr>
          <w:trHeight w:val="300"/>
        </w:trPr>
        <w:tc>
          <w:tcPr>
            <w:tcW w:w="360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Overall model Wald-test p-value</w:t>
            </w:r>
          </w:p>
        </w:tc>
        <w:tc>
          <w:tcPr>
            <w:tcW w:w="1140"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p>
        </w:tc>
        <w:tc>
          <w:tcPr>
            <w:tcW w:w="173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0.0005</w:t>
            </w:r>
          </w:p>
        </w:tc>
      </w:tr>
      <w:tr w:rsidR="007962A2" w:rsidRPr="007962A2" w:rsidTr="00CE79CE">
        <w:trPr>
          <w:trHeight w:val="300"/>
        </w:trPr>
        <w:tc>
          <w:tcPr>
            <w:tcW w:w="4749" w:type="dxa"/>
            <w:gridSpan w:val="2"/>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r w:rsidRPr="007962A2">
              <w:rPr>
                <w:rFonts w:ascii="Calibri" w:eastAsia="Times New Roman" w:hAnsi="Calibri" w:cs="Times New Roman"/>
                <w:color w:val="000000"/>
              </w:rPr>
              <w:t>Overall squared LDL Wald-test p-value</w:t>
            </w:r>
          </w:p>
        </w:tc>
        <w:tc>
          <w:tcPr>
            <w:tcW w:w="1739"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962A2" w:rsidRPr="007962A2" w:rsidRDefault="007962A2" w:rsidP="007962A2">
            <w:pPr>
              <w:spacing w:after="0" w:line="240" w:lineRule="auto"/>
              <w:jc w:val="center"/>
              <w:rPr>
                <w:rFonts w:ascii="Calibri" w:eastAsia="Times New Roman" w:hAnsi="Calibri" w:cs="Times New Roman"/>
                <w:color w:val="000000"/>
              </w:rPr>
            </w:pPr>
            <w:r w:rsidRPr="007962A2">
              <w:rPr>
                <w:rFonts w:ascii="Calibri" w:eastAsia="Times New Roman" w:hAnsi="Calibri" w:cs="Times New Roman"/>
                <w:color w:val="000000"/>
              </w:rPr>
              <w:t>0.0550</w:t>
            </w:r>
          </w:p>
        </w:tc>
      </w:tr>
    </w:tbl>
    <w:p w:rsidR="00166B04" w:rsidRDefault="00312773" w:rsidP="00376381">
      <w:r>
        <w:t xml:space="preserve"> </w:t>
      </w:r>
    </w:p>
    <w:p w:rsidR="00BD286C" w:rsidRDefault="00BD286C" w:rsidP="00BD286C">
      <w:r>
        <w:t>1c.</w:t>
      </w:r>
      <w:r w:rsidRPr="00376381">
        <w:t xml:space="preserve"> </w:t>
      </w:r>
      <w:r>
        <w:t xml:space="preserve">Methods: We investigate the association between time to death and serum LDL. We evaluate the linearity relationship between </w:t>
      </w:r>
      <w:r w:rsidRPr="00C83DD3">
        <w:t>log hazard</w:t>
      </w:r>
      <w:r>
        <w:t xml:space="preserve"> function and LDL using a Cox proportional-hazards model with robust standard errors. As predictors </w:t>
      </w:r>
      <w:r w:rsidR="006A715E">
        <w:t xml:space="preserve">we include LDL serum levels, </w:t>
      </w:r>
      <w:r>
        <w:t>squared L</w:t>
      </w:r>
      <w:r w:rsidR="006A715E">
        <w:t>DL serum levels and cubic LDL serum levels</w:t>
      </w:r>
      <w:r>
        <w:t>. The coefficient</w:t>
      </w:r>
      <w:r w:rsidR="00456B38">
        <w:t>s</w:t>
      </w:r>
      <w:r>
        <w:t xml:space="preserve"> estimate</w:t>
      </w:r>
      <w:r w:rsidR="00456B38">
        <w:t>s</w:t>
      </w:r>
      <w:r>
        <w:t xml:space="preserve"> of the</w:t>
      </w:r>
      <w:r w:rsidR="00456B38">
        <w:t xml:space="preserve"> squared and</w:t>
      </w:r>
      <w:r>
        <w:t xml:space="preserve"> </w:t>
      </w:r>
      <w:r w:rsidR="00004294">
        <w:t>cubic</w:t>
      </w:r>
      <w:r>
        <w:t xml:space="preserve"> term </w:t>
      </w:r>
      <w:r w:rsidR="00456B38">
        <w:t>are</w:t>
      </w:r>
      <w:r>
        <w:t xml:space="preserve"> used to test the null hypothesis that a linear association log hazard ratio and untransformed LDL are adequate to describe the data. A Wald test for the </w:t>
      </w:r>
      <w:r w:rsidR="00456B38">
        <w:t xml:space="preserve">squared and </w:t>
      </w:r>
      <w:r w:rsidR="008E4651">
        <w:t>cubic</w:t>
      </w:r>
      <w:r>
        <w:t xml:space="preserve"> term</w:t>
      </w:r>
      <w:r w:rsidR="00456B38">
        <w:t>s</w:t>
      </w:r>
      <w:r>
        <w:t xml:space="preserve"> is employed as statistical evidence for coefficient to be different from zero; thus a nonlinear association.  95% confidence intervals and two-sided p values were computed using Wald statistics based on the Huber-White sandwich estimator for the standard error. In all tests the significance level is set to 5%.</w:t>
      </w:r>
    </w:p>
    <w:p w:rsidR="00BD286C" w:rsidRDefault="00BD286C" w:rsidP="00BD286C">
      <w:r>
        <w:t>Time to event on the original dataset is in days. We transformed it to years considering that each year has 365.25 days. LDL serum levels have been subtracted 1 mg/dl.</w:t>
      </w:r>
    </w:p>
    <w:p w:rsidR="00262438" w:rsidRDefault="00262438" w:rsidP="00262438">
      <w:pPr>
        <w:rPr>
          <w:rFonts w:ascii="Calibri" w:eastAsia="Times New Roman" w:hAnsi="Calibri" w:cs="Times New Roman"/>
          <w:color w:val="000000"/>
        </w:rPr>
      </w:pPr>
      <w:r>
        <w:t xml:space="preserve">Results: There are 735 subjects in the dataset but 10 miss LDL serum data. Among the 725 subjects we recorded 3582.94 person-years of follow up and found 131 deaths as shown on table </w:t>
      </w:r>
      <w:r w:rsidR="00BC012A">
        <w:t>3. The global Wald-test is 28.89</w:t>
      </w:r>
      <w:r>
        <w:t xml:space="preserve"> corr</w:t>
      </w:r>
      <w:r w:rsidR="00BC012A">
        <w:t>esponding to a p-value &lt; 0.0001 for 3</w:t>
      </w:r>
      <w:r>
        <w:t xml:space="preserve"> degrees of freedom. So we reject the null hypothesis of all coefficients of the model to be zero (in log hazard scale); so there is</w:t>
      </w:r>
      <w:r w:rsidR="005343AF">
        <w:t xml:space="preserve"> an</w:t>
      </w:r>
      <w:r>
        <w:t xml:space="preserve"> association between time to death and serum LDL. The Wald-test for </w:t>
      </w:r>
      <w:r w:rsidRPr="00043528">
        <w:rPr>
          <w:rFonts w:ascii="Calibri" w:eastAsia="Times New Roman" w:hAnsi="Calibri" w:cs="Times New Roman"/>
          <w:color w:val="000000"/>
        </w:rPr>
        <w:t xml:space="preserve">LDL </w:t>
      </w:r>
      <w:r w:rsidR="00456B38">
        <w:rPr>
          <w:rFonts w:ascii="Calibri" w:eastAsia="Times New Roman" w:hAnsi="Calibri" w:cs="Times New Roman"/>
          <w:color w:val="000000"/>
        </w:rPr>
        <w:t xml:space="preserve">squared and </w:t>
      </w:r>
      <w:r w:rsidR="00BC012A">
        <w:rPr>
          <w:rFonts w:ascii="Calibri" w:eastAsia="Times New Roman" w:hAnsi="Calibri" w:cs="Times New Roman"/>
          <w:color w:val="000000"/>
        </w:rPr>
        <w:t>cubic</w:t>
      </w:r>
      <w:r>
        <w:rPr>
          <w:rFonts w:ascii="Calibri" w:eastAsia="Times New Roman" w:hAnsi="Calibri" w:cs="Times New Roman"/>
          <w:color w:val="000000"/>
        </w:rPr>
        <w:t xml:space="preserve"> term</w:t>
      </w:r>
      <w:r w:rsidR="00456B38">
        <w:rPr>
          <w:rFonts w:ascii="Calibri" w:eastAsia="Times New Roman" w:hAnsi="Calibri" w:cs="Times New Roman"/>
          <w:color w:val="000000"/>
        </w:rPr>
        <w:t>s</w:t>
      </w:r>
      <w:r>
        <w:rPr>
          <w:rFonts w:ascii="Calibri" w:eastAsia="Times New Roman" w:hAnsi="Calibri" w:cs="Times New Roman"/>
          <w:color w:val="000000"/>
        </w:rPr>
        <w:t xml:space="preserve"> has p-value </w:t>
      </w:r>
      <w:r w:rsidR="00456B38">
        <w:rPr>
          <w:rFonts w:ascii="Calibri" w:eastAsia="Times New Roman" w:hAnsi="Calibri" w:cs="Times New Roman"/>
          <w:color w:val="000000"/>
        </w:rPr>
        <w:t>0.0164 (&lt;</w:t>
      </w:r>
      <w:r>
        <w:rPr>
          <w:rFonts w:ascii="Calibri" w:eastAsia="Times New Roman" w:hAnsi="Calibri" w:cs="Times New Roman"/>
          <w:color w:val="000000"/>
        </w:rPr>
        <w:t xml:space="preserve"> 5%</w:t>
      </w:r>
      <w:r w:rsidR="00456B38">
        <w:rPr>
          <w:rFonts w:ascii="Calibri" w:eastAsia="Times New Roman" w:hAnsi="Calibri" w:cs="Times New Roman"/>
          <w:color w:val="000000"/>
        </w:rPr>
        <w:t>)</w:t>
      </w:r>
      <w:r>
        <w:rPr>
          <w:rFonts w:ascii="Calibri" w:eastAsia="Times New Roman" w:hAnsi="Calibri" w:cs="Times New Roman"/>
          <w:color w:val="000000"/>
        </w:rPr>
        <w:t xml:space="preserve">. So we reject the null hypothesis that the </w:t>
      </w:r>
      <w:r w:rsidR="00456B38">
        <w:rPr>
          <w:rFonts w:ascii="Calibri" w:eastAsia="Times New Roman" w:hAnsi="Calibri" w:cs="Times New Roman"/>
          <w:color w:val="000000"/>
        </w:rPr>
        <w:t xml:space="preserve">squared and </w:t>
      </w:r>
      <w:r w:rsidR="00BC012A">
        <w:rPr>
          <w:rFonts w:ascii="Calibri" w:eastAsia="Times New Roman" w:hAnsi="Calibri" w:cs="Times New Roman"/>
          <w:color w:val="000000"/>
        </w:rPr>
        <w:t>cubic</w:t>
      </w:r>
      <w:r>
        <w:rPr>
          <w:rFonts w:ascii="Calibri" w:eastAsia="Times New Roman" w:hAnsi="Calibri" w:cs="Times New Roman"/>
          <w:color w:val="000000"/>
        </w:rPr>
        <w:t xml:space="preserve"> term</w:t>
      </w:r>
      <w:r w:rsidR="00456B38">
        <w:rPr>
          <w:rFonts w:ascii="Calibri" w:eastAsia="Times New Roman" w:hAnsi="Calibri" w:cs="Times New Roman"/>
          <w:color w:val="000000"/>
        </w:rPr>
        <w:t>s have</w:t>
      </w:r>
      <w:r>
        <w:rPr>
          <w:rFonts w:ascii="Calibri" w:eastAsia="Times New Roman" w:hAnsi="Calibri" w:cs="Times New Roman"/>
          <w:color w:val="000000"/>
        </w:rPr>
        <w:t xml:space="preserve"> coefficient</w:t>
      </w:r>
      <w:r w:rsidR="00456B38">
        <w:rPr>
          <w:rFonts w:ascii="Calibri" w:eastAsia="Times New Roman" w:hAnsi="Calibri" w:cs="Times New Roman"/>
          <w:color w:val="000000"/>
        </w:rPr>
        <w:t>s</w:t>
      </w:r>
      <w:r>
        <w:rPr>
          <w:rFonts w:ascii="Calibri" w:eastAsia="Times New Roman" w:hAnsi="Calibri" w:cs="Times New Roman"/>
          <w:color w:val="000000"/>
        </w:rPr>
        <w:t xml:space="preserve"> equal to zero (in log hazard scale); so a</w:t>
      </w:r>
      <w:r w:rsidR="00456B38">
        <w:rPr>
          <w:rFonts w:ascii="Calibri" w:eastAsia="Times New Roman" w:hAnsi="Calibri" w:cs="Times New Roman"/>
          <w:color w:val="000000"/>
        </w:rPr>
        <w:t xml:space="preserve"> non</w:t>
      </w:r>
      <w:r>
        <w:rPr>
          <w:rFonts w:ascii="Calibri" w:eastAsia="Times New Roman" w:hAnsi="Calibri" w:cs="Times New Roman"/>
          <w:color w:val="000000"/>
        </w:rPr>
        <w:t xml:space="preserve"> linear relationship</w:t>
      </w:r>
      <w:r w:rsidR="00456B38">
        <w:rPr>
          <w:rFonts w:ascii="Calibri" w:eastAsia="Times New Roman" w:hAnsi="Calibri" w:cs="Times New Roman"/>
          <w:color w:val="000000"/>
        </w:rPr>
        <w:t xml:space="preserve"> is present between log hazards and LDL serum levels</w:t>
      </w:r>
      <w:r>
        <w:rPr>
          <w:rFonts w:ascii="Calibri" w:eastAsia="Times New Roman" w:hAnsi="Calibri" w:cs="Times New Roman"/>
          <w:color w:val="000000"/>
        </w:rPr>
        <w:t>.</w:t>
      </w:r>
    </w:p>
    <w:p w:rsidR="00BD286C" w:rsidRDefault="00407BB3" w:rsidP="00376381">
      <w:r>
        <w:lastRenderedPageBreak/>
        <w:t>Table 3</w:t>
      </w:r>
      <w:r w:rsidR="005756AE">
        <w:t xml:space="preserve"> – Cox proportional-hazard regression estimates with LDL, squared LDL and cubic LDL</w:t>
      </w:r>
      <w:r w:rsidR="00B81FEF">
        <w:t xml:space="preserve"> as predictors</w:t>
      </w:r>
    </w:p>
    <w:tbl>
      <w:tblPr>
        <w:tblW w:w="8708" w:type="dxa"/>
        <w:tblInd w:w="99" w:type="dxa"/>
        <w:tblLook w:val="04A0"/>
      </w:tblPr>
      <w:tblGrid>
        <w:gridCol w:w="3969"/>
        <w:gridCol w:w="1140"/>
        <w:gridCol w:w="2639"/>
        <w:gridCol w:w="960"/>
      </w:tblGrid>
      <w:tr w:rsidR="00F219BB" w:rsidRPr="00F219BB" w:rsidTr="00675084">
        <w:trPr>
          <w:trHeight w:val="600"/>
        </w:trPr>
        <w:tc>
          <w:tcPr>
            <w:tcW w:w="3969" w:type="dxa"/>
            <w:tcBorders>
              <w:top w:val="single" w:sz="4" w:space="0" w:color="auto"/>
              <w:left w:val="nil"/>
              <w:bottom w:val="single" w:sz="4" w:space="0" w:color="auto"/>
              <w:right w:val="nil"/>
            </w:tcBorders>
            <w:shd w:val="clear" w:color="auto" w:fill="auto"/>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r w:rsidRPr="00F219BB">
              <w:rPr>
                <w:rFonts w:ascii="Calibri" w:eastAsia="Times New Roman" w:hAnsi="Calibri" w:cs="Times New Roman"/>
                <w:b/>
                <w:bCs/>
                <w:color w:val="000000"/>
              </w:rPr>
              <w:t>Variable</w:t>
            </w:r>
          </w:p>
        </w:tc>
        <w:tc>
          <w:tcPr>
            <w:tcW w:w="1140" w:type="dxa"/>
            <w:tcBorders>
              <w:top w:val="single" w:sz="4" w:space="0" w:color="auto"/>
              <w:left w:val="nil"/>
              <w:bottom w:val="single" w:sz="4" w:space="0" w:color="auto"/>
              <w:right w:val="nil"/>
            </w:tcBorders>
            <w:shd w:val="clear" w:color="auto" w:fill="auto"/>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r w:rsidRPr="00F219BB">
              <w:rPr>
                <w:rFonts w:ascii="Calibri" w:eastAsia="Times New Roman" w:hAnsi="Calibri" w:cs="Times New Roman"/>
                <w:b/>
                <w:bCs/>
                <w:color w:val="000000"/>
              </w:rPr>
              <w:t>Hazard-Ratio</w:t>
            </w:r>
          </w:p>
        </w:tc>
        <w:tc>
          <w:tcPr>
            <w:tcW w:w="2639" w:type="dxa"/>
            <w:tcBorders>
              <w:top w:val="single" w:sz="4" w:space="0" w:color="auto"/>
              <w:left w:val="nil"/>
              <w:bottom w:val="single" w:sz="4" w:space="0" w:color="auto"/>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r w:rsidRPr="00F219BB">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r w:rsidRPr="00F219BB">
              <w:rPr>
                <w:rFonts w:ascii="Calibri" w:eastAsia="Times New Roman" w:hAnsi="Calibri" w:cs="Times New Roman"/>
                <w:b/>
                <w:bCs/>
                <w:color w:val="000000"/>
              </w:rPr>
              <w:t>p-value</w:t>
            </w: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Total records in the model</w:t>
            </w:r>
          </w:p>
        </w:tc>
        <w:tc>
          <w:tcPr>
            <w:tcW w:w="114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725</w:t>
            </w: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Person-years</w:t>
            </w:r>
          </w:p>
        </w:tc>
        <w:tc>
          <w:tcPr>
            <w:tcW w:w="114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3582.94</w:t>
            </w: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Total deaths</w:t>
            </w:r>
          </w:p>
        </w:tc>
        <w:tc>
          <w:tcPr>
            <w:tcW w:w="114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131</w:t>
            </w: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r>
      <w:tr w:rsidR="00F219BB" w:rsidRPr="00F219BB" w:rsidTr="00675084">
        <w:trPr>
          <w:trHeight w:val="300"/>
        </w:trPr>
        <w:tc>
          <w:tcPr>
            <w:tcW w:w="3969" w:type="dxa"/>
            <w:tcBorders>
              <w:top w:val="nil"/>
              <w:left w:val="nil"/>
              <w:bottom w:val="nil"/>
              <w:right w:val="nil"/>
            </w:tcBorders>
            <w:shd w:val="clear" w:color="auto" w:fill="auto"/>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c>
          <w:tcPr>
            <w:tcW w:w="1140" w:type="dxa"/>
            <w:tcBorders>
              <w:top w:val="nil"/>
              <w:left w:val="nil"/>
              <w:bottom w:val="nil"/>
              <w:right w:val="nil"/>
            </w:tcBorders>
            <w:shd w:val="clear" w:color="auto" w:fill="auto"/>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b/>
                <w:bCs/>
                <w:color w:val="000000"/>
              </w:rPr>
            </w:pP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DD63DF">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Untransformed LDL</w:t>
            </w:r>
            <w:r w:rsidR="00DD63DF" w:rsidRPr="00CB5270">
              <w:rPr>
                <w:rFonts w:ascii="Calibri" w:eastAsia="Times New Roman" w:hAnsi="Calibri" w:cs="Times New Roman"/>
                <w:color w:val="000000"/>
              </w:rPr>
              <w:t xml:space="preserve"> </w:t>
            </w:r>
            <w:r w:rsidR="00DD63DF">
              <w:rPr>
                <w:rFonts w:ascii="Calibri" w:eastAsia="Times New Roman" w:hAnsi="Calibri" w:cs="Times New Roman"/>
                <w:color w:val="000000"/>
              </w:rPr>
              <w:t xml:space="preserve">– 1 </w:t>
            </w:r>
            <w:r w:rsidRPr="00F219BB">
              <w:rPr>
                <w:rFonts w:ascii="Calibri" w:eastAsia="Times New Roman" w:hAnsi="Calibri" w:cs="Times New Roman"/>
                <w:color w:val="000000"/>
              </w:rPr>
              <w:t>(mg/dl)</w:t>
            </w:r>
          </w:p>
        </w:tc>
        <w:tc>
          <w:tcPr>
            <w:tcW w:w="114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0.959</w:t>
            </w: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0.925 - 0.995</w:t>
            </w: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0.024</w:t>
            </w: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Squared LDL (mg/dl)</w:t>
            </w:r>
          </w:p>
        </w:tc>
        <w:tc>
          <w:tcPr>
            <w:tcW w:w="114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1.000</w:t>
            </w: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1.000 - 1.001</w:t>
            </w: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0.248</w:t>
            </w: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Cubic LDL (mg/dl)</w:t>
            </w:r>
          </w:p>
        </w:tc>
        <w:tc>
          <w:tcPr>
            <w:tcW w:w="114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1.000</w:t>
            </w:r>
          </w:p>
        </w:tc>
        <w:tc>
          <w:tcPr>
            <w:tcW w:w="2639"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1.000 - 1.000</w:t>
            </w:r>
          </w:p>
        </w:tc>
        <w:tc>
          <w:tcPr>
            <w:tcW w:w="960" w:type="dxa"/>
            <w:tcBorders>
              <w:top w:val="nil"/>
              <w:left w:val="nil"/>
              <w:bottom w:val="nil"/>
              <w:right w:val="nil"/>
            </w:tcBorders>
            <w:shd w:val="clear" w:color="auto" w:fill="auto"/>
            <w:noWrap/>
            <w:vAlign w:val="center"/>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0.497</w:t>
            </w:r>
          </w:p>
        </w:tc>
      </w:tr>
      <w:tr w:rsidR="00F219BB" w:rsidRPr="00F219BB" w:rsidTr="00675084">
        <w:trPr>
          <w:trHeight w:val="300"/>
        </w:trPr>
        <w:tc>
          <w:tcPr>
            <w:tcW w:w="3969" w:type="dxa"/>
            <w:tcBorders>
              <w:top w:val="nil"/>
              <w:left w:val="nil"/>
              <w:bottom w:val="single" w:sz="4" w:space="0" w:color="auto"/>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 </w:t>
            </w:r>
          </w:p>
        </w:tc>
        <w:tc>
          <w:tcPr>
            <w:tcW w:w="1140" w:type="dxa"/>
            <w:tcBorders>
              <w:top w:val="nil"/>
              <w:left w:val="nil"/>
              <w:bottom w:val="single" w:sz="4" w:space="0" w:color="auto"/>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 </w:t>
            </w:r>
          </w:p>
        </w:tc>
        <w:tc>
          <w:tcPr>
            <w:tcW w:w="2639" w:type="dxa"/>
            <w:tcBorders>
              <w:top w:val="nil"/>
              <w:left w:val="nil"/>
              <w:bottom w:val="single" w:sz="4" w:space="0" w:color="auto"/>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 </w:t>
            </w: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r w:rsidRPr="00F219BB">
              <w:rPr>
                <w:rFonts w:ascii="Calibri" w:eastAsia="Times New Roman" w:hAnsi="Calibri" w:cs="Times New Roman"/>
                <w:color w:val="000000"/>
              </w:rPr>
              <w:t>Overall model Wald-test p-value</w:t>
            </w:r>
          </w:p>
        </w:tc>
        <w:tc>
          <w:tcPr>
            <w:tcW w:w="1140"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p>
        </w:tc>
        <w:tc>
          <w:tcPr>
            <w:tcW w:w="263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0.0005</w:t>
            </w:r>
          </w:p>
        </w:tc>
      </w:tr>
      <w:tr w:rsidR="00F219BB" w:rsidRPr="00F219BB" w:rsidTr="00675084">
        <w:trPr>
          <w:trHeight w:val="300"/>
        </w:trPr>
        <w:tc>
          <w:tcPr>
            <w:tcW w:w="3969" w:type="dxa"/>
            <w:tcBorders>
              <w:top w:val="nil"/>
              <w:left w:val="nil"/>
              <w:bottom w:val="nil"/>
              <w:right w:val="nil"/>
            </w:tcBorders>
            <w:shd w:val="clear" w:color="auto" w:fill="auto"/>
            <w:noWrap/>
            <w:vAlign w:val="bottom"/>
            <w:hideMark/>
          </w:tcPr>
          <w:p w:rsidR="00F219BB" w:rsidRPr="00F219BB" w:rsidRDefault="00675084" w:rsidP="00F219B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Squared and </w:t>
            </w:r>
            <w:r w:rsidR="00F219BB" w:rsidRPr="00F219BB">
              <w:rPr>
                <w:rFonts w:ascii="Calibri" w:eastAsia="Times New Roman" w:hAnsi="Calibri" w:cs="Times New Roman"/>
                <w:color w:val="000000"/>
              </w:rPr>
              <w:t>Cubic LDL Wald-test p-value</w:t>
            </w:r>
          </w:p>
        </w:tc>
        <w:tc>
          <w:tcPr>
            <w:tcW w:w="1140"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p>
        </w:tc>
        <w:tc>
          <w:tcPr>
            <w:tcW w:w="2639"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219BB" w:rsidRPr="00F219BB" w:rsidRDefault="00F219BB" w:rsidP="00F219BB">
            <w:pPr>
              <w:spacing w:after="0" w:line="240" w:lineRule="auto"/>
              <w:jc w:val="center"/>
              <w:rPr>
                <w:rFonts w:ascii="Calibri" w:eastAsia="Times New Roman" w:hAnsi="Calibri" w:cs="Times New Roman"/>
                <w:color w:val="000000"/>
              </w:rPr>
            </w:pPr>
            <w:r w:rsidRPr="00F219BB">
              <w:rPr>
                <w:rFonts w:ascii="Calibri" w:eastAsia="Times New Roman" w:hAnsi="Calibri" w:cs="Times New Roman"/>
                <w:color w:val="000000"/>
              </w:rPr>
              <w:t>0.</w:t>
            </w:r>
            <w:r w:rsidR="00675084">
              <w:rPr>
                <w:rFonts w:ascii="Calibri" w:eastAsia="Times New Roman" w:hAnsi="Calibri" w:cs="Times New Roman"/>
                <w:color w:val="000000"/>
              </w:rPr>
              <w:t>0164</w:t>
            </w:r>
          </w:p>
        </w:tc>
      </w:tr>
    </w:tbl>
    <w:p w:rsidR="00F219BB" w:rsidRDefault="00F219BB" w:rsidP="00376381"/>
    <w:p w:rsidR="00407BB3" w:rsidRDefault="00407BB3" w:rsidP="00407BB3">
      <w:r>
        <w:t>1d.</w:t>
      </w:r>
      <w:r w:rsidRPr="00376381">
        <w:t xml:space="preserve"> </w:t>
      </w:r>
      <w:r>
        <w:t xml:space="preserve">Methods: We investigate the association between time to death and serum LDL. We evaluate the linearity relationship between </w:t>
      </w:r>
      <w:r w:rsidRPr="00C83DD3">
        <w:t>log hazard</w:t>
      </w:r>
      <w:r>
        <w:t xml:space="preserve"> function and LDL using a Cox proportional-hazards model with robust standard errors. As predictors we include </w:t>
      </w:r>
      <w:r w:rsidR="00F55253">
        <w:t xml:space="preserve">5 </w:t>
      </w:r>
      <w:r w:rsidR="003B0D62">
        <w:t xml:space="preserve">linear </w:t>
      </w:r>
      <w:proofErr w:type="spellStart"/>
      <w:r w:rsidR="003B0D62">
        <w:t>splines</w:t>
      </w:r>
      <w:proofErr w:type="spellEnd"/>
      <w:r w:rsidR="003B0D62">
        <w:t xml:space="preserve"> (</w:t>
      </w:r>
      <w:r w:rsidR="00F55253">
        <w:t>representing</w:t>
      </w:r>
      <w:r w:rsidR="003B0D62">
        <w:t xml:space="preserve"> interval segments</w:t>
      </w:r>
      <w:r w:rsidR="00F55253">
        <w:t xml:space="preserve"> of LDL</w:t>
      </w:r>
      <w:r w:rsidR="003B0D62">
        <w:t xml:space="preserve"> defined in mg/dl at 0 ≤ LDL &lt; 70, 70 ≤ LDL &lt; 100, 100 ≤ LDL &lt; 130,  130 ≤ LDL &lt; 160 and 160 ≤ LDL &lt; 400)</w:t>
      </w:r>
      <w:r w:rsidR="00383805">
        <w:t xml:space="preserve"> of LDL serum levels</w:t>
      </w:r>
      <w:r w:rsidR="003B0D62">
        <w:t>.</w:t>
      </w:r>
      <w:r>
        <w:t xml:space="preserve"> The coefficient</w:t>
      </w:r>
      <w:r w:rsidR="003B0D62">
        <w:t>s</w:t>
      </w:r>
      <w:r>
        <w:t xml:space="preserve"> estimate of the </w:t>
      </w:r>
      <w:proofErr w:type="spellStart"/>
      <w:r w:rsidR="003B0D62">
        <w:t>spline</w:t>
      </w:r>
      <w:proofErr w:type="spellEnd"/>
      <w:r>
        <w:t xml:space="preserve"> term</w:t>
      </w:r>
      <w:r w:rsidR="003B0D62">
        <w:t>s are</w:t>
      </w:r>
      <w:r>
        <w:t xml:space="preserve"> used to test the null hypothesis that a linear association log hazard ratio and untransformed LDL are adequate to describe the data. A </w:t>
      </w:r>
      <w:r w:rsidR="003B0D62">
        <w:t xml:space="preserve">global </w:t>
      </w:r>
      <w:r w:rsidR="00383805">
        <w:t xml:space="preserve">Wald test for the </w:t>
      </w:r>
      <w:r>
        <w:t xml:space="preserve">term is employed as statistical evidence </w:t>
      </w:r>
      <w:r w:rsidR="003B0D62">
        <w:t>for at least one of the</w:t>
      </w:r>
      <w:r>
        <w:t xml:space="preserve"> coefficient</w:t>
      </w:r>
      <w:r w:rsidR="003B0D62">
        <w:t>s</w:t>
      </w:r>
      <w:r>
        <w:t xml:space="preserve"> to be differ</w:t>
      </w:r>
      <w:r w:rsidR="00383805">
        <w:t xml:space="preserve">ent from zero; thus there is association between the log hazard and LDL serum levels. </w:t>
      </w:r>
      <w:r w:rsidR="0038759A">
        <w:t>As evidence for curvilinear relationship w</w:t>
      </w:r>
      <w:r w:rsidR="00383805">
        <w:t xml:space="preserve">e </w:t>
      </w:r>
      <w:r w:rsidR="00EE5EA1">
        <w:t xml:space="preserve">use another Wald-test </w:t>
      </w:r>
      <w:r w:rsidR="0038759A">
        <w:t>for</w:t>
      </w:r>
      <w:r w:rsidR="00EE5EA1">
        <w:t xml:space="preserve"> the null hypothesis of similar coefficients on each segments defined by the knots of </w:t>
      </w:r>
      <w:proofErr w:type="spellStart"/>
      <w:r w:rsidR="00EE5EA1">
        <w:t>spline</w:t>
      </w:r>
      <w:proofErr w:type="spellEnd"/>
      <w:r>
        <w:t>.  95% confidence intervals and two-sided p values were computed using Wald statistics based on the Huber-White sandwich estimator for the standard error. In all tests the significance level is set to 5%.</w:t>
      </w:r>
    </w:p>
    <w:p w:rsidR="00407BB3" w:rsidRDefault="00407BB3" w:rsidP="00407BB3">
      <w:r>
        <w:t>Time to event on the original dataset is in days. We transformed it to years considering that each year has 365.25 days. LDL serum levels have been subtracted 1 mg/dl.</w:t>
      </w:r>
    </w:p>
    <w:p w:rsidR="00CB5270" w:rsidRDefault="00287FC2" w:rsidP="00407BB3">
      <w:pPr>
        <w:rPr>
          <w:rFonts w:ascii="Calibri" w:eastAsia="Times New Roman" w:hAnsi="Calibri" w:cs="Times New Roman"/>
          <w:color w:val="000000"/>
        </w:rPr>
      </w:pPr>
      <w:r>
        <w:t xml:space="preserve">Table 4 – Cox proportional-hazard regression estimates with LDL and linear </w:t>
      </w:r>
      <w:proofErr w:type="spellStart"/>
      <w:r>
        <w:t>splines</w:t>
      </w:r>
      <w:proofErr w:type="spellEnd"/>
      <w:r>
        <w:t xml:space="preserve"> of LDL</w:t>
      </w:r>
      <w:r w:rsidR="00B81FEF">
        <w:t xml:space="preserve"> as predictors</w:t>
      </w:r>
    </w:p>
    <w:tbl>
      <w:tblPr>
        <w:tblW w:w="9279" w:type="dxa"/>
        <w:tblInd w:w="99" w:type="dxa"/>
        <w:tblLook w:val="04A0"/>
      </w:tblPr>
      <w:tblGrid>
        <w:gridCol w:w="3519"/>
        <w:gridCol w:w="1440"/>
        <w:gridCol w:w="2880"/>
        <w:gridCol w:w="1440"/>
      </w:tblGrid>
      <w:tr w:rsidR="00CA539E" w:rsidRPr="00CA539E" w:rsidTr="00CA539E">
        <w:trPr>
          <w:trHeight w:val="300"/>
        </w:trPr>
        <w:tc>
          <w:tcPr>
            <w:tcW w:w="3519" w:type="dxa"/>
            <w:tcBorders>
              <w:top w:val="single" w:sz="4" w:space="0" w:color="auto"/>
              <w:left w:val="nil"/>
              <w:bottom w:val="single" w:sz="4" w:space="0" w:color="auto"/>
              <w:right w:val="nil"/>
            </w:tcBorders>
            <w:shd w:val="clear" w:color="auto" w:fill="auto"/>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r w:rsidRPr="00CA539E">
              <w:rPr>
                <w:rFonts w:ascii="Calibri" w:eastAsia="Times New Roman" w:hAnsi="Calibri" w:cs="Times New Roman"/>
                <w:b/>
                <w:bCs/>
                <w:color w:val="000000"/>
              </w:rPr>
              <w:t>Variable</w:t>
            </w:r>
          </w:p>
        </w:tc>
        <w:tc>
          <w:tcPr>
            <w:tcW w:w="1440" w:type="dxa"/>
            <w:tcBorders>
              <w:top w:val="single" w:sz="4" w:space="0" w:color="auto"/>
              <w:left w:val="nil"/>
              <w:bottom w:val="single" w:sz="4" w:space="0" w:color="auto"/>
              <w:right w:val="nil"/>
            </w:tcBorders>
            <w:shd w:val="clear" w:color="auto" w:fill="auto"/>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r w:rsidRPr="00CA539E">
              <w:rPr>
                <w:rFonts w:ascii="Calibri" w:eastAsia="Times New Roman" w:hAnsi="Calibri" w:cs="Times New Roman"/>
                <w:b/>
                <w:bCs/>
                <w:color w:val="000000"/>
              </w:rPr>
              <w:t>Hazard-Ratio</w:t>
            </w:r>
          </w:p>
        </w:tc>
        <w:tc>
          <w:tcPr>
            <w:tcW w:w="2880" w:type="dxa"/>
            <w:tcBorders>
              <w:top w:val="single" w:sz="4" w:space="0" w:color="auto"/>
              <w:left w:val="nil"/>
              <w:bottom w:val="single" w:sz="4" w:space="0" w:color="auto"/>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r w:rsidRPr="00CA539E">
              <w:rPr>
                <w:rFonts w:ascii="Calibri" w:eastAsia="Times New Roman" w:hAnsi="Calibri" w:cs="Times New Roman"/>
                <w:b/>
                <w:bCs/>
                <w:color w:val="000000"/>
              </w:rPr>
              <w:t>95% CI</w:t>
            </w:r>
          </w:p>
        </w:tc>
        <w:tc>
          <w:tcPr>
            <w:tcW w:w="1440" w:type="dxa"/>
            <w:tcBorders>
              <w:top w:val="single" w:sz="4" w:space="0" w:color="auto"/>
              <w:left w:val="nil"/>
              <w:bottom w:val="single" w:sz="4" w:space="0" w:color="auto"/>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r w:rsidRPr="00CA539E">
              <w:rPr>
                <w:rFonts w:ascii="Calibri" w:eastAsia="Times New Roman" w:hAnsi="Calibri" w:cs="Times New Roman"/>
                <w:b/>
                <w:bCs/>
                <w:color w:val="000000"/>
              </w:rPr>
              <w:t>p-value</w:t>
            </w: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Total records in the model</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725</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Person-years</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3582.94</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Total deaths</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131</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r>
      <w:tr w:rsidR="00CA539E" w:rsidRPr="00CA539E" w:rsidTr="00CA539E">
        <w:trPr>
          <w:trHeight w:val="300"/>
        </w:trPr>
        <w:tc>
          <w:tcPr>
            <w:tcW w:w="3519" w:type="dxa"/>
            <w:tcBorders>
              <w:top w:val="nil"/>
              <w:left w:val="nil"/>
              <w:bottom w:val="nil"/>
              <w:right w:val="nil"/>
            </w:tcBorders>
            <w:shd w:val="clear" w:color="auto" w:fill="auto"/>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b/>
                <w:bCs/>
                <w:color w:val="000000"/>
              </w:rPr>
            </w:pP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proofErr w:type="spellStart"/>
            <w:r w:rsidRPr="00CA539E">
              <w:rPr>
                <w:rFonts w:ascii="Calibri" w:eastAsia="Times New Roman" w:hAnsi="Calibri" w:cs="Times New Roman"/>
                <w:color w:val="000000"/>
              </w:rPr>
              <w:t>Splines</w:t>
            </w:r>
            <w:proofErr w:type="spellEnd"/>
            <w:r w:rsidRPr="00CA539E">
              <w:rPr>
                <w:rFonts w:ascii="Calibri" w:eastAsia="Times New Roman" w:hAnsi="Calibri" w:cs="Times New Roman"/>
                <w:color w:val="000000"/>
              </w:rPr>
              <w:t xml:space="preserve"> of LDL (mg/dl)</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ind w:firstLineChars="100" w:firstLine="220"/>
              <w:rPr>
                <w:rFonts w:ascii="Calibri" w:eastAsia="Times New Roman" w:hAnsi="Calibri" w:cs="Times New Roman"/>
                <w:color w:val="000000"/>
              </w:rPr>
            </w:pPr>
            <w:r w:rsidRPr="00CA539E">
              <w:rPr>
                <w:rFonts w:ascii="Calibri" w:eastAsia="Times New Roman" w:hAnsi="Calibri" w:cs="Times New Roman"/>
                <w:color w:val="000000"/>
              </w:rPr>
              <w:t>&lt; 70</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0.978</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0.960 - 0.996</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0.019</w:t>
            </w: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ind w:firstLineChars="100" w:firstLine="220"/>
              <w:rPr>
                <w:rFonts w:ascii="Calibri" w:eastAsia="Times New Roman" w:hAnsi="Calibri" w:cs="Times New Roman"/>
                <w:color w:val="000000"/>
              </w:rPr>
            </w:pPr>
            <w:r w:rsidRPr="00CA539E">
              <w:rPr>
                <w:rFonts w:ascii="Calibri" w:eastAsia="Times New Roman" w:hAnsi="Calibri" w:cs="Times New Roman"/>
                <w:color w:val="000000"/>
              </w:rPr>
              <w:t>70 - 100</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0.979</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0.953 - 1.006</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0.131</w:t>
            </w: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ind w:firstLineChars="100" w:firstLine="220"/>
              <w:rPr>
                <w:rFonts w:ascii="Calibri" w:eastAsia="Times New Roman" w:hAnsi="Calibri" w:cs="Times New Roman"/>
                <w:color w:val="000000"/>
              </w:rPr>
            </w:pPr>
            <w:r w:rsidRPr="00CA539E">
              <w:rPr>
                <w:rFonts w:ascii="Calibri" w:eastAsia="Times New Roman" w:hAnsi="Calibri" w:cs="Times New Roman"/>
                <w:color w:val="000000"/>
              </w:rPr>
              <w:t>100 - 130</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0.999</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0.978 - 1.021</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0.934</w:t>
            </w: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ind w:firstLineChars="100" w:firstLine="220"/>
              <w:rPr>
                <w:rFonts w:ascii="Calibri" w:eastAsia="Times New Roman" w:hAnsi="Calibri" w:cs="Times New Roman"/>
                <w:color w:val="000000"/>
              </w:rPr>
            </w:pPr>
            <w:r w:rsidRPr="00CA539E">
              <w:rPr>
                <w:rFonts w:ascii="Calibri" w:eastAsia="Times New Roman" w:hAnsi="Calibri" w:cs="Times New Roman"/>
                <w:color w:val="000000"/>
              </w:rPr>
              <w:t>130 - 160</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0.998</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0.974 - 1.022</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0.875</w:t>
            </w: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ind w:firstLineChars="100" w:firstLine="220"/>
              <w:rPr>
                <w:rFonts w:ascii="Calibri" w:eastAsia="Times New Roman" w:hAnsi="Calibri" w:cs="Times New Roman"/>
                <w:color w:val="000000"/>
              </w:rPr>
            </w:pPr>
            <w:r w:rsidRPr="00CA539E">
              <w:rPr>
                <w:rFonts w:ascii="Calibri" w:eastAsia="Times New Roman" w:hAnsi="Calibri" w:cs="Times New Roman"/>
                <w:color w:val="000000"/>
              </w:rPr>
              <w:t>160 - 400</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0.994</w:t>
            </w:r>
          </w:p>
        </w:tc>
        <w:tc>
          <w:tcPr>
            <w:tcW w:w="288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0.966 - 1.023</w:t>
            </w:r>
          </w:p>
        </w:tc>
        <w:tc>
          <w:tcPr>
            <w:tcW w:w="1440" w:type="dxa"/>
            <w:tcBorders>
              <w:top w:val="nil"/>
              <w:left w:val="nil"/>
              <w:bottom w:val="nil"/>
              <w:right w:val="nil"/>
            </w:tcBorders>
            <w:shd w:val="clear" w:color="auto" w:fill="auto"/>
            <w:noWrap/>
            <w:vAlign w:val="center"/>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0.678</w:t>
            </w:r>
          </w:p>
        </w:tc>
      </w:tr>
      <w:tr w:rsidR="00CA539E" w:rsidRPr="00CA539E" w:rsidTr="00CA539E">
        <w:trPr>
          <w:trHeight w:val="300"/>
        </w:trPr>
        <w:tc>
          <w:tcPr>
            <w:tcW w:w="3519" w:type="dxa"/>
            <w:tcBorders>
              <w:top w:val="nil"/>
              <w:left w:val="nil"/>
              <w:bottom w:val="single" w:sz="4" w:space="0" w:color="auto"/>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 </w:t>
            </w:r>
          </w:p>
        </w:tc>
        <w:tc>
          <w:tcPr>
            <w:tcW w:w="2880" w:type="dxa"/>
            <w:tcBorders>
              <w:top w:val="nil"/>
              <w:left w:val="nil"/>
              <w:bottom w:val="single" w:sz="4" w:space="0" w:color="auto"/>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 </w:t>
            </w:r>
          </w:p>
        </w:tc>
      </w:tr>
      <w:tr w:rsidR="00CA539E" w:rsidRPr="00CA539E" w:rsidTr="00CA539E">
        <w:trPr>
          <w:trHeight w:val="300"/>
        </w:trPr>
        <w:tc>
          <w:tcPr>
            <w:tcW w:w="3519"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r w:rsidRPr="00CA539E">
              <w:rPr>
                <w:rFonts w:ascii="Calibri" w:eastAsia="Times New Roman" w:hAnsi="Calibri" w:cs="Times New Roman"/>
                <w:color w:val="000000"/>
              </w:rPr>
              <w:t>Overall model Wald-test p-value</w:t>
            </w:r>
          </w:p>
        </w:tc>
        <w:tc>
          <w:tcPr>
            <w:tcW w:w="1440"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bottom"/>
            <w:hideMark/>
          </w:tcPr>
          <w:p w:rsidR="00CA539E" w:rsidRPr="00CA539E" w:rsidRDefault="00CA539E" w:rsidP="00CA539E">
            <w:pPr>
              <w:spacing w:after="0" w:line="240" w:lineRule="auto"/>
              <w:jc w:val="center"/>
              <w:rPr>
                <w:rFonts w:ascii="Calibri" w:eastAsia="Times New Roman" w:hAnsi="Calibri" w:cs="Times New Roman"/>
                <w:color w:val="000000"/>
              </w:rPr>
            </w:pPr>
            <w:r w:rsidRPr="00CA539E">
              <w:rPr>
                <w:rFonts w:ascii="Calibri" w:eastAsia="Times New Roman" w:hAnsi="Calibri" w:cs="Times New Roman"/>
                <w:color w:val="000000"/>
              </w:rPr>
              <w:t>p &lt; 0.0001</w:t>
            </w:r>
          </w:p>
        </w:tc>
      </w:tr>
    </w:tbl>
    <w:p w:rsidR="00CB5270" w:rsidRDefault="00CB5270" w:rsidP="00407BB3">
      <w:pPr>
        <w:rPr>
          <w:rFonts w:ascii="Calibri" w:eastAsia="Times New Roman" w:hAnsi="Calibri" w:cs="Times New Roman"/>
          <w:color w:val="000000"/>
        </w:rPr>
      </w:pPr>
    </w:p>
    <w:p w:rsidR="00091375" w:rsidRDefault="00091375" w:rsidP="00091375">
      <w:pPr>
        <w:rPr>
          <w:rFonts w:ascii="Calibri" w:eastAsia="Times New Roman" w:hAnsi="Calibri" w:cs="Times New Roman"/>
          <w:color w:val="000000"/>
        </w:rPr>
      </w:pPr>
      <w:r>
        <w:lastRenderedPageBreak/>
        <w:t>Results: There are 735 subjects in the dataset but 10 miss LDL serum data. Among the 725 subjects we recorded 3582.94 person-years of follow up and found 131 deaths as shown on table 4. The global Wald-test is 30.15 corresponding to a p-value &lt; 0.0001 for 5 degrees of freedom. So we reject the null hypothesis of all coefficients of the model to be zero (in log hazard scale); so there is an association between time to death and serum LDL. The Wald-test</w:t>
      </w:r>
      <w:r w:rsidR="0038759A">
        <w:t xml:space="preserve"> for similar coefficients in each segment defined by </w:t>
      </w:r>
      <w:proofErr w:type="spellStart"/>
      <w:r w:rsidR="0038759A">
        <w:t>splines</w:t>
      </w:r>
      <w:proofErr w:type="spellEnd"/>
      <w:r w:rsidR="0038759A">
        <w:t xml:space="preserve"> knots</w:t>
      </w:r>
      <w:r>
        <w:t xml:space="preserve"> </w:t>
      </w:r>
      <w:r w:rsidR="0038759A">
        <w:rPr>
          <w:rFonts w:ascii="Calibri" w:eastAsia="Times New Roman" w:hAnsi="Calibri" w:cs="Times New Roman"/>
          <w:color w:val="000000"/>
        </w:rPr>
        <w:t>has p-value of 0.1172 (&gt; 5%)</w:t>
      </w:r>
      <w:r>
        <w:rPr>
          <w:rFonts w:ascii="Calibri" w:eastAsia="Times New Roman" w:hAnsi="Calibri" w:cs="Times New Roman"/>
          <w:color w:val="000000"/>
        </w:rPr>
        <w:t xml:space="preserve">. So we fail to reject the null hypothesis that all LDL </w:t>
      </w:r>
      <w:proofErr w:type="spellStart"/>
      <w:r>
        <w:rPr>
          <w:rFonts w:ascii="Calibri" w:eastAsia="Times New Roman" w:hAnsi="Calibri" w:cs="Times New Roman"/>
          <w:color w:val="000000"/>
        </w:rPr>
        <w:t>spline</w:t>
      </w:r>
      <w:proofErr w:type="spellEnd"/>
      <w:r>
        <w:rPr>
          <w:rFonts w:ascii="Calibri" w:eastAsia="Times New Roman" w:hAnsi="Calibri" w:cs="Times New Roman"/>
          <w:color w:val="000000"/>
        </w:rPr>
        <w:t xml:space="preserve"> terms have </w:t>
      </w:r>
      <w:r w:rsidR="0038759A">
        <w:rPr>
          <w:rFonts w:ascii="Calibri" w:eastAsia="Times New Roman" w:hAnsi="Calibri" w:cs="Times New Roman"/>
          <w:color w:val="000000"/>
        </w:rPr>
        <w:t xml:space="preserve">the same </w:t>
      </w:r>
      <w:proofErr w:type="spellStart"/>
      <w:r w:rsidR="0038759A">
        <w:rPr>
          <w:rFonts w:ascii="Calibri" w:eastAsia="Times New Roman" w:hAnsi="Calibri" w:cs="Times New Roman"/>
          <w:color w:val="000000"/>
        </w:rPr>
        <w:t>coeficient</w:t>
      </w:r>
      <w:proofErr w:type="spellEnd"/>
      <w:r>
        <w:rPr>
          <w:rFonts w:ascii="Calibri" w:eastAsia="Times New Roman" w:hAnsi="Calibri" w:cs="Times New Roman"/>
          <w:color w:val="000000"/>
        </w:rPr>
        <w:t>; so a linear relationship is adequate based on this model.</w:t>
      </w:r>
    </w:p>
    <w:p w:rsidR="0092154E" w:rsidRDefault="0092154E" w:rsidP="0092154E">
      <w:r>
        <w:rPr>
          <w:rFonts w:ascii="Calibri" w:eastAsia="Times New Roman" w:hAnsi="Calibri" w:cs="Times New Roman"/>
          <w:color w:val="000000"/>
        </w:rPr>
        <w:t>1e.</w:t>
      </w:r>
      <w:r w:rsidRPr="0092154E">
        <w:t xml:space="preserve"> </w:t>
      </w:r>
      <w:r>
        <w:t xml:space="preserve">Methods: We investigate the association between time to death and serum LDL. We evaluate the linearity relationship between </w:t>
      </w:r>
      <w:r w:rsidRPr="00C83DD3">
        <w:t>log hazard</w:t>
      </w:r>
      <w:r>
        <w:t xml:space="preserve"> function and LDL using a Cox proportional-hazards model with robust standard errors. As predictors we include LDL serum levels and natural logarithm of LDL. The coefficient estimate of the </w:t>
      </w:r>
      <w:r w:rsidR="001B6240">
        <w:t xml:space="preserve">logarithm </w:t>
      </w:r>
      <w:r>
        <w:t xml:space="preserve">is used to test the null hypothesis that a linear association log hazard ratio and untransformed LDL are adequate to describe the data. A Wald test for the </w:t>
      </w:r>
      <w:r w:rsidR="001B6240">
        <w:t xml:space="preserve">logarithm </w:t>
      </w:r>
      <w:r>
        <w:t>term is employed as statistical evidence for coefficient to be different from zero; thus a nonlinear association.  95% confidence intervals and two-sided p values were computed using Wald statistics based on the Huber-White sandwich estimator for the standard error. In all tests the significance level is set to 5%.</w:t>
      </w:r>
    </w:p>
    <w:p w:rsidR="0092154E" w:rsidRDefault="0092154E" w:rsidP="0092154E">
      <w:r>
        <w:t xml:space="preserve">Time to event on the original dataset is in days. We transformed it to years considering </w:t>
      </w:r>
      <w:r w:rsidR="00361124">
        <w:t>that each year has 365.25 days.</w:t>
      </w:r>
    </w:p>
    <w:p w:rsidR="0092154E" w:rsidRDefault="0092154E" w:rsidP="0092154E">
      <w:pPr>
        <w:rPr>
          <w:rFonts w:ascii="Calibri" w:eastAsia="Times New Roman" w:hAnsi="Calibri" w:cs="Times New Roman"/>
          <w:color w:val="000000"/>
        </w:rPr>
      </w:pPr>
      <w:r>
        <w:t xml:space="preserve">Results: There are 735 subjects in the dataset but 10 miss LDL serum data. Among the 725 subjects we recorded 3582.94 person-years of follow up and found 131 deaths as shown on table </w:t>
      </w:r>
      <w:r w:rsidR="001B6240">
        <w:t>5</w:t>
      </w:r>
      <w:r w:rsidR="00A57499">
        <w:t>. The global Wald-test is 33.15</w:t>
      </w:r>
      <w:r>
        <w:t xml:space="preserve"> correspon</w:t>
      </w:r>
      <w:r w:rsidR="00A57499">
        <w:t>ding to a p-value &lt; 0.0001 for 2</w:t>
      </w:r>
      <w:r>
        <w:t xml:space="preserve"> degrees of freedom. So we reject the null hypothesis of all coefficients of the model to be zero (in log hazard scale); so there is</w:t>
      </w:r>
      <w:r w:rsidR="00A57499">
        <w:t xml:space="preserve"> an</w:t>
      </w:r>
      <w:r>
        <w:t xml:space="preserve"> association between time to death and serum LDL. The Wald-test for </w:t>
      </w:r>
      <w:r w:rsidRPr="00043528">
        <w:rPr>
          <w:rFonts w:ascii="Calibri" w:eastAsia="Times New Roman" w:hAnsi="Calibri" w:cs="Times New Roman"/>
          <w:color w:val="000000"/>
        </w:rPr>
        <w:t xml:space="preserve">LDL </w:t>
      </w:r>
      <w:r w:rsidR="008965E7">
        <w:t xml:space="preserve">logarithm </w:t>
      </w:r>
      <w:r w:rsidR="008965E7">
        <w:rPr>
          <w:rFonts w:ascii="Calibri" w:eastAsia="Times New Roman" w:hAnsi="Calibri" w:cs="Times New Roman"/>
          <w:color w:val="000000"/>
        </w:rPr>
        <w:t xml:space="preserve">term has p-value &lt; 5%; so we </w:t>
      </w:r>
      <w:r>
        <w:rPr>
          <w:rFonts w:ascii="Calibri" w:eastAsia="Times New Roman" w:hAnsi="Calibri" w:cs="Times New Roman"/>
          <w:color w:val="000000"/>
        </w:rPr>
        <w:t xml:space="preserve">reject the null hypothesis that the </w:t>
      </w:r>
      <w:r w:rsidR="008965E7">
        <w:t xml:space="preserve">logarithm </w:t>
      </w:r>
      <w:r>
        <w:rPr>
          <w:rFonts w:ascii="Calibri" w:eastAsia="Times New Roman" w:hAnsi="Calibri" w:cs="Times New Roman"/>
          <w:color w:val="000000"/>
        </w:rPr>
        <w:t xml:space="preserve">term has coefficient equal to zero (in log hazard scale); so </w:t>
      </w:r>
      <w:r w:rsidR="008965E7">
        <w:rPr>
          <w:rFonts w:ascii="Calibri" w:eastAsia="Times New Roman" w:hAnsi="Calibri" w:cs="Times New Roman"/>
          <w:color w:val="000000"/>
        </w:rPr>
        <w:t>there is a non-</w:t>
      </w:r>
      <w:r>
        <w:rPr>
          <w:rFonts w:ascii="Calibri" w:eastAsia="Times New Roman" w:hAnsi="Calibri" w:cs="Times New Roman"/>
          <w:color w:val="000000"/>
        </w:rPr>
        <w:t xml:space="preserve">linear relationship is </w:t>
      </w:r>
      <w:r w:rsidR="008965E7">
        <w:rPr>
          <w:rFonts w:ascii="Calibri" w:eastAsia="Times New Roman" w:hAnsi="Calibri" w:cs="Times New Roman"/>
          <w:color w:val="000000"/>
        </w:rPr>
        <w:t>according to</w:t>
      </w:r>
      <w:r>
        <w:rPr>
          <w:rFonts w:ascii="Calibri" w:eastAsia="Times New Roman" w:hAnsi="Calibri" w:cs="Times New Roman"/>
          <w:color w:val="000000"/>
        </w:rPr>
        <w:t xml:space="preserve"> this model.</w:t>
      </w:r>
    </w:p>
    <w:p w:rsidR="004777E6" w:rsidRDefault="004777E6" w:rsidP="0092154E">
      <w:pPr>
        <w:rPr>
          <w:rFonts w:ascii="Calibri" w:eastAsia="Times New Roman" w:hAnsi="Calibri" w:cs="Times New Roman"/>
          <w:color w:val="000000"/>
        </w:rPr>
      </w:pPr>
      <w:r>
        <w:t xml:space="preserve">Table 5 – Cox proportional-hazard regression estimates with LDL and </w:t>
      </w:r>
      <w:r w:rsidR="008965E7">
        <w:t xml:space="preserve">natural logarithm of LDL </w:t>
      </w:r>
      <w:r>
        <w:t>as predictors</w:t>
      </w:r>
    </w:p>
    <w:tbl>
      <w:tblPr>
        <w:tblW w:w="8108" w:type="dxa"/>
        <w:tblInd w:w="99" w:type="dxa"/>
        <w:tblLook w:val="04A0"/>
      </w:tblPr>
      <w:tblGrid>
        <w:gridCol w:w="3879"/>
        <w:gridCol w:w="1140"/>
        <w:gridCol w:w="1649"/>
        <w:gridCol w:w="1440"/>
      </w:tblGrid>
      <w:tr w:rsidR="004777E6" w:rsidRPr="004777E6" w:rsidTr="004777E6">
        <w:trPr>
          <w:trHeight w:val="600"/>
        </w:trPr>
        <w:tc>
          <w:tcPr>
            <w:tcW w:w="3879" w:type="dxa"/>
            <w:tcBorders>
              <w:top w:val="single" w:sz="4" w:space="0" w:color="auto"/>
              <w:left w:val="nil"/>
              <w:bottom w:val="single" w:sz="4" w:space="0" w:color="auto"/>
              <w:right w:val="nil"/>
            </w:tcBorders>
            <w:shd w:val="clear" w:color="auto" w:fill="auto"/>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r w:rsidRPr="004777E6">
              <w:rPr>
                <w:rFonts w:ascii="Calibri" w:eastAsia="Times New Roman" w:hAnsi="Calibri" w:cs="Times New Roman"/>
                <w:b/>
                <w:bCs/>
                <w:color w:val="000000"/>
              </w:rPr>
              <w:t>Variable</w:t>
            </w:r>
          </w:p>
        </w:tc>
        <w:tc>
          <w:tcPr>
            <w:tcW w:w="1140" w:type="dxa"/>
            <w:tcBorders>
              <w:top w:val="single" w:sz="4" w:space="0" w:color="auto"/>
              <w:left w:val="nil"/>
              <w:bottom w:val="single" w:sz="4" w:space="0" w:color="auto"/>
              <w:right w:val="nil"/>
            </w:tcBorders>
            <w:shd w:val="clear" w:color="auto" w:fill="auto"/>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r w:rsidRPr="004777E6">
              <w:rPr>
                <w:rFonts w:ascii="Calibri" w:eastAsia="Times New Roman" w:hAnsi="Calibri" w:cs="Times New Roman"/>
                <w:b/>
                <w:bCs/>
                <w:color w:val="000000"/>
              </w:rPr>
              <w:t>Hazard-Ratio</w:t>
            </w:r>
          </w:p>
        </w:tc>
        <w:tc>
          <w:tcPr>
            <w:tcW w:w="1649" w:type="dxa"/>
            <w:tcBorders>
              <w:top w:val="single" w:sz="4" w:space="0" w:color="auto"/>
              <w:left w:val="nil"/>
              <w:bottom w:val="single" w:sz="4" w:space="0" w:color="auto"/>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r w:rsidRPr="004777E6">
              <w:rPr>
                <w:rFonts w:ascii="Calibri" w:eastAsia="Times New Roman" w:hAnsi="Calibri" w:cs="Times New Roman"/>
                <w:b/>
                <w:bCs/>
                <w:color w:val="000000"/>
              </w:rPr>
              <w:t>95% CI</w:t>
            </w:r>
          </w:p>
        </w:tc>
        <w:tc>
          <w:tcPr>
            <w:tcW w:w="1440" w:type="dxa"/>
            <w:tcBorders>
              <w:top w:val="single" w:sz="4" w:space="0" w:color="auto"/>
              <w:left w:val="nil"/>
              <w:bottom w:val="single" w:sz="4" w:space="0" w:color="auto"/>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r w:rsidRPr="004777E6">
              <w:rPr>
                <w:rFonts w:ascii="Calibri" w:eastAsia="Times New Roman" w:hAnsi="Calibri" w:cs="Times New Roman"/>
                <w:b/>
                <w:bCs/>
                <w:color w:val="000000"/>
              </w:rPr>
              <w:t>p-value</w:t>
            </w: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Total records in the model</w:t>
            </w:r>
          </w:p>
        </w:tc>
        <w:tc>
          <w:tcPr>
            <w:tcW w:w="11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725</w:t>
            </w:r>
          </w:p>
        </w:tc>
        <w:tc>
          <w:tcPr>
            <w:tcW w:w="1649"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Person-years</w:t>
            </w:r>
          </w:p>
        </w:tc>
        <w:tc>
          <w:tcPr>
            <w:tcW w:w="11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3582.94</w:t>
            </w:r>
          </w:p>
        </w:tc>
        <w:tc>
          <w:tcPr>
            <w:tcW w:w="1649"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Total deaths</w:t>
            </w:r>
          </w:p>
        </w:tc>
        <w:tc>
          <w:tcPr>
            <w:tcW w:w="11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131</w:t>
            </w:r>
          </w:p>
        </w:tc>
        <w:tc>
          <w:tcPr>
            <w:tcW w:w="1649"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r>
      <w:tr w:rsidR="004777E6" w:rsidRPr="004777E6" w:rsidTr="004777E6">
        <w:trPr>
          <w:trHeight w:val="300"/>
        </w:trPr>
        <w:tc>
          <w:tcPr>
            <w:tcW w:w="3879" w:type="dxa"/>
            <w:tcBorders>
              <w:top w:val="nil"/>
              <w:left w:val="nil"/>
              <w:bottom w:val="nil"/>
              <w:right w:val="nil"/>
            </w:tcBorders>
            <w:shd w:val="clear" w:color="auto" w:fill="auto"/>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c>
          <w:tcPr>
            <w:tcW w:w="1140" w:type="dxa"/>
            <w:tcBorders>
              <w:top w:val="nil"/>
              <w:left w:val="nil"/>
              <w:bottom w:val="nil"/>
              <w:right w:val="nil"/>
            </w:tcBorders>
            <w:shd w:val="clear" w:color="auto" w:fill="auto"/>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c>
          <w:tcPr>
            <w:tcW w:w="1649"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b/>
                <w:bCs/>
                <w:color w:val="000000"/>
              </w:rPr>
            </w:pP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Untransformed LDL</w:t>
            </w:r>
            <w:r w:rsidR="00257989" w:rsidRPr="00CB5270">
              <w:rPr>
                <w:rFonts w:ascii="Calibri" w:eastAsia="Times New Roman" w:hAnsi="Calibri" w:cs="Times New Roman"/>
                <w:color w:val="000000"/>
              </w:rPr>
              <w:t xml:space="preserve"> </w:t>
            </w:r>
            <w:r w:rsidRPr="004777E6">
              <w:rPr>
                <w:rFonts w:ascii="Calibri" w:eastAsia="Times New Roman" w:hAnsi="Calibri" w:cs="Times New Roman"/>
                <w:color w:val="000000"/>
              </w:rPr>
              <w:t>(mg/dl)</w:t>
            </w:r>
          </w:p>
        </w:tc>
        <w:tc>
          <w:tcPr>
            <w:tcW w:w="11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1.002</w:t>
            </w:r>
          </w:p>
        </w:tc>
        <w:tc>
          <w:tcPr>
            <w:tcW w:w="1649"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0.992 - 1.012</w:t>
            </w:r>
          </w:p>
        </w:tc>
        <w:tc>
          <w:tcPr>
            <w:tcW w:w="14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0.650</w:t>
            </w: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Natural logarithm of LDL (mg/dl)</w:t>
            </w:r>
          </w:p>
        </w:tc>
        <w:tc>
          <w:tcPr>
            <w:tcW w:w="11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0.360</w:t>
            </w:r>
          </w:p>
        </w:tc>
        <w:tc>
          <w:tcPr>
            <w:tcW w:w="1649"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0.181 - 0.716</w:t>
            </w:r>
          </w:p>
        </w:tc>
        <w:tc>
          <w:tcPr>
            <w:tcW w:w="1440" w:type="dxa"/>
            <w:tcBorders>
              <w:top w:val="nil"/>
              <w:left w:val="nil"/>
              <w:bottom w:val="nil"/>
              <w:right w:val="nil"/>
            </w:tcBorders>
            <w:shd w:val="clear" w:color="auto" w:fill="auto"/>
            <w:noWrap/>
            <w:vAlign w:val="center"/>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0.004</w:t>
            </w:r>
          </w:p>
        </w:tc>
      </w:tr>
      <w:tr w:rsidR="004777E6" w:rsidRPr="004777E6" w:rsidTr="004777E6">
        <w:trPr>
          <w:trHeight w:val="300"/>
        </w:trPr>
        <w:tc>
          <w:tcPr>
            <w:tcW w:w="3879" w:type="dxa"/>
            <w:tcBorders>
              <w:top w:val="nil"/>
              <w:left w:val="nil"/>
              <w:bottom w:val="single" w:sz="4" w:space="0" w:color="auto"/>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 </w:t>
            </w:r>
          </w:p>
        </w:tc>
        <w:tc>
          <w:tcPr>
            <w:tcW w:w="1140" w:type="dxa"/>
            <w:tcBorders>
              <w:top w:val="nil"/>
              <w:left w:val="nil"/>
              <w:bottom w:val="single" w:sz="4" w:space="0" w:color="auto"/>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 </w:t>
            </w:r>
          </w:p>
        </w:tc>
        <w:tc>
          <w:tcPr>
            <w:tcW w:w="1649" w:type="dxa"/>
            <w:tcBorders>
              <w:top w:val="nil"/>
              <w:left w:val="nil"/>
              <w:bottom w:val="single" w:sz="4" w:space="0" w:color="auto"/>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 </w:t>
            </w: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Overall model Wald-test p-value</w:t>
            </w:r>
          </w:p>
        </w:tc>
        <w:tc>
          <w:tcPr>
            <w:tcW w:w="1140"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p>
        </w:tc>
        <w:tc>
          <w:tcPr>
            <w:tcW w:w="164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p &lt; 0.0001</w:t>
            </w:r>
          </w:p>
        </w:tc>
      </w:tr>
      <w:tr w:rsidR="004777E6" w:rsidRPr="004777E6" w:rsidTr="004777E6">
        <w:trPr>
          <w:trHeight w:val="300"/>
        </w:trPr>
        <w:tc>
          <w:tcPr>
            <w:tcW w:w="387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r w:rsidRPr="004777E6">
              <w:rPr>
                <w:rFonts w:ascii="Calibri" w:eastAsia="Times New Roman" w:hAnsi="Calibri" w:cs="Times New Roman"/>
                <w:color w:val="000000"/>
              </w:rPr>
              <w:t>Natural logarithm LDL Wald-test p-value</w:t>
            </w:r>
          </w:p>
        </w:tc>
        <w:tc>
          <w:tcPr>
            <w:tcW w:w="1140"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p>
        </w:tc>
        <w:tc>
          <w:tcPr>
            <w:tcW w:w="1649"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bottom"/>
            <w:hideMark/>
          </w:tcPr>
          <w:p w:rsidR="004777E6" w:rsidRPr="004777E6" w:rsidRDefault="004777E6" w:rsidP="004777E6">
            <w:pPr>
              <w:spacing w:after="0" w:line="240" w:lineRule="auto"/>
              <w:jc w:val="center"/>
              <w:rPr>
                <w:rFonts w:ascii="Calibri" w:eastAsia="Times New Roman" w:hAnsi="Calibri" w:cs="Times New Roman"/>
                <w:color w:val="000000"/>
              </w:rPr>
            </w:pPr>
            <w:r w:rsidRPr="004777E6">
              <w:rPr>
                <w:rFonts w:ascii="Calibri" w:eastAsia="Times New Roman" w:hAnsi="Calibri" w:cs="Times New Roman"/>
                <w:color w:val="000000"/>
              </w:rPr>
              <w:t>0.0036</w:t>
            </w:r>
          </w:p>
        </w:tc>
      </w:tr>
    </w:tbl>
    <w:p w:rsidR="00091375" w:rsidRDefault="00091375" w:rsidP="00407BB3">
      <w:pPr>
        <w:rPr>
          <w:rFonts w:ascii="Calibri" w:eastAsia="Times New Roman" w:hAnsi="Calibri" w:cs="Times New Roman"/>
          <w:color w:val="000000"/>
        </w:rPr>
      </w:pPr>
    </w:p>
    <w:p w:rsidR="00281434" w:rsidRDefault="00B61E41" w:rsidP="00407BB3">
      <w:pPr>
        <w:rPr>
          <w:rFonts w:ascii="Calibri" w:eastAsia="Times New Roman" w:hAnsi="Calibri" w:cs="Times New Roman"/>
          <w:color w:val="000000"/>
        </w:rPr>
      </w:pPr>
      <w:r>
        <w:rPr>
          <w:rFonts w:ascii="Calibri" w:eastAsia="Times New Roman" w:hAnsi="Calibri" w:cs="Times New Roman"/>
          <w:color w:val="000000"/>
        </w:rPr>
        <w:t>1f</w:t>
      </w:r>
      <w:r w:rsidR="008A07BC">
        <w:rPr>
          <w:rFonts w:ascii="Calibri" w:eastAsia="Times New Roman" w:hAnsi="Calibri" w:cs="Times New Roman"/>
          <w:color w:val="000000"/>
        </w:rPr>
        <w:t>)</w:t>
      </w:r>
      <w:r w:rsidR="00281434">
        <w:rPr>
          <w:rFonts w:ascii="Calibri" w:eastAsia="Times New Roman" w:hAnsi="Calibri" w:cs="Times New Roman"/>
          <w:color w:val="000000"/>
        </w:rPr>
        <w:t xml:space="preserve"> Methods</w:t>
      </w:r>
      <w:r w:rsidR="00596038">
        <w:rPr>
          <w:rFonts w:ascii="Calibri" w:eastAsia="Times New Roman" w:hAnsi="Calibri" w:cs="Times New Roman"/>
          <w:color w:val="000000"/>
        </w:rPr>
        <w:t xml:space="preserve">: </w:t>
      </w:r>
      <w:r w:rsidR="0061740B">
        <w:rPr>
          <w:rFonts w:ascii="Calibri" w:eastAsia="Times New Roman" w:hAnsi="Calibri" w:cs="Times New Roman"/>
          <w:color w:val="000000"/>
        </w:rPr>
        <w:t>Scatter</w:t>
      </w:r>
      <w:r w:rsidR="00596038">
        <w:rPr>
          <w:rFonts w:ascii="Calibri" w:eastAsia="Times New Roman" w:hAnsi="Calibri" w:cs="Times New Roman"/>
          <w:color w:val="000000"/>
        </w:rPr>
        <w:t xml:space="preserve"> plots are used to display the fitted values from each model on exercise 1a, 1b, 1c, 1d and 1e against the LDL levels.</w:t>
      </w:r>
      <w:r w:rsidR="00253090">
        <w:rPr>
          <w:rFonts w:ascii="Calibri" w:eastAsia="Times New Roman" w:hAnsi="Calibri" w:cs="Times New Roman"/>
          <w:color w:val="000000"/>
        </w:rPr>
        <w:t xml:space="preserve"> Also the scatter from the fitted values from a Cox proportional hazards model with </w:t>
      </w:r>
      <w:proofErr w:type="spellStart"/>
      <w:r w:rsidR="00253090">
        <w:rPr>
          <w:rFonts w:ascii="Calibri" w:eastAsia="Times New Roman" w:hAnsi="Calibri" w:cs="Times New Roman"/>
          <w:color w:val="000000"/>
        </w:rPr>
        <w:t>centred</w:t>
      </w:r>
      <w:proofErr w:type="spellEnd"/>
      <w:r w:rsidR="00253090">
        <w:rPr>
          <w:rFonts w:ascii="Calibri" w:eastAsia="Times New Roman" w:hAnsi="Calibri" w:cs="Times New Roman"/>
          <w:color w:val="000000"/>
        </w:rPr>
        <w:t xml:space="preserve"> LDL is included.</w:t>
      </w:r>
      <w:r w:rsidR="00596038">
        <w:rPr>
          <w:rFonts w:ascii="Calibri" w:eastAsia="Times New Roman" w:hAnsi="Calibri" w:cs="Times New Roman"/>
          <w:color w:val="000000"/>
        </w:rPr>
        <w:t xml:space="preserve"> </w:t>
      </w:r>
      <w:r w:rsidR="00255CF8">
        <w:rPr>
          <w:rFonts w:ascii="Calibri" w:eastAsia="Times New Roman" w:hAnsi="Calibri" w:cs="Times New Roman"/>
          <w:color w:val="000000"/>
        </w:rPr>
        <w:t xml:space="preserve">The Y-axis is shown in logarithm scale given the multiplicative nature of the models discussed. </w:t>
      </w:r>
      <w:r w:rsidR="00596038">
        <w:rPr>
          <w:rFonts w:ascii="Calibri" w:eastAsia="Times New Roman" w:hAnsi="Calibri" w:cs="Times New Roman"/>
          <w:color w:val="000000"/>
        </w:rPr>
        <w:t xml:space="preserve">The specific methods are described above on respective section for the model. For note, all models have LDL centered at 1mg/dl in order to have the same reference on the graphic comparison we intent. </w:t>
      </w:r>
    </w:p>
    <w:p w:rsidR="00407BB3" w:rsidRDefault="008A07BC" w:rsidP="00376381">
      <w:r>
        <w:t>Results:</w:t>
      </w:r>
      <w:r w:rsidR="00CF001D">
        <w:t xml:space="preserve"> The fitted values are displayed on </w:t>
      </w:r>
      <w:r w:rsidR="008F7699">
        <w:t>figure</w:t>
      </w:r>
      <w:r w:rsidR="00CF001D">
        <w:t xml:space="preserve"> 1.</w:t>
      </w:r>
    </w:p>
    <w:p w:rsidR="00BD286C" w:rsidRDefault="00255CF8" w:rsidP="00376381">
      <w:r>
        <w:t xml:space="preserve">All models agree in </w:t>
      </w:r>
      <w:r w:rsidR="0061740B">
        <w:t xml:space="preserve">a </w:t>
      </w:r>
      <w:r>
        <w:t>descent relationship of the relative hazard</w:t>
      </w:r>
      <w:r w:rsidR="0061740B">
        <w:t xml:space="preserve"> with increasing levels of LDL; although the quadratic model show some descent pattern until 150-160 mg/</w:t>
      </w:r>
      <w:proofErr w:type="spellStart"/>
      <w:r w:rsidR="0061740B">
        <w:t>ldl</w:t>
      </w:r>
      <w:proofErr w:type="spellEnd"/>
      <w:r w:rsidR="0061740B">
        <w:t xml:space="preserve"> (of LDL) and then show some increase.</w:t>
      </w:r>
    </w:p>
    <w:p w:rsidR="0084219E" w:rsidRDefault="005832F9">
      <w:r>
        <w:rPr>
          <w:noProof/>
        </w:rPr>
        <w:lastRenderedPageBreak/>
        <w:drawing>
          <wp:inline distT="0" distB="0" distL="0" distR="0">
            <wp:extent cx="5553075" cy="4038600"/>
            <wp:effectExtent l="19050" t="0" r="9525" b="0"/>
            <wp:docPr id="5" name="Picture 4" descr="q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f.tif"/>
                    <pic:cNvPicPr/>
                  </pic:nvPicPr>
                  <pic:blipFill>
                    <a:blip r:embed="rId6"/>
                    <a:stretch>
                      <a:fillRect/>
                    </a:stretch>
                  </pic:blipFill>
                  <pic:spPr>
                    <a:xfrm>
                      <a:off x="0" y="0"/>
                      <a:ext cx="5553075" cy="4038600"/>
                    </a:xfrm>
                    <a:prstGeom prst="rect">
                      <a:avLst/>
                    </a:prstGeom>
                  </pic:spPr>
                </pic:pic>
              </a:graphicData>
            </a:graphic>
          </wp:inline>
        </w:drawing>
      </w:r>
    </w:p>
    <w:p w:rsidR="00086A48" w:rsidRDefault="00086A48">
      <w:r>
        <w:t xml:space="preserve">Figure 1 </w:t>
      </w:r>
      <w:r w:rsidR="00445A73">
        <w:t>–</w:t>
      </w:r>
      <w:r>
        <w:t xml:space="preserve"> </w:t>
      </w:r>
      <w:r w:rsidR="00445A73">
        <w:t>Fitted values for LDL centered at 1mg/dl for models discusses on 1a, 1b, 1c, 1d and 1e.</w:t>
      </w:r>
      <w:r w:rsidR="00627D84">
        <w:t xml:space="preserve"> </w:t>
      </w:r>
      <w:proofErr w:type="gramStart"/>
      <w:r w:rsidR="00627D84">
        <w:t>Vertical blue lines corresponds</w:t>
      </w:r>
      <w:proofErr w:type="gramEnd"/>
      <w:r w:rsidR="00627D84">
        <w:t xml:space="preserve"> </w:t>
      </w:r>
      <w:r w:rsidR="004B11F3">
        <w:t>to 69, 99, 129 and 159</w:t>
      </w:r>
      <w:r w:rsidR="00627D84">
        <w:t>mg/dl</w:t>
      </w:r>
      <w:r w:rsidR="00174078">
        <w:t xml:space="preserve"> (</w:t>
      </w:r>
      <w:r w:rsidR="004B11F3">
        <w:t>match</w:t>
      </w:r>
      <w:r w:rsidR="00174078">
        <w:t>ing</w:t>
      </w:r>
      <w:r w:rsidR="004B11F3">
        <w:t xml:space="preserve"> the respective </w:t>
      </w:r>
      <w:proofErr w:type="spellStart"/>
      <w:r w:rsidR="004B11F3">
        <w:t>spline</w:t>
      </w:r>
      <w:proofErr w:type="spellEnd"/>
      <w:r w:rsidR="004B11F3">
        <w:t xml:space="preserve"> after centering LDL)</w:t>
      </w:r>
      <w:r w:rsidR="00627D84">
        <w:t>.</w:t>
      </w:r>
    </w:p>
    <w:p w:rsidR="0061740B" w:rsidRDefault="0061740B">
      <w:r>
        <w:t xml:space="preserve">The models with quadratic and the </w:t>
      </w:r>
      <w:proofErr w:type="spellStart"/>
      <w:r>
        <w:t>splines</w:t>
      </w:r>
      <w:proofErr w:type="spellEnd"/>
      <w:r>
        <w:t xml:space="preserve"> are the close</w:t>
      </w:r>
      <w:r w:rsidR="005744E4">
        <w:t>st</w:t>
      </w:r>
      <w:r>
        <w:t xml:space="preserve"> to each other compared to any other pair of models.</w:t>
      </w:r>
    </w:p>
    <w:p w:rsidR="00CA7402" w:rsidRDefault="0061740B">
      <w:r>
        <w:t xml:space="preserve">The logarithm model is consistently too far below other models. </w:t>
      </w:r>
      <w:r w:rsidR="00372118">
        <w:t>It i</w:t>
      </w:r>
      <w:r>
        <w:t xml:space="preserve">s for </w:t>
      </w:r>
      <w:proofErr w:type="gramStart"/>
      <w:r>
        <w:t>note that in the log scale</w:t>
      </w:r>
      <w:proofErr w:type="gramEnd"/>
      <w:r>
        <w:t xml:space="preserve"> of the relative hazard the logarithm, cubic and quadratic are nearly parallel between 1 and 150 mg/dl centered LDL. </w:t>
      </w:r>
    </w:p>
    <w:p w:rsidR="00B06009" w:rsidRDefault="00B06009">
      <w:r>
        <w:t>The linear model has fitted values within maximum and minimum of the step model.</w:t>
      </w:r>
    </w:p>
    <w:p w:rsidR="00D449E2" w:rsidRDefault="00D449E2">
      <w:r>
        <w:t xml:space="preserve">The </w:t>
      </w:r>
      <w:proofErr w:type="spellStart"/>
      <w:r>
        <w:t>splines</w:t>
      </w:r>
      <w:proofErr w:type="spellEnd"/>
      <w:r>
        <w:t xml:space="preserve"> </w:t>
      </w:r>
      <w:proofErr w:type="gramStart"/>
      <w:r>
        <w:t>model suggest</w:t>
      </w:r>
      <w:proofErr w:type="gramEnd"/>
      <w:r>
        <w:t xml:space="preserve"> a great decrease of mortality associated with increase of LDL below </w:t>
      </w:r>
      <w:r w:rsidR="005128BA">
        <w:t>100</w:t>
      </w:r>
      <w:r>
        <w:t xml:space="preserve"> mg/dl range; almost null decrease between 70 and 160mg/dl. </w:t>
      </w:r>
      <w:proofErr w:type="gramStart"/>
      <w:r>
        <w:t>Then another decrease (smaller compared to the LDL below 70 mg/dl) above 160 mg/dl per increase of LDL.</w:t>
      </w:r>
      <w:proofErr w:type="gramEnd"/>
    </w:p>
    <w:p w:rsidR="005764F4" w:rsidRDefault="005764F4">
      <w:r>
        <w:t xml:space="preserve">For all this I would choose the logarithm transformed based model (1e) for few parameters to estimate, a smooth curve and biologically plausible. </w:t>
      </w:r>
    </w:p>
    <w:p w:rsidR="00761CCB" w:rsidRDefault="00FB31B3">
      <w:proofErr w:type="gramStart"/>
      <w:r>
        <w:t>2.a</w:t>
      </w:r>
      <w:proofErr w:type="gramEnd"/>
      <w:r>
        <w:t>)</w:t>
      </w:r>
      <w:r w:rsidR="00957358">
        <w:t xml:space="preserve"> First</w:t>
      </w:r>
      <w:r w:rsidR="00E00863">
        <w:t>,</w:t>
      </w:r>
      <w:r w:rsidR="00957358">
        <w:t xml:space="preserve"> let’s establish are minimum concept of a </w:t>
      </w:r>
      <w:proofErr w:type="spellStart"/>
      <w:r w:rsidR="00957358">
        <w:t>spline</w:t>
      </w:r>
      <w:proofErr w:type="spellEnd"/>
      <w:r w:rsidR="00957358">
        <w:t xml:space="preserve"> LDL. We have the LDL </w:t>
      </w:r>
      <w:proofErr w:type="spellStart"/>
      <w:r w:rsidR="00957358">
        <w:t>splines</w:t>
      </w:r>
      <w:proofErr w:type="spellEnd"/>
      <w:r w:rsidR="00957358">
        <w:t xml:space="preserve"> divided as 0 ≤ LDL &lt; 70, 70 ≤ LDL &lt; 100, 100 ≤ LDL &lt; 130</w:t>
      </w:r>
      <w:proofErr w:type="gramStart"/>
      <w:r w:rsidR="00957358">
        <w:t>,  130</w:t>
      </w:r>
      <w:proofErr w:type="gramEnd"/>
      <w:r w:rsidR="00957358">
        <w:t xml:space="preserve"> ≤ LDL &lt; 160 and 160 ≤ LDL &lt; 400. In each interval the value of </w:t>
      </w:r>
      <w:proofErr w:type="spellStart"/>
      <w:r w:rsidR="00957358">
        <w:t>spline</w:t>
      </w:r>
      <w:proofErr w:type="spellEnd"/>
      <w:r w:rsidR="00957358">
        <w:t xml:space="preserve"> is how much higher the LDL is above the minimum of the interval and that maximum should not exceed the maximum difference (maximum – minimum) for the interval. If it exceeds should count on the next interval. For example someone with 110 mg/dl counts on the first </w:t>
      </w:r>
      <w:proofErr w:type="spellStart"/>
      <w:r w:rsidR="00957358">
        <w:t>spline</w:t>
      </w:r>
      <w:proofErr w:type="spellEnd"/>
      <w:r w:rsidR="00957358">
        <w:t xml:space="preserve"> (0 ≤ LDL &lt; 70) has 70, on the second (70 ≤ LDL &lt; 100) has </w:t>
      </w:r>
      <w:r w:rsidR="0087592A">
        <w:t xml:space="preserve">30, on the third (100 ≤ LDL &lt; 130) has 10 and on the rest following </w:t>
      </w:r>
      <w:proofErr w:type="spellStart"/>
      <w:r w:rsidR="0087592A">
        <w:t>splines</w:t>
      </w:r>
      <w:proofErr w:type="spellEnd"/>
      <w:r w:rsidR="0087592A">
        <w:t xml:space="preserve"> has 0.</w:t>
      </w:r>
      <w:r w:rsidR="00520CE3">
        <w:t xml:space="preserve"> The sums of the </w:t>
      </w:r>
      <w:proofErr w:type="spellStart"/>
      <w:r w:rsidR="00520CE3">
        <w:t>splines</w:t>
      </w:r>
      <w:proofErr w:type="spellEnd"/>
      <w:r w:rsidR="00520CE3">
        <w:t xml:space="preserve"> should be equal to the original variable.</w:t>
      </w:r>
    </w:p>
    <w:p w:rsidR="006C3F2E" w:rsidRDefault="006C3F2E">
      <w:r>
        <w:t xml:space="preserve">To compute the effect of association on each interval covered by the </w:t>
      </w:r>
      <w:proofErr w:type="spellStart"/>
      <w:r>
        <w:t>spline</w:t>
      </w:r>
      <w:proofErr w:type="spellEnd"/>
      <w:r>
        <w:t xml:space="preserve"> we multiply the linear centered coefficient with the respective coefficient of </w:t>
      </w:r>
      <w:proofErr w:type="spellStart"/>
      <w:r>
        <w:t>spline</w:t>
      </w:r>
      <w:proofErr w:type="spellEnd"/>
      <w:r>
        <w:t>.</w:t>
      </w:r>
      <w:r w:rsidR="00A5361A">
        <w:t xml:space="preserve"> With the right software or utility such as </w:t>
      </w:r>
      <w:proofErr w:type="spellStart"/>
      <w:r w:rsidR="00A5361A">
        <w:t>lincom</w:t>
      </w:r>
      <w:proofErr w:type="spellEnd"/>
      <w:r w:rsidR="00A5361A">
        <w:t xml:space="preserve"> (on </w:t>
      </w:r>
      <w:proofErr w:type="spellStart"/>
      <w:r w:rsidR="00A5361A">
        <w:t>Stata</w:t>
      </w:r>
      <w:proofErr w:type="spellEnd"/>
      <w:r w:rsidR="00A5361A">
        <w:t xml:space="preserve">) we can obtain also </w:t>
      </w:r>
      <w:r w:rsidR="00A5361A">
        <w:lastRenderedPageBreak/>
        <w:t xml:space="preserve">the 95% confidence interval and p-value of this multiplication. </w:t>
      </w:r>
      <w:r w:rsidR="00CD30DD">
        <w:t>For easier interpretation here we subtract 1 to hazard ratio and call it relative hazard and write as percentage.</w:t>
      </w:r>
    </w:p>
    <w:p w:rsidR="00E00863" w:rsidRDefault="00BF5841">
      <w:r>
        <w:t>With that</w:t>
      </w:r>
      <w:r w:rsidR="00E00863">
        <w:t xml:space="preserve"> </w:t>
      </w:r>
      <w:r w:rsidR="00810388">
        <w:t xml:space="preserve">said: </w:t>
      </w:r>
    </w:p>
    <w:p w:rsidR="00810388" w:rsidRDefault="00810388" w:rsidP="00810388">
      <w:pPr>
        <w:pStyle w:val="ListParagraph"/>
        <w:numPr>
          <w:ilvl w:val="0"/>
          <w:numId w:val="1"/>
        </w:numPr>
      </w:pPr>
      <w:r>
        <w:t xml:space="preserve">Among subjects with </w:t>
      </w:r>
      <w:r w:rsidR="00BF5841">
        <w:t>LDL below 70mg/dl, 1 mg/dl increase of LDL is</w:t>
      </w:r>
      <w:r w:rsidR="0029790F">
        <w:t xml:space="preserve"> associated with 2.18</w:t>
      </w:r>
      <w:r w:rsidR="00BF5841">
        <w:t>% relative decrease on the hazard of death; it wouldn’t be a surprise if this relativ</w:t>
      </w:r>
      <w:r w:rsidR="0029790F">
        <w:t>e hazard were found between 0.35</w:t>
      </w:r>
      <w:r w:rsidR="00BF5841">
        <w:t>% and</w:t>
      </w:r>
      <w:r w:rsidR="0029790F">
        <w:t xml:space="preserve"> 3.97</w:t>
      </w:r>
      <w:r w:rsidR="00BF5841">
        <w:t>%. We reject the null hypothesis of this relative hazard</w:t>
      </w:r>
      <w:r w:rsidR="00404DEB">
        <w:t xml:space="preserve"> not to</w:t>
      </w:r>
      <w:r w:rsidR="00BF5841">
        <w:t xml:space="preserve"> be different from zero</w:t>
      </w:r>
      <w:r w:rsidR="00456C1A">
        <w:t xml:space="preserve"> given the p-value is 0.019.</w:t>
      </w:r>
      <w:r w:rsidR="00BF5841">
        <w:t xml:space="preserve"> </w:t>
      </w:r>
    </w:p>
    <w:p w:rsidR="00456C1A" w:rsidRDefault="00BF5841" w:rsidP="00456C1A">
      <w:pPr>
        <w:pStyle w:val="ListParagraph"/>
        <w:numPr>
          <w:ilvl w:val="0"/>
          <w:numId w:val="1"/>
        </w:numPr>
      </w:pPr>
      <w:r>
        <w:t>Subjects with LDL betwee</w:t>
      </w:r>
      <w:r w:rsidR="00BE6B76">
        <w:t>n 70 and 100mg/dl have 2.07</w:t>
      </w:r>
      <w:r>
        <w:t>% relative</w:t>
      </w:r>
      <w:r w:rsidRPr="00BF5841">
        <w:t xml:space="preserve"> </w:t>
      </w:r>
      <w:r>
        <w:t xml:space="preserve">decrease on the </w:t>
      </w:r>
      <w:r w:rsidR="00456C1A">
        <w:t>hazard of death</w:t>
      </w:r>
      <w:r w:rsidR="005A5371">
        <w:t xml:space="preserve"> associated with 1mg/dl increased LDL</w:t>
      </w:r>
      <w:r w:rsidR="00456C1A">
        <w:t xml:space="preserve">; it wouldn’t be a surprise if this relative hazard were found between </w:t>
      </w:r>
      <w:r w:rsidR="00BE6B76">
        <w:t>-0.63</w:t>
      </w:r>
      <w:r w:rsidR="00456C1A">
        <w:t>% and</w:t>
      </w:r>
      <w:r w:rsidR="00BE6B76">
        <w:t xml:space="preserve"> 4.69</w:t>
      </w:r>
      <w:r w:rsidR="009966EA">
        <w:t xml:space="preserve">%. We can’t </w:t>
      </w:r>
      <w:r w:rsidR="00456C1A">
        <w:t xml:space="preserve">reject the null hypothesis of this relative hazard </w:t>
      </w:r>
      <w:r w:rsidR="00496BCA">
        <w:t xml:space="preserve">to </w:t>
      </w:r>
      <w:r w:rsidR="00456C1A">
        <w:t>be different from zero</w:t>
      </w:r>
      <w:r w:rsidR="009966EA">
        <w:t xml:space="preserve"> (p-value = 0.131)</w:t>
      </w:r>
      <w:r w:rsidR="00456C1A">
        <w:t xml:space="preserve">. </w:t>
      </w:r>
    </w:p>
    <w:p w:rsidR="00BF5841" w:rsidRDefault="005A5371" w:rsidP="00810388">
      <w:pPr>
        <w:pStyle w:val="ListParagraph"/>
        <w:numPr>
          <w:ilvl w:val="0"/>
          <w:numId w:val="1"/>
        </w:numPr>
      </w:pPr>
      <w:r>
        <w:t>Su</w:t>
      </w:r>
      <w:r w:rsidR="00BE6B76">
        <w:t>bjects with LDL between 100</w:t>
      </w:r>
      <w:r>
        <w:t xml:space="preserve"> and 13</w:t>
      </w:r>
      <w:r w:rsidR="00233A6F">
        <w:t>0mg/dl have 0.09</w:t>
      </w:r>
      <w:r>
        <w:t>% relative</w:t>
      </w:r>
      <w:r w:rsidRPr="00BF5841">
        <w:t xml:space="preserve"> </w:t>
      </w:r>
      <w:r>
        <w:t>decrease on the hazard of death</w:t>
      </w:r>
      <w:r w:rsidR="00496BCA" w:rsidRPr="00496BCA">
        <w:t xml:space="preserve"> </w:t>
      </w:r>
      <w:r w:rsidR="00496BCA">
        <w:t>associated with 1mg/dl increased LDL</w:t>
      </w:r>
      <w:r>
        <w:t xml:space="preserve">; it wouldn’t be a surprise if this relative hazard were found between </w:t>
      </w:r>
      <w:r w:rsidR="00496BCA">
        <w:t>-</w:t>
      </w:r>
      <w:r w:rsidR="00BE6B76">
        <w:t>2.08</w:t>
      </w:r>
      <w:r>
        <w:t>% and</w:t>
      </w:r>
      <w:r w:rsidR="00A1308E">
        <w:t xml:space="preserve"> 2.22</w:t>
      </w:r>
      <w:r>
        <w:t>%. We can’t reject the null hypothesis of this relative hazard</w:t>
      </w:r>
      <w:r w:rsidR="00496BCA">
        <w:t xml:space="preserve"> to</w:t>
      </w:r>
      <w:r>
        <w:t xml:space="preserve"> be different from zero</w:t>
      </w:r>
      <w:r w:rsidR="00D16C88">
        <w:t xml:space="preserve"> (p-value = 0.934</w:t>
      </w:r>
      <w:r>
        <w:t>).</w:t>
      </w:r>
    </w:p>
    <w:p w:rsidR="00540549" w:rsidRDefault="00540549" w:rsidP="00540549">
      <w:pPr>
        <w:pStyle w:val="ListParagraph"/>
        <w:numPr>
          <w:ilvl w:val="0"/>
          <w:numId w:val="1"/>
        </w:numPr>
      </w:pPr>
      <w:r>
        <w:t>Su</w:t>
      </w:r>
      <w:r w:rsidR="00A1308E">
        <w:t>bjects with LDL between 130</w:t>
      </w:r>
      <w:r>
        <w:t xml:space="preserve"> and 16</w:t>
      </w:r>
      <w:r w:rsidR="00363638">
        <w:t>0mg/dl have 0.1</w:t>
      </w:r>
      <w:r>
        <w:t>9% relative</w:t>
      </w:r>
      <w:r w:rsidRPr="00BF5841">
        <w:t xml:space="preserve"> </w:t>
      </w:r>
      <w:r>
        <w:t>decrease on the hazard of death</w:t>
      </w:r>
      <w:r w:rsidRPr="00496BCA">
        <w:t xml:space="preserve"> </w:t>
      </w:r>
      <w:r>
        <w:t>associated with 1mg/dl increased LDL; it wouldn’t be a surprise if this relative hazard were found between -</w:t>
      </w:r>
      <w:r w:rsidR="00A1308E">
        <w:t>2.25</w:t>
      </w:r>
      <w:r>
        <w:t>% and</w:t>
      </w:r>
      <w:r w:rsidR="00A1308E">
        <w:t xml:space="preserve"> 2.58</w:t>
      </w:r>
      <w:r>
        <w:t>%. We can’t reject the null hypothesis of this relative hazard to be different from zero</w:t>
      </w:r>
      <w:r w:rsidR="00363638">
        <w:t xml:space="preserve"> (p-value = 0.875</w:t>
      </w:r>
      <w:r>
        <w:t>).</w:t>
      </w:r>
    </w:p>
    <w:p w:rsidR="00A8169A" w:rsidRDefault="00A8169A" w:rsidP="00A8169A">
      <w:pPr>
        <w:pStyle w:val="ListParagraph"/>
        <w:numPr>
          <w:ilvl w:val="0"/>
          <w:numId w:val="1"/>
        </w:numPr>
      </w:pPr>
      <w:r>
        <w:t>Subjects with LDL above 16</w:t>
      </w:r>
      <w:r w:rsidR="003E517B">
        <w:t>0mg/dl have 0.61</w:t>
      </w:r>
      <w:r>
        <w:t>% relative</w:t>
      </w:r>
      <w:r w:rsidRPr="00BF5841">
        <w:t xml:space="preserve"> </w:t>
      </w:r>
      <w:r>
        <w:t>decrease on the hazard of death</w:t>
      </w:r>
      <w:r w:rsidRPr="00496BCA">
        <w:t xml:space="preserve"> </w:t>
      </w:r>
      <w:r>
        <w:t>associated with 1mg/dl increased LDL; it wouldn’t be a surprise if this relative hazard were found between -</w:t>
      </w:r>
      <w:r w:rsidR="00A1308E">
        <w:t>2.31</w:t>
      </w:r>
      <w:r>
        <w:t>% and</w:t>
      </w:r>
      <w:r w:rsidR="00A1308E">
        <w:t xml:space="preserve"> 3.45</w:t>
      </w:r>
      <w:r>
        <w:t>%. We can’t reject the null hypothesis of this relative hazard to be different from zero</w:t>
      </w:r>
      <w:r w:rsidR="00D40BBB">
        <w:t xml:space="preserve"> (p-value = 0.410</w:t>
      </w:r>
      <w:r>
        <w:t>).</w:t>
      </w:r>
    </w:p>
    <w:p w:rsidR="0066377B" w:rsidRDefault="0066377B" w:rsidP="0066377B">
      <w:r>
        <w:t xml:space="preserve">2b) </w:t>
      </w:r>
      <w:r w:rsidR="00CC1E92">
        <w:t xml:space="preserve">Based on the regression with </w:t>
      </w:r>
      <w:proofErr w:type="spellStart"/>
      <w:r w:rsidR="00CC1E92">
        <w:t>spline</w:t>
      </w:r>
      <w:proofErr w:type="spellEnd"/>
      <w:r w:rsidR="00CC1E92">
        <w:t xml:space="preserve"> predictors we couldn’t find evidence for a U-shaped relationship.</w:t>
      </w:r>
      <w:r w:rsidR="0066189A">
        <w:t xml:space="preserve"> This comes from the fact that slopes from each segment of LDL defined by the </w:t>
      </w:r>
      <w:proofErr w:type="spellStart"/>
      <w:r w:rsidR="0066189A">
        <w:t>splines</w:t>
      </w:r>
      <w:proofErr w:type="spellEnd"/>
      <w:r w:rsidR="0066189A">
        <w:t xml:space="preserve"> are descending</w:t>
      </w:r>
      <w:r w:rsidR="0050556A">
        <w:t xml:space="preserve"> (on the log hazard ratio scale they are all negative)</w:t>
      </w:r>
      <w:r w:rsidR="0066189A">
        <w:t xml:space="preserve">. </w:t>
      </w:r>
    </w:p>
    <w:p w:rsidR="00C41109" w:rsidRDefault="009F2327" w:rsidP="00C41109">
      <w:r>
        <w:t xml:space="preserve">3. Methods (general for all questions): </w:t>
      </w:r>
      <w:r w:rsidR="00C41109">
        <w:t xml:space="preserve">We investigate the association between time to death and serum LDL. We evaluate the relationship between </w:t>
      </w:r>
      <w:r w:rsidR="00C41109" w:rsidRPr="00C83DD3">
        <w:t>log hazard</w:t>
      </w:r>
      <w:r w:rsidR="00C41109">
        <w:t xml:space="preserve"> function and LDL adjusted for race using a Cox proportional-hazards model with robust standard errors. As predictors we include natural log-transformed LDL serum levels, 3 indicator variables for race (for African Americans, Asians and other</w:t>
      </w:r>
      <w:r w:rsidR="00F42ECE">
        <w:t>; White category is used as reference</w:t>
      </w:r>
      <w:r w:rsidR="00C41109">
        <w:t xml:space="preserve">), interaction terms for each indicator variable for race multiplied by natural log-transformed </w:t>
      </w:r>
      <w:proofErr w:type="gramStart"/>
      <w:r w:rsidR="00C41109">
        <w:t>LDL .</w:t>
      </w:r>
      <w:proofErr w:type="gramEnd"/>
      <w:r w:rsidR="00C41109">
        <w:t xml:space="preserve"> </w:t>
      </w:r>
      <w:r w:rsidR="005F38FA">
        <w:t>We report the coefficients, the</w:t>
      </w:r>
      <w:r w:rsidR="00C41109">
        <w:t xml:space="preserve"> 95% confidence intervals and two-sided p values computed using Wald statistics based on the Huber-White sandwich estimator for the standard error. In all tests the significance level is set to 5%.</w:t>
      </w:r>
    </w:p>
    <w:p w:rsidR="00C41109" w:rsidRDefault="00C41109" w:rsidP="00C41109">
      <w:r>
        <w:t>Time to event on the original dataset is in days. We transformed it to years considering that each year has 365.25 days.</w:t>
      </w:r>
      <w:r w:rsidR="00BE0824">
        <w:t xml:space="preserve"> </w:t>
      </w:r>
    </w:p>
    <w:p w:rsidR="007370BC" w:rsidRDefault="007370BC" w:rsidP="00C41109">
      <w:r>
        <w:t>3a)</w:t>
      </w:r>
      <w:r w:rsidR="00BE0824">
        <w:t xml:space="preserve"> Results:</w:t>
      </w:r>
      <w:r w:rsidR="003C0EE0" w:rsidRPr="003C0EE0">
        <w:t xml:space="preserve"> </w:t>
      </w:r>
      <w:r w:rsidR="003C0EE0">
        <w:t>There are 735 subjects in the dataset but 10 miss LDL serum data. Among the 725 subjects we recorded 3582.94 person-years of follow up and found 131 deaths as shown on table 6</w:t>
      </w:r>
      <w:r w:rsidR="002872E8">
        <w:t>. Interpreting each coefficient:</w:t>
      </w:r>
    </w:p>
    <w:p w:rsidR="002872E8" w:rsidRDefault="007727B4" w:rsidP="002872E8">
      <w:pPr>
        <w:pStyle w:val="ListParagraph"/>
        <w:numPr>
          <w:ilvl w:val="0"/>
          <w:numId w:val="1"/>
        </w:numPr>
      </w:pPr>
      <w:r>
        <w:t xml:space="preserve">Among whites a 10% increase of LDL serum levels is associated with </w:t>
      </w:r>
      <w:r w:rsidR="009D4599">
        <w:t>7.11% decre</w:t>
      </w:r>
      <w:r w:rsidR="004407E3">
        <w:t>ase in relative hazard of death</w:t>
      </w:r>
      <w:r w:rsidR="009D4599">
        <w:t xml:space="preserve"> </w:t>
      </w:r>
    </w:p>
    <w:p w:rsidR="009D4599" w:rsidRDefault="008711E7" w:rsidP="002872E8">
      <w:pPr>
        <w:pStyle w:val="ListParagraph"/>
        <w:numPr>
          <w:ilvl w:val="0"/>
          <w:numId w:val="1"/>
        </w:numPr>
      </w:pPr>
      <w:r>
        <w:t>Among subjects with 1mg/dl LDL serum levels, African Americans</w:t>
      </w:r>
      <w:r w:rsidR="00722936">
        <w:t xml:space="preserve"> compared to Whites have 0.1545 times </w:t>
      </w:r>
      <w:r w:rsidR="004407E3">
        <w:t>higher hazard of death</w:t>
      </w:r>
    </w:p>
    <w:p w:rsidR="004407E3" w:rsidRDefault="004407E3" w:rsidP="004407E3">
      <w:pPr>
        <w:pStyle w:val="ListParagraph"/>
        <w:numPr>
          <w:ilvl w:val="0"/>
          <w:numId w:val="1"/>
        </w:numPr>
      </w:pPr>
      <w:r>
        <w:t>Among subjects with 1mg/dl LDL serum levels, Asians compared to Whites have 304.98 times higher hazard of death</w:t>
      </w:r>
    </w:p>
    <w:p w:rsidR="004407E3" w:rsidRDefault="004407E3" w:rsidP="004407E3">
      <w:pPr>
        <w:pStyle w:val="ListParagraph"/>
        <w:numPr>
          <w:ilvl w:val="0"/>
          <w:numId w:val="1"/>
        </w:numPr>
      </w:pPr>
      <w:r>
        <w:t>Among subjects with 1mg/dl LDL serum levels, people from other races compared to Whites have 333 million times higher hazard of death</w:t>
      </w:r>
    </w:p>
    <w:p w:rsidR="00404DEB" w:rsidRDefault="00404DEB" w:rsidP="002872E8">
      <w:pPr>
        <w:pStyle w:val="ListParagraph"/>
        <w:numPr>
          <w:ilvl w:val="0"/>
          <w:numId w:val="1"/>
        </w:numPr>
      </w:pPr>
      <w:r>
        <w:t>Compared to White subjects a</w:t>
      </w:r>
      <w:r w:rsidR="00C56F53">
        <w:t>mong</w:t>
      </w:r>
      <w:r>
        <w:t xml:space="preserve"> </w:t>
      </w:r>
      <w:r w:rsidR="00C56F53">
        <w:t>African Americans</w:t>
      </w:r>
      <w:r>
        <w:t xml:space="preserve"> subjects</w:t>
      </w:r>
      <w:r w:rsidR="00C56F53">
        <w:t xml:space="preserve"> the</w:t>
      </w:r>
      <w:r>
        <w:t xml:space="preserve"> ratio of</w:t>
      </w:r>
      <w:r w:rsidR="00C56F53">
        <w:t xml:space="preserve"> instantaneous hazard-ratio</w:t>
      </w:r>
      <w:r>
        <w:t>s is 1.0428 in groups differing in 10% higher of LDL</w:t>
      </w:r>
      <w:r w:rsidR="00442F8B">
        <w:t>, for LDL serum levels different from 1mg/dl</w:t>
      </w:r>
      <w:r>
        <w:t>.</w:t>
      </w:r>
    </w:p>
    <w:p w:rsidR="00332BA5" w:rsidRDefault="00332BA5" w:rsidP="00332BA5">
      <w:pPr>
        <w:pStyle w:val="ListParagraph"/>
        <w:numPr>
          <w:ilvl w:val="0"/>
          <w:numId w:val="1"/>
        </w:numPr>
      </w:pPr>
      <w:r>
        <w:t>Compared to White subjects among Asians subjects the ratio of instantaneous hazard-ratios is 0.8944 in groups differing in 10% higher of LDL</w:t>
      </w:r>
      <w:r w:rsidR="00442F8B">
        <w:t>, for LDL serum levels different from 1mg/dl</w:t>
      </w:r>
      <w:r>
        <w:t>.</w:t>
      </w:r>
    </w:p>
    <w:p w:rsidR="00332BA5" w:rsidRDefault="00332BA5" w:rsidP="00332BA5">
      <w:pPr>
        <w:pStyle w:val="ListParagraph"/>
        <w:numPr>
          <w:ilvl w:val="0"/>
          <w:numId w:val="1"/>
        </w:numPr>
      </w:pPr>
      <w:r>
        <w:lastRenderedPageBreak/>
        <w:t>Compared to White subjects among subjects of other races the ratio of instantaneous hazard-ratios is 0.6816 in groups differing in 10% higher of LDL</w:t>
      </w:r>
      <w:r w:rsidR="00442F8B">
        <w:t>, for LDL serum levels different from 1mg/dl</w:t>
      </w:r>
      <w:r>
        <w:t>.</w:t>
      </w:r>
    </w:p>
    <w:p w:rsidR="00144E81" w:rsidRDefault="00144E81" w:rsidP="00144E81">
      <w:r>
        <w:t>Table 6 - Cox proportional-hazard regression estimates with natural logarithm of LDL, indicator variables for race, and interaction terms between natural logarithm of LDL and race as predictors</w:t>
      </w:r>
    </w:p>
    <w:tbl>
      <w:tblPr>
        <w:tblW w:w="9819" w:type="dxa"/>
        <w:tblInd w:w="99" w:type="dxa"/>
        <w:tblLook w:val="04A0"/>
      </w:tblPr>
      <w:tblGrid>
        <w:gridCol w:w="4252"/>
        <w:gridCol w:w="1247"/>
        <w:gridCol w:w="3134"/>
        <w:gridCol w:w="1186"/>
      </w:tblGrid>
      <w:tr w:rsidR="00144E81" w:rsidRPr="00BE0824" w:rsidTr="00144E81">
        <w:trPr>
          <w:trHeight w:val="600"/>
        </w:trPr>
        <w:tc>
          <w:tcPr>
            <w:tcW w:w="4252" w:type="dxa"/>
            <w:tcBorders>
              <w:top w:val="single" w:sz="4" w:space="0" w:color="auto"/>
              <w:left w:val="nil"/>
              <w:bottom w:val="single" w:sz="4" w:space="0" w:color="auto"/>
              <w:right w:val="nil"/>
            </w:tcBorders>
            <w:shd w:val="clear" w:color="auto" w:fill="auto"/>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r w:rsidRPr="00BE0824">
              <w:rPr>
                <w:rFonts w:ascii="Calibri" w:eastAsia="Times New Roman" w:hAnsi="Calibri" w:cs="Times New Roman"/>
                <w:b/>
                <w:bCs/>
                <w:color w:val="000000"/>
              </w:rPr>
              <w:t>Variable</w:t>
            </w:r>
          </w:p>
        </w:tc>
        <w:tc>
          <w:tcPr>
            <w:tcW w:w="1247" w:type="dxa"/>
            <w:tcBorders>
              <w:top w:val="single" w:sz="4" w:space="0" w:color="auto"/>
              <w:left w:val="nil"/>
              <w:bottom w:val="single" w:sz="4" w:space="0" w:color="auto"/>
              <w:right w:val="nil"/>
            </w:tcBorders>
            <w:shd w:val="clear" w:color="auto" w:fill="auto"/>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r w:rsidRPr="00BE0824">
              <w:rPr>
                <w:rFonts w:ascii="Calibri" w:eastAsia="Times New Roman" w:hAnsi="Calibri" w:cs="Times New Roman"/>
                <w:b/>
                <w:bCs/>
                <w:color w:val="000000"/>
              </w:rPr>
              <w:t>Hazard-Ratio</w:t>
            </w:r>
          </w:p>
        </w:tc>
        <w:tc>
          <w:tcPr>
            <w:tcW w:w="3134" w:type="dxa"/>
            <w:tcBorders>
              <w:top w:val="single" w:sz="4" w:space="0" w:color="auto"/>
              <w:left w:val="nil"/>
              <w:bottom w:val="single" w:sz="4" w:space="0" w:color="auto"/>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r w:rsidRPr="00BE0824">
              <w:rPr>
                <w:rFonts w:ascii="Calibri" w:eastAsia="Times New Roman" w:hAnsi="Calibri" w:cs="Times New Roman"/>
                <w:b/>
                <w:bCs/>
                <w:color w:val="000000"/>
              </w:rPr>
              <w:t>95% CI</w:t>
            </w:r>
          </w:p>
        </w:tc>
        <w:tc>
          <w:tcPr>
            <w:tcW w:w="1186" w:type="dxa"/>
            <w:tcBorders>
              <w:top w:val="single" w:sz="4" w:space="0" w:color="auto"/>
              <w:left w:val="nil"/>
              <w:bottom w:val="single" w:sz="4" w:space="0" w:color="auto"/>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r w:rsidRPr="00BE0824">
              <w:rPr>
                <w:rFonts w:ascii="Calibri" w:eastAsia="Times New Roman" w:hAnsi="Calibri" w:cs="Times New Roman"/>
                <w:b/>
                <w:bCs/>
                <w:color w:val="000000"/>
              </w:rPr>
              <w:t>p-value</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Total records in the model</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725</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Person-years</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3582.94</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Total deaths</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131</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r>
      <w:tr w:rsidR="00144E81" w:rsidRPr="00BE0824" w:rsidTr="00144E81">
        <w:trPr>
          <w:trHeight w:val="300"/>
        </w:trPr>
        <w:tc>
          <w:tcPr>
            <w:tcW w:w="4252" w:type="dxa"/>
            <w:tcBorders>
              <w:top w:val="nil"/>
              <w:left w:val="nil"/>
              <w:bottom w:val="nil"/>
              <w:right w:val="nil"/>
            </w:tcBorders>
            <w:shd w:val="clear" w:color="auto" w:fill="auto"/>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c>
          <w:tcPr>
            <w:tcW w:w="1247" w:type="dxa"/>
            <w:tcBorders>
              <w:top w:val="nil"/>
              <w:left w:val="nil"/>
              <w:bottom w:val="nil"/>
              <w:right w:val="nil"/>
            </w:tcBorders>
            <w:shd w:val="clear" w:color="auto" w:fill="auto"/>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b/>
                <w:bCs/>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Natural log-transformed LDL</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0.461</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0.300 - 0.709</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&lt; 0.001</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Race</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rsidRPr="00BE0824">
              <w:rPr>
                <w:rFonts w:ascii="Calibri" w:eastAsia="Times New Roman" w:hAnsi="Calibri" w:cs="Times New Roman"/>
                <w:color w:val="000000"/>
              </w:rPr>
              <w:t>White</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1.000</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t>African Americans</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0.154</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0.000 - 425.629</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0.644</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rsidRPr="00BE0824">
              <w:rPr>
                <w:rFonts w:ascii="Calibri" w:eastAsia="Times New Roman" w:hAnsi="Calibri" w:cs="Times New Roman"/>
                <w:color w:val="000000"/>
              </w:rPr>
              <w:t>Asian</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304.980</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0.281 - 331</w:t>
            </w:r>
            <w:r w:rsidRPr="00BE0824">
              <w:rPr>
                <w:rFonts w:ascii="Calibri" w:eastAsia="Times New Roman" w:hAnsi="Calibri" w:cs="Times New Roman"/>
                <w:color w:val="000000"/>
              </w:rPr>
              <w:t>470.200</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0.109</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rsidRPr="00BE0824">
              <w:rPr>
                <w:rFonts w:ascii="Calibri" w:eastAsia="Times New Roman" w:hAnsi="Calibri" w:cs="Times New Roman"/>
                <w:color w:val="000000"/>
              </w:rPr>
              <w:t>Other</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0B0C1C">
              <w:rPr>
                <w:rFonts w:ascii="Calibri" w:eastAsia="Times New Roman" w:hAnsi="Calibri" w:cs="Times New Roman"/>
                <w:color w:val="000000"/>
              </w:rPr>
              <w:t>3.33</w:t>
            </w:r>
            <w:r>
              <w:rPr>
                <w:rFonts w:ascii="Calibri" w:eastAsia="Times New Roman" w:hAnsi="Calibri" w:cs="Times New Roman"/>
                <w:color w:val="000000"/>
              </w:rPr>
              <w:t xml:space="preserve"> × 10</w:t>
            </w:r>
            <w:r>
              <w:rPr>
                <w:rFonts w:ascii="Calibri" w:eastAsia="Times New Roman" w:hAnsi="Calibri" w:cs="Times New Roman"/>
                <w:color w:val="000000"/>
                <w:vertAlign w:val="superscript"/>
              </w:rPr>
              <w:t>8</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 xml:space="preserve">142.855 </w:t>
            </w:r>
            <w:r>
              <w:rPr>
                <w:rFonts w:ascii="Calibri" w:eastAsia="Times New Roman" w:hAnsi="Calibri" w:cs="Times New Roman"/>
                <w:color w:val="000000"/>
              </w:rPr>
              <w:t>–</w:t>
            </w:r>
            <w:r w:rsidRPr="00BE0824">
              <w:rPr>
                <w:rFonts w:ascii="Calibri" w:eastAsia="Times New Roman" w:hAnsi="Calibri" w:cs="Times New Roman"/>
                <w:color w:val="000000"/>
              </w:rPr>
              <w:t xml:space="preserve"> 7</w:t>
            </w:r>
            <w:r>
              <w:rPr>
                <w:rFonts w:ascii="Calibri" w:eastAsia="Times New Roman" w:hAnsi="Calibri" w:cs="Times New Roman"/>
                <w:color w:val="000000"/>
              </w:rPr>
              <w:t>.77 × 10</w:t>
            </w:r>
            <w:r w:rsidRPr="00BE0824">
              <w:rPr>
                <w:rFonts w:ascii="Calibri" w:eastAsia="Times New Roman" w:hAnsi="Calibri" w:cs="Times New Roman"/>
                <w:color w:val="000000"/>
                <w:vertAlign w:val="superscript"/>
              </w:rPr>
              <w:t>14</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0.009</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Interaction Race and natural log-transformed LDL</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rsidRPr="00BE0824">
              <w:rPr>
                <w:rFonts w:ascii="Calibri" w:eastAsia="Times New Roman" w:hAnsi="Calibri" w:cs="Times New Roman"/>
                <w:color w:val="000000"/>
              </w:rPr>
              <w:t>White</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1.000</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t>African Americans</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1.553</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0.297 - 8.109</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0.602</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rsidRPr="00BE0824">
              <w:rPr>
                <w:rFonts w:ascii="Calibri" w:eastAsia="Times New Roman" w:hAnsi="Calibri" w:cs="Times New Roman"/>
                <w:color w:val="000000"/>
              </w:rPr>
              <w:t>Asian</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0.310</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0.066 - 1.450</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0.137</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ind w:firstLineChars="100" w:firstLine="220"/>
              <w:rPr>
                <w:rFonts w:ascii="Calibri" w:eastAsia="Times New Roman" w:hAnsi="Calibri" w:cs="Times New Roman"/>
                <w:color w:val="000000"/>
              </w:rPr>
            </w:pPr>
            <w:r w:rsidRPr="00BE0824">
              <w:rPr>
                <w:rFonts w:ascii="Calibri" w:eastAsia="Times New Roman" w:hAnsi="Calibri" w:cs="Times New Roman"/>
                <w:color w:val="000000"/>
              </w:rPr>
              <w:t>Other</w:t>
            </w:r>
          </w:p>
        </w:tc>
        <w:tc>
          <w:tcPr>
            <w:tcW w:w="1247"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0.018</w:t>
            </w:r>
          </w:p>
        </w:tc>
        <w:tc>
          <w:tcPr>
            <w:tcW w:w="3134"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0.001 - 0.500</w:t>
            </w:r>
          </w:p>
        </w:tc>
        <w:tc>
          <w:tcPr>
            <w:tcW w:w="1186" w:type="dxa"/>
            <w:tcBorders>
              <w:top w:val="nil"/>
              <w:left w:val="nil"/>
              <w:bottom w:val="nil"/>
              <w:right w:val="nil"/>
            </w:tcBorders>
            <w:shd w:val="clear" w:color="auto" w:fill="auto"/>
            <w:noWrap/>
            <w:vAlign w:val="center"/>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0.018</w:t>
            </w:r>
          </w:p>
        </w:tc>
      </w:tr>
      <w:tr w:rsidR="00144E81" w:rsidRPr="00BE0824" w:rsidTr="00144E81">
        <w:trPr>
          <w:trHeight w:val="300"/>
        </w:trPr>
        <w:tc>
          <w:tcPr>
            <w:tcW w:w="4252" w:type="dxa"/>
            <w:tcBorders>
              <w:top w:val="nil"/>
              <w:left w:val="nil"/>
              <w:bottom w:val="single" w:sz="4" w:space="0" w:color="auto"/>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 </w:t>
            </w:r>
          </w:p>
        </w:tc>
        <w:tc>
          <w:tcPr>
            <w:tcW w:w="1247" w:type="dxa"/>
            <w:tcBorders>
              <w:top w:val="nil"/>
              <w:left w:val="nil"/>
              <w:bottom w:val="single" w:sz="4" w:space="0" w:color="auto"/>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 </w:t>
            </w:r>
          </w:p>
        </w:tc>
        <w:tc>
          <w:tcPr>
            <w:tcW w:w="3134" w:type="dxa"/>
            <w:tcBorders>
              <w:top w:val="nil"/>
              <w:left w:val="nil"/>
              <w:bottom w:val="single" w:sz="4" w:space="0" w:color="auto"/>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 </w:t>
            </w:r>
          </w:p>
        </w:tc>
        <w:tc>
          <w:tcPr>
            <w:tcW w:w="1186" w:type="dxa"/>
            <w:tcBorders>
              <w:top w:val="nil"/>
              <w:left w:val="nil"/>
              <w:bottom w:val="single" w:sz="4" w:space="0" w:color="auto"/>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 </w:t>
            </w:r>
          </w:p>
        </w:tc>
      </w:tr>
      <w:tr w:rsidR="00144E81" w:rsidRPr="00BE0824" w:rsidTr="00144E81">
        <w:trPr>
          <w:trHeight w:val="300"/>
        </w:trPr>
        <w:tc>
          <w:tcPr>
            <w:tcW w:w="4252"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r w:rsidRPr="00BE0824">
              <w:rPr>
                <w:rFonts w:ascii="Calibri" w:eastAsia="Times New Roman" w:hAnsi="Calibri" w:cs="Times New Roman"/>
                <w:color w:val="000000"/>
              </w:rPr>
              <w:t>Overall model Wald-test p-value</w:t>
            </w:r>
          </w:p>
        </w:tc>
        <w:tc>
          <w:tcPr>
            <w:tcW w:w="1247"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p>
        </w:tc>
        <w:tc>
          <w:tcPr>
            <w:tcW w:w="3134"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rPr>
                <w:rFonts w:ascii="Calibri" w:eastAsia="Times New Roman" w:hAnsi="Calibri" w:cs="Times New Roman"/>
                <w:color w:val="000000"/>
              </w:rPr>
            </w:pPr>
          </w:p>
        </w:tc>
        <w:tc>
          <w:tcPr>
            <w:tcW w:w="1186" w:type="dxa"/>
            <w:tcBorders>
              <w:top w:val="nil"/>
              <w:left w:val="nil"/>
              <w:bottom w:val="nil"/>
              <w:right w:val="nil"/>
            </w:tcBorders>
            <w:shd w:val="clear" w:color="auto" w:fill="auto"/>
            <w:noWrap/>
            <w:vAlign w:val="bottom"/>
            <w:hideMark/>
          </w:tcPr>
          <w:p w:rsidR="00144E81" w:rsidRPr="00BE0824" w:rsidRDefault="00144E81" w:rsidP="00144E81">
            <w:pPr>
              <w:spacing w:after="0" w:line="240" w:lineRule="auto"/>
              <w:jc w:val="center"/>
              <w:rPr>
                <w:rFonts w:ascii="Calibri" w:eastAsia="Times New Roman" w:hAnsi="Calibri" w:cs="Times New Roman"/>
                <w:color w:val="000000"/>
              </w:rPr>
            </w:pPr>
            <w:r w:rsidRPr="00BE0824">
              <w:rPr>
                <w:rFonts w:ascii="Calibri" w:eastAsia="Times New Roman" w:hAnsi="Calibri" w:cs="Times New Roman"/>
                <w:color w:val="000000"/>
              </w:rPr>
              <w:t>p &lt; 0.0001</w:t>
            </w:r>
          </w:p>
        </w:tc>
      </w:tr>
    </w:tbl>
    <w:p w:rsidR="00F54E04" w:rsidRDefault="00F54E04" w:rsidP="0005331E"/>
    <w:p w:rsidR="00F23058" w:rsidRDefault="0005331E" w:rsidP="0005331E">
      <w:r>
        <w:t xml:space="preserve">3b) </w:t>
      </w:r>
      <w:r w:rsidR="00F23058">
        <w:t>In addition to above described methods we use Wald-test to test the null hypothesis that all interaction terms have a null regression coefficient. We test at a significance of 5% and two-sided p-values are reported.</w:t>
      </w:r>
    </w:p>
    <w:p w:rsidR="0005331E" w:rsidRDefault="00F23058" w:rsidP="0005331E">
      <w:r>
        <w:t xml:space="preserve"> </w:t>
      </w:r>
      <w:r w:rsidR="004D666C">
        <w:t>The Wald statistic is 8.04 for 3 degrees of freedom that corresponds to a p-value of 0.0452. This p-value is below 5% so we reject the null hypothesis. Therefore race modifies the association b</w:t>
      </w:r>
      <w:r w:rsidR="004D666C" w:rsidRPr="004D666C">
        <w:t>etween time to death and serum LDL</w:t>
      </w:r>
      <w:r w:rsidR="004D666C">
        <w:t>.</w:t>
      </w:r>
    </w:p>
    <w:p w:rsidR="004D666C" w:rsidRDefault="004D666C" w:rsidP="0005331E">
      <w:r>
        <w:t>3c) In addition to above described methods we use Wald-test to test the null hypothesis that all interaction and log transformed terms have a null regression coefficient. We test at a significance of 5% and two-sided p-values are reported.</w:t>
      </w:r>
    </w:p>
    <w:p w:rsidR="004D666C" w:rsidRDefault="004D666C" w:rsidP="004D666C">
      <w:r>
        <w:t xml:space="preserve">The Wald statistic is 26.84 for 4 degrees of freedom that corresponds to a p-value &lt; 0.0001. We reject the null hypothesis. Therefore </w:t>
      </w:r>
      <w:r w:rsidR="00425A6C">
        <w:t xml:space="preserve">there is </w:t>
      </w:r>
      <w:r w:rsidR="00425A6C" w:rsidRPr="00425A6C">
        <w:t>association between time to death and serum LDL.</w:t>
      </w:r>
    </w:p>
    <w:p w:rsidR="00762074" w:rsidRDefault="00626F8F" w:rsidP="00762074">
      <w:r>
        <w:t xml:space="preserve">3d) </w:t>
      </w:r>
      <w:r w:rsidR="00762074">
        <w:t>In addition to above described methods we use Wald-test to test the null hypothes</w:t>
      </w:r>
      <w:r w:rsidR="001A5B44">
        <w:t xml:space="preserve">is that all interaction and </w:t>
      </w:r>
      <w:r w:rsidR="00762074">
        <w:t>indicator variables for race have a null regression coefficient. We test at a significance of 5% and two-sided p-values are reported.</w:t>
      </w:r>
    </w:p>
    <w:p w:rsidR="00626F8F" w:rsidRDefault="00181453" w:rsidP="00762074">
      <w:r>
        <w:t>The Wald statistic is 42.40 for 6</w:t>
      </w:r>
      <w:r w:rsidR="00762074">
        <w:t xml:space="preserve"> degrees of freedom that corresponds to a p-value &lt; 0.0001. We reject the null hypothesis. Therefore there is </w:t>
      </w:r>
      <w:r w:rsidR="00762074" w:rsidRPr="00425A6C">
        <w:t xml:space="preserve">association between time to death and </w:t>
      </w:r>
      <w:r>
        <w:t>race</w:t>
      </w:r>
      <w:r w:rsidR="00762074" w:rsidRPr="00425A6C">
        <w:t>.</w:t>
      </w:r>
    </w:p>
    <w:p w:rsidR="00FC4D50" w:rsidRDefault="008C055F" w:rsidP="00FC4D50">
      <w:r>
        <w:lastRenderedPageBreak/>
        <w:t xml:space="preserve">3e) </w:t>
      </w:r>
      <w:r w:rsidR="00FC4D50">
        <w:t xml:space="preserve">In addition to above described methods we use Wald-test to test the null hypothesis that all interaction Afro-American/log-transformed </w:t>
      </w:r>
      <w:r w:rsidR="001A5B44">
        <w:t>LDL and the</w:t>
      </w:r>
      <w:r w:rsidR="00FC4D50">
        <w:t xml:space="preserve"> </w:t>
      </w:r>
      <w:r w:rsidR="001A5B44">
        <w:t xml:space="preserve">indicator variable Afro-America race terms </w:t>
      </w:r>
      <w:r w:rsidR="00FC4D50">
        <w:t>have a null regression coefficient. We test at a significance of 5% and two-sided p-values are reported.</w:t>
      </w:r>
    </w:p>
    <w:p w:rsidR="003B65F8" w:rsidRDefault="003B65F8" w:rsidP="003B65F8">
      <w:r>
        <w:t xml:space="preserve">The Wald statistic is 1.23 for 2 degrees of freedom that corresponds to a p-value 0.5416. We reject do not reject the null hypothesis. </w:t>
      </w:r>
      <w:r w:rsidR="002A6E92">
        <w:t>T</w:t>
      </w:r>
      <w:r w:rsidR="00B53BA8" w:rsidRPr="00B53BA8">
        <w:t>here is no difference in the distribution of time to death between whites and blacks</w:t>
      </w:r>
      <w:r w:rsidRPr="00425A6C">
        <w:t>.</w:t>
      </w:r>
    </w:p>
    <w:p w:rsidR="00BE3998" w:rsidRDefault="002A6E92" w:rsidP="008C3B64">
      <w:proofErr w:type="gramStart"/>
      <w:r>
        <w:t>4.</w:t>
      </w:r>
      <w:r w:rsidR="002A6F9F">
        <w:t>a</w:t>
      </w:r>
      <w:proofErr w:type="gramEnd"/>
      <w:r w:rsidR="002A6F9F">
        <w:t xml:space="preserve">) </w:t>
      </w:r>
      <w:r w:rsidR="00BE3998">
        <w:t xml:space="preserve">Methods: We investigate the association between </w:t>
      </w:r>
      <w:r w:rsidR="006320E7">
        <w:t>gender and mean salary increase</w:t>
      </w:r>
      <w:r w:rsidR="00BE3998">
        <w:t xml:space="preserve">. We </w:t>
      </w:r>
      <w:r w:rsidR="006320E7">
        <w:t xml:space="preserve">use a linear regression model with salary as dependent variable and as predictors we include female dummy variable, calendar year as continuous and an interaction term between indicator female and year. </w:t>
      </w:r>
      <w:r w:rsidR="00BE3998">
        <w:t xml:space="preserve">We report the coefficients, the 95% confidence intervals and two-sided p values computed using Wald statistics based on </w:t>
      </w:r>
      <w:r w:rsidR="008C3B64">
        <w:t xml:space="preserve">robust standard-errors that allow for </w:t>
      </w:r>
      <w:proofErr w:type="spellStart"/>
      <w:r w:rsidR="008C3B64">
        <w:t>intragroup</w:t>
      </w:r>
      <w:proofErr w:type="spellEnd"/>
      <w:r w:rsidR="008C3B64">
        <w:t xml:space="preserve"> correlation</w:t>
      </w:r>
      <w:r w:rsidR="00BE3998">
        <w:t>. In all tests the significance level is set to 5%.</w:t>
      </w:r>
      <w:r w:rsidR="0006594F">
        <w:t xml:space="preserve"> To account for </w:t>
      </w:r>
    </w:p>
    <w:p w:rsidR="00DB5AFC" w:rsidRDefault="00D85843" w:rsidP="00BE3998">
      <w:r>
        <w:t>We use a dataset based on a census of 1995 faculty members. We restrict the dataset to members who were hired within 1 year of their highest degree since 1990.</w:t>
      </w:r>
      <w:r w:rsidR="00DB5AFC">
        <w:t xml:space="preserve"> For easy interpretation year of salary information have centered to start count since 1990.</w:t>
      </w:r>
    </w:p>
    <w:p w:rsidR="00D85843" w:rsidRDefault="00D85843" w:rsidP="00BE3998">
      <w:r>
        <w:t>Results:</w:t>
      </w:r>
      <w:r w:rsidR="0006594F">
        <w:t xml:space="preserve"> The original dataset had 1597 members, after applying the restriction above </w:t>
      </w:r>
      <w:r w:rsidR="00144E81">
        <w:t>described</w:t>
      </w:r>
      <w:r w:rsidR="0006594F">
        <w:t xml:space="preserve"> only 118 members were hired since 1990 onwards within </w:t>
      </w:r>
      <w:r w:rsidR="00DB5AFC">
        <w:t xml:space="preserve">1 year of their highest degree, of whom 62 (52.5%) were female. </w:t>
      </w:r>
      <w:r w:rsidR="00144E81">
        <w:t xml:space="preserve"> Table 7 shows the linear regression coefficients and figure 2 shows the scatter plot of salary and the fitted values of the regression.</w:t>
      </w:r>
    </w:p>
    <w:p w:rsidR="00144E81" w:rsidRDefault="00144E81" w:rsidP="003B65F8">
      <w:r>
        <w:t>Table 7 – Linear regression with untransformed salary and female dummy variable, year hired and interaction between female dummy and year hired.</w:t>
      </w:r>
    </w:p>
    <w:tbl>
      <w:tblPr>
        <w:tblW w:w="8829" w:type="dxa"/>
        <w:tblInd w:w="99" w:type="dxa"/>
        <w:tblLook w:val="04A0"/>
      </w:tblPr>
      <w:tblGrid>
        <w:gridCol w:w="3249"/>
        <w:gridCol w:w="1440"/>
        <w:gridCol w:w="2880"/>
        <w:gridCol w:w="1260"/>
      </w:tblGrid>
      <w:tr w:rsidR="00144E81" w:rsidRPr="00144E81" w:rsidTr="00144E81">
        <w:trPr>
          <w:trHeight w:val="600"/>
        </w:trPr>
        <w:tc>
          <w:tcPr>
            <w:tcW w:w="3249" w:type="dxa"/>
            <w:tcBorders>
              <w:top w:val="single" w:sz="4" w:space="0" w:color="auto"/>
              <w:left w:val="nil"/>
              <w:bottom w:val="single" w:sz="4" w:space="0" w:color="auto"/>
              <w:right w:val="nil"/>
            </w:tcBorders>
            <w:shd w:val="clear" w:color="auto" w:fill="auto"/>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r w:rsidRPr="00144E81">
              <w:rPr>
                <w:rFonts w:ascii="Calibri" w:eastAsia="Times New Roman" w:hAnsi="Calibri" w:cs="Times New Roman"/>
                <w:b/>
                <w:bCs/>
                <w:color w:val="000000"/>
              </w:rPr>
              <w:t>Variable</w:t>
            </w:r>
          </w:p>
        </w:tc>
        <w:tc>
          <w:tcPr>
            <w:tcW w:w="1440" w:type="dxa"/>
            <w:tcBorders>
              <w:top w:val="single" w:sz="4" w:space="0" w:color="auto"/>
              <w:left w:val="nil"/>
              <w:bottom w:val="single" w:sz="4" w:space="0" w:color="auto"/>
              <w:right w:val="nil"/>
            </w:tcBorders>
            <w:shd w:val="clear" w:color="auto" w:fill="auto"/>
            <w:vAlign w:val="center"/>
            <w:hideMark/>
          </w:tcPr>
          <w:p w:rsidR="00144E81" w:rsidRPr="00144E81" w:rsidRDefault="008F7599" w:rsidP="00144E81">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Coefficient</w:t>
            </w:r>
          </w:p>
        </w:tc>
        <w:tc>
          <w:tcPr>
            <w:tcW w:w="2880" w:type="dxa"/>
            <w:tcBorders>
              <w:top w:val="single" w:sz="4" w:space="0" w:color="auto"/>
              <w:left w:val="nil"/>
              <w:bottom w:val="single" w:sz="4" w:space="0" w:color="auto"/>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r w:rsidRPr="00144E81">
              <w:rPr>
                <w:rFonts w:ascii="Calibri" w:eastAsia="Times New Roman" w:hAnsi="Calibri" w:cs="Times New Roman"/>
                <w:b/>
                <w:bCs/>
                <w:color w:val="000000"/>
              </w:rPr>
              <w:t>95% CI</w:t>
            </w:r>
          </w:p>
        </w:tc>
        <w:tc>
          <w:tcPr>
            <w:tcW w:w="1260" w:type="dxa"/>
            <w:tcBorders>
              <w:top w:val="single" w:sz="4" w:space="0" w:color="auto"/>
              <w:left w:val="nil"/>
              <w:bottom w:val="single" w:sz="4" w:space="0" w:color="auto"/>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r w:rsidRPr="00144E81">
              <w:rPr>
                <w:rFonts w:ascii="Calibri" w:eastAsia="Times New Roman" w:hAnsi="Calibri" w:cs="Times New Roman"/>
                <w:b/>
                <w:bCs/>
                <w:color w:val="000000"/>
              </w:rPr>
              <w:t>p-value</w:t>
            </w:r>
          </w:p>
        </w:tc>
      </w:tr>
      <w:tr w:rsidR="00144E81" w:rsidRPr="00144E81" w:rsidTr="00144E81">
        <w:trPr>
          <w:trHeight w:val="300"/>
        </w:trPr>
        <w:tc>
          <w:tcPr>
            <w:tcW w:w="3249"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Total records in the model</w:t>
            </w:r>
          </w:p>
        </w:tc>
        <w:tc>
          <w:tcPr>
            <w:tcW w:w="144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456</w:t>
            </w:r>
          </w:p>
        </w:tc>
        <w:tc>
          <w:tcPr>
            <w:tcW w:w="288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p>
        </w:tc>
      </w:tr>
      <w:tr w:rsidR="00144E81" w:rsidRPr="00144E81" w:rsidTr="00144E81">
        <w:trPr>
          <w:trHeight w:val="300"/>
        </w:trPr>
        <w:tc>
          <w:tcPr>
            <w:tcW w:w="3249" w:type="dxa"/>
            <w:tcBorders>
              <w:top w:val="nil"/>
              <w:left w:val="nil"/>
              <w:bottom w:val="nil"/>
              <w:right w:val="nil"/>
            </w:tcBorders>
            <w:shd w:val="clear" w:color="auto" w:fill="auto"/>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p>
        </w:tc>
        <w:tc>
          <w:tcPr>
            <w:tcW w:w="288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b/>
                <w:bCs/>
                <w:color w:val="000000"/>
              </w:rPr>
            </w:pPr>
          </w:p>
        </w:tc>
      </w:tr>
      <w:tr w:rsidR="00144E81" w:rsidRPr="00144E81" w:rsidTr="00144E81">
        <w:trPr>
          <w:trHeight w:val="300"/>
        </w:trPr>
        <w:tc>
          <w:tcPr>
            <w:tcW w:w="3249"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Female</w:t>
            </w:r>
          </w:p>
        </w:tc>
        <w:tc>
          <w:tcPr>
            <w:tcW w:w="144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-602.7</w:t>
            </w:r>
          </w:p>
        </w:tc>
        <w:tc>
          <w:tcPr>
            <w:tcW w:w="288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-1,209.1 - 3.8</w:t>
            </w:r>
          </w:p>
        </w:tc>
        <w:tc>
          <w:tcPr>
            <w:tcW w:w="126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0.051</w:t>
            </w:r>
          </w:p>
        </w:tc>
      </w:tr>
      <w:tr w:rsidR="00144E81" w:rsidRPr="00144E81" w:rsidTr="00144E81">
        <w:trPr>
          <w:trHeight w:val="300"/>
        </w:trPr>
        <w:tc>
          <w:tcPr>
            <w:tcW w:w="3249"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Year</w:t>
            </w:r>
          </w:p>
        </w:tc>
        <w:tc>
          <w:tcPr>
            <w:tcW w:w="144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169.2</w:t>
            </w:r>
          </w:p>
        </w:tc>
        <w:tc>
          <w:tcPr>
            <w:tcW w:w="288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77.3 - 261.1</w:t>
            </w:r>
          </w:p>
        </w:tc>
        <w:tc>
          <w:tcPr>
            <w:tcW w:w="126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&lt; 0.001</w:t>
            </w:r>
          </w:p>
        </w:tc>
      </w:tr>
      <w:tr w:rsidR="00144E81" w:rsidRPr="00144E81" w:rsidTr="00144E81">
        <w:trPr>
          <w:trHeight w:val="300"/>
        </w:trPr>
        <w:tc>
          <w:tcPr>
            <w:tcW w:w="3249"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Female-Year interaction</w:t>
            </w:r>
          </w:p>
        </w:tc>
        <w:tc>
          <w:tcPr>
            <w:tcW w:w="144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11.8</w:t>
            </w:r>
          </w:p>
        </w:tc>
        <w:tc>
          <w:tcPr>
            <w:tcW w:w="288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-98.4 - 122.0</w:t>
            </w:r>
          </w:p>
        </w:tc>
        <w:tc>
          <w:tcPr>
            <w:tcW w:w="126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0.833</w:t>
            </w:r>
          </w:p>
        </w:tc>
      </w:tr>
      <w:tr w:rsidR="00144E81" w:rsidRPr="00144E81" w:rsidTr="00144E81">
        <w:trPr>
          <w:trHeight w:val="300"/>
        </w:trPr>
        <w:tc>
          <w:tcPr>
            <w:tcW w:w="3249"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Intercept</w:t>
            </w:r>
          </w:p>
        </w:tc>
        <w:tc>
          <w:tcPr>
            <w:tcW w:w="144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4422.9</w:t>
            </w:r>
          </w:p>
        </w:tc>
        <w:tc>
          <w:tcPr>
            <w:tcW w:w="288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3,936.3 - 4,909.6</w:t>
            </w:r>
          </w:p>
        </w:tc>
        <w:tc>
          <w:tcPr>
            <w:tcW w:w="1260" w:type="dxa"/>
            <w:tcBorders>
              <w:top w:val="nil"/>
              <w:left w:val="nil"/>
              <w:bottom w:val="nil"/>
              <w:right w:val="nil"/>
            </w:tcBorders>
            <w:shd w:val="clear" w:color="auto" w:fill="auto"/>
            <w:noWrap/>
            <w:vAlign w:val="center"/>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&lt; 0.001</w:t>
            </w:r>
          </w:p>
        </w:tc>
      </w:tr>
      <w:tr w:rsidR="00144E81" w:rsidRPr="00144E81" w:rsidTr="00144E81">
        <w:trPr>
          <w:trHeight w:val="300"/>
        </w:trPr>
        <w:tc>
          <w:tcPr>
            <w:tcW w:w="3249" w:type="dxa"/>
            <w:tcBorders>
              <w:top w:val="nil"/>
              <w:left w:val="nil"/>
              <w:bottom w:val="single" w:sz="4" w:space="0" w:color="auto"/>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 </w:t>
            </w:r>
          </w:p>
        </w:tc>
        <w:tc>
          <w:tcPr>
            <w:tcW w:w="2880" w:type="dxa"/>
            <w:tcBorders>
              <w:top w:val="nil"/>
              <w:left w:val="nil"/>
              <w:bottom w:val="single" w:sz="4" w:space="0" w:color="auto"/>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 </w:t>
            </w:r>
          </w:p>
        </w:tc>
        <w:tc>
          <w:tcPr>
            <w:tcW w:w="1260" w:type="dxa"/>
            <w:tcBorders>
              <w:top w:val="nil"/>
              <w:left w:val="nil"/>
              <w:bottom w:val="single" w:sz="4" w:space="0" w:color="auto"/>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 </w:t>
            </w:r>
          </w:p>
        </w:tc>
      </w:tr>
      <w:tr w:rsidR="00144E81" w:rsidRPr="00144E81" w:rsidTr="00144E81">
        <w:trPr>
          <w:trHeight w:val="300"/>
        </w:trPr>
        <w:tc>
          <w:tcPr>
            <w:tcW w:w="3249"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r w:rsidRPr="00144E81">
              <w:rPr>
                <w:rFonts w:ascii="Calibri" w:eastAsia="Times New Roman" w:hAnsi="Calibri" w:cs="Times New Roman"/>
                <w:color w:val="000000"/>
              </w:rPr>
              <w:t>Overall model F-test p-value</w:t>
            </w:r>
          </w:p>
        </w:tc>
        <w:tc>
          <w:tcPr>
            <w:tcW w:w="1440"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144E81" w:rsidRPr="00144E81" w:rsidRDefault="00144E81" w:rsidP="00144E81">
            <w:pPr>
              <w:spacing w:after="0" w:line="240" w:lineRule="auto"/>
              <w:jc w:val="center"/>
              <w:rPr>
                <w:rFonts w:ascii="Calibri" w:eastAsia="Times New Roman" w:hAnsi="Calibri" w:cs="Times New Roman"/>
                <w:color w:val="000000"/>
              </w:rPr>
            </w:pPr>
            <w:r w:rsidRPr="00144E81">
              <w:rPr>
                <w:rFonts w:ascii="Calibri" w:eastAsia="Times New Roman" w:hAnsi="Calibri" w:cs="Times New Roman"/>
                <w:color w:val="000000"/>
              </w:rPr>
              <w:t>p &lt; 0.0001</w:t>
            </w:r>
          </w:p>
        </w:tc>
      </w:tr>
    </w:tbl>
    <w:p w:rsidR="001A5B44" w:rsidRDefault="00D455AD" w:rsidP="00FC4D50">
      <w:r>
        <w:rPr>
          <w:noProof/>
        </w:rPr>
        <w:drawing>
          <wp:inline distT="0" distB="0" distL="0" distR="0">
            <wp:extent cx="3834493" cy="2788722"/>
            <wp:effectExtent l="19050" t="0" r="0" b="0"/>
            <wp:docPr id="3" name="Picture 2" descr="linreg_q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reg_qa.tif"/>
                    <pic:cNvPicPr/>
                  </pic:nvPicPr>
                  <pic:blipFill>
                    <a:blip r:embed="rId7"/>
                    <a:stretch>
                      <a:fillRect/>
                    </a:stretch>
                  </pic:blipFill>
                  <pic:spPr>
                    <a:xfrm>
                      <a:off x="0" y="0"/>
                      <a:ext cx="3835433" cy="2789406"/>
                    </a:xfrm>
                    <a:prstGeom prst="rect">
                      <a:avLst/>
                    </a:prstGeom>
                  </pic:spPr>
                </pic:pic>
              </a:graphicData>
            </a:graphic>
          </wp:inline>
        </w:drawing>
      </w:r>
    </w:p>
    <w:p w:rsidR="00144E81" w:rsidRDefault="00070544" w:rsidP="00FC4D50">
      <w:r>
        <w:lastRenderedPageBreak/>
        <w:t>Figure 2 – Fitted values of the linear regression</w:t>
      </w:r>
      <w:r w:rsidR="0041214A">
        <w:t xml:space="preserve"> without untransformed salary</w:t>
      </w:r>
    </w:p>
    <w:p w:rsidR="006F3518" w:rsidRDefault="00070544" w:rsidP="00FC4D50">
      <w:r>
        <w:t>In 1990 males had a salary of 4422.9 USD in average whereas woman had 602.7 USD less</w:t>
      </w:r>
      <w:r w:rsidR="00D455AD">
        <w:t xml:space="preserve"> (p-value = 0.051, no statistically significant difference in initial salaries)</w:t>
      </w:r>
      <w:r>
        <w:t>. Yearly males had a mean increase of salary of 169.2 USD whereas women had</w:t>
      </w:r>
      <w:r w:rsidR="006F3518">
        <w:t xml:space="preserve"> 181.0 USD increase.</w:t>
      </w:r>
      <w:r w:rsidR="00D455AD">
        <w:t xml:space="preserve"> The difference</w:t>
      </w:r>
      <w:r w:rsidR="00D02AC6">
        <w:t xml:space="preserve"> </w:t>
      </w:r>
      <w:r w:rsidR="006F3518">
        <w:t>on salary yearly increase is not statistically different between males and females (p-value = 0.833); so no sex bias involved</w:t>
      </w:r>
      <w:r w:rsidR="00D455AD">
        <w:t xml:space="preserve"> for increasing the salaries</w:t>
      </w:r>
      <w:r w:rsidR="006F3518">
        <w:t>.</w:t>
      </w:r>
      <w:r w:rsidR="00D455AD">
        <w:t xml:space="preserve"> We see graphically almost parallel fitted lines of males and females.</w:t>
      </w:r>
    </w:p>
    <w:p w:rsidR="002135F0" w:rsidRDefault="006F3518" w:rsidP="002135F0">
      <w:r>
        <w:t xml:space="preserve"> </w:t>
      </w:r>
      <w:proofErr w:type="gramStart"/>
      <w:r w:rsidR="002135F0">
        <w:t>4.</w:t>
      </w:r>
      <w:r w:rsidR="00AF6135">
        <w:t>b</w:t>
      </w:r>
      <w:proofErr w:type="gramEnd"/>
      <w:r w:rsidR="002135F0">
        <w:t xml:space="preserve">) Methods: We investigate the association between gender and mean salary increase. We use a linear regression model with natural log-transformed salary as dependent variable and as predictors we include female dummy variable, calendar year as continuous and an interaction term between indicator female and year. We report the coefficients, the 95% confidence intervals and two-sided p values computed using Wald statistics based on robust standard-errors that allow for </w:t>
      </w:r>
      <w:proofErr w:type="spellStart"/>
      <w:r w:rsidR="002135F0">
        <w:t>intragroup</w:t>
      </w:r>
      <w:proofErr w:type="spellEnd"/>
      <w:r w:rsidR="002135F0">
        <w:t xml:space="preserve"> correlation. In all tests the significance level is set to 5%. To account for </w:t>
      </w:r>
    </w:p>
    <w:p w:rsidR="002135F0" w:rsidRDefault="002135F0" w:rsidP="002135F0">
      <w:r>
        <w:t>We use a dataset based on a census of 1995 faculty members. We restrict the dataset to members who were hired within 1 year of their highest degree since 1990. For easy interpretation year of salary information have centered to start count since 1990.</w:t>
      </w:r>
    </w:p>
    <w:p w:rsidR="002135F0" w:rsidRDefault="002135F0" w:rsidP="002135F0">
      <w:r>
        <w:t>Results: The original dataset had 1597 members, after applying the restriction above described only 118 members were hired since 1990 onwards within 1 year of their highest degree, of whom 62 (52.5%) were female.  Table 8 shows the linear regr</w:t>
      </w:r>
      <w:r w:rsidR="0041134C">
        <w:t>ession coefficients and figure 3</w:t>
      </w:r>
      <w:r>
        <w:t xml:space="preserve"> shows the scatter plot of salary and the fitted values of the regression.</w:t>
      </w:r>
    </w:p>
    <w:p w:rsidR="0041134C" w:rsidRDefault="0041134C" w:rsidP="002135F0">
      <w:r>
        <w:t xml:space="preserve">Table 8 – Linear regression with natural log-transformed salary and female dummy variable, year hired and interaction between female dummy and year hired (coefficients are </w:t>
      </w:r>
      <w:proofErr w:type="spellStart"/>
      <w:r>
        <w:t>exponentiated</w:t>
      </w:r>
      <w:proofErr w:type="spellEnd"/>
      <w:r>
        <w:t>).</w:t>
      </w:r>
    </w:p>
    <w:tbl>
      <w:tblPr>
        <w:tblW w:w="9189" w:type="dxa"/>
        <w:tblInd w:w="99" w:type="dxa"/>
        <w:tblLook w:val="04A0"/>
      </w:tblPr>
      <w:tblGrid>
        <w:gridCol w:w="3609"/>
        <w:gridCol w:w="1440"/>
        <w:gridCol w:w="2880"/>
        <w:gridCol w:w="1260"/>
      </w:tblGrid>
      <w:tr w:rsidR="0041134C" w:rsidRPr="0041134C" w:rsidTr="0041134C">
        <w:trPr>
          <w:trHeight w:val="600"/>
        </w:trPr>
        <w:tc>
          <w:tcPr>
            <w:tcW w:w="3609" w:type="dxa"/>
            <w:tcBorders>
              <w:top w:val="single" w:sz="4" w:space="0" w:color="auto"/>
              <w:left w:val="nil"/>
              <w:bottom w:val="single" w:sz="4" w:space="0" w:color="auto"/>
              <w:right w:val="nil"/>
            </w:tcBorders>
            <w:shd w:val="clear" w:color="auto" w:fill="auto"/>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r w:rsidRPr="0041134C">
              <w:rPr>
                <w:rFonts w:ascii="Calibri" w:eastAsia="Times New Roman" w:hAnsi="Calibri" w:cs="Times New Roman"/>
                <w:b/>
                <w:bCs/>
                <w:color w:val="000000"/>
              </w:rPr>
              <w:t>Variable</w:t>
            </w:r>
          </w:p>
        </w:tc>
        <w:tc>
          <w:tcPr>
            <w:tcW w:w="1440" w:type="dxa"/>
            <w:tcBorders>
              <w:top w:val="single" w:sz="4" w:space="0" w:color="auto"/>
              <w:left w:val="nil"/>
              <w:bottom w:val="single" w:sz="4" w:space="0" w:color="auto"/>
              <w:right w:val="nil"/>
            </w:tcBorders>
            <w:shd w:val="clear" w:color="auto" w:fill="auto"/>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r w:rsidRPr="0041134C">
              <w:rPr>
                <w:rFonts w:ascii="Calibri" w:eastAsia="Times New Roman" w:hAnsi="Calibri" w:cs="Times New Roman"/>
                <w:b/>
                <w:bCs/>
                <w:color w:val="000000"/>
              </w:rPr>
              <w:t>Geometric mean Ratio</w:t>
            </w:r>
          </w:p>
        </w:tc>
        <w:tc>
          <w:tcPr>
            <w:tcW w:w="2880" w:type="dxa"/>
            <w:tcBorders>
              <w:top w:val="single" w:sz="4" w:space="0" w:color="auto"/>
              <w:left w:val="nil"/>
              <w:bottom w:val="single" w:sz="4" w:space="0" w:color="auto"/>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r w:rsidRPr="0041134C">
              <w:rPr>
                <w:rFonts w:ascii="Calibri" w:eastAsia="Times New Roman" w:hAnsi="Calibri" w:cs="Times New Roman"/>
                <w:b/>
                <w:bCs/>
                <w:color w:val="000000"/>
              </w:rPr>
              <w:t>95% CI</w:t>
            </w:r>
          </w:p>
        </w:tc>
        <w:tc>
          <w:tcPr>
            <w:tcW w:w="1260" w:type="dxa"/>
            <w:tcBorders>
              <w:top w:val="single" w:sz="4" w:space="0" w:color="auto"/>
              <w:left w:val="nil"/>
              <w:bottom w:val="single" w:sz="4" w:space="0" w:color="auto"/>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r w:rsidRPr="0041134C">
              <w:rPr>
                <w:rFonts w:ascii="Calibri" w:eastAsia="Times New Roman" w:hAnsi="Calibri" w:cs="Times New Roman"/>
                <w:b/>
                <w:bCs/>
                <w:color w:val="000000"/>
              </w:rPr>
              <w:t>p-value</w:t>
            </w:r>
          </w:p>
        </w:tc>
      </w:tr>
      <w:tr w:rsidR="0041134C" w:rsidRPr="0041134C" w:rsidTr="0041134C">
        <w:trPr>
          <w:trHeight w:val="300"/>
        </w:trPr>
        <w:tc>
          <w:tcPr>
            <w:tcW w:w="3609"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Total records in the model</w:t>
            </w:r>
          </w:p>
        </w:tc>
        <w:tc>
          <w:tcPr>
            <w:tcW w:w="144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456</w:t>
            </w:r>
          </w:p>
        </w:tc>
        <w:tc>
          <w:tcPr>
            <w:tcW w:w="288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p>
        </w:tc>
      </w:tr>
      <w:tr w:rsidR="0041134C" w:rsidRPr="0041134C" w:rsidTr="0041134C">
        <w:trPr>
          <w:trHeight w:val="300"/>
        </w:trPr>
        <w:tc>
          <w:tcPr>
            <w:tcW w:w="3609" w:type="dxa"/>
            <w:tcBorders>
              <w:top w:val="nil"/>
              <w:left w:val="nil"/>
              <w:bottom w:val="nil"/>
              <w:right w:val="nil"/>
            </w:tcBorders>
            <w:shd w:val="clear" w:color="auto" w:fill="auto"/>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p>
        </w:tc>
        <w:tc>
          <w:tcPr>
            <w:tcW w:w="288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b/>
                <w:bCs/>
                <w:color w:val="000000"/>
              </w:rPr>
            </w:pPr>
          </w:p>
        </w:tc>
      </w:tr>
      <w:tr w:rsidR="0041134C" w:rsidRPr="0041134C" w:rsidTr="0041134C">
        <w:trPr>
          <w:trHeight w:val="300"/>
        </w:trPr>
        <w:tc>
          <w:tcPr>
            <w:tcW w:w="3609"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Female</w:t>
            </w:r>
          </w:p>
        </w:tc>
        <w:tc>
          <w:tcPr>
            <w:tcW w:w="144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0.865</w:t>
            </w:r>
          </w:p>
        </w:tc>
        <w:tc>
          <w:tcPr>
            <w:tcW w:w="288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0.758 - 0.988</w:t>
            </w:r>
          </w:p>
        </w:tc>
        <w:tc>
          <w:tcPr>
            <w:tcW w:w="126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0.032</w:t>
            </w:r>
          </w:p>
        </w:tc>
      </w:tr>
      <w:tr w:rsidR="0041134C" w:rsidRPr="0041134C" w:rsidTr="0041134C">
        <w:trPr>
          <w:trHeight w:val="300"/>
        </w:trPr>
        <w:tc>
          <w:tcPr>
            <w:tcW w:w="3609"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Year</w:t>
            </w:r>
          </w:p>
        </w:tc>
        <w:tc>
          <w:tcPr>
            <w:tcW w:w="144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1.037</w:t>
            </w:r>
          </w:p>
        </w:tc>
        <w:tc>
          <w:tcPr>
            <w:tcW w:w="288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1.017 - 1.057</w:t>
            </w:r>
          </w:p>
        </w:tc>
        <w:tc>
          <w:tcPr>
            <w:tcW w:w="126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&lt; 0.001</w:t>
            </w:r>
          </w:p>
        </w:tc>
      </w:tr>
      <w:tr w:rsidR="0041134C" w:rsidRPr="0041134C" w:rsidTr="0041134C">
        <w:trPr>
          <w:trHeight w:val="300"/>
        </w:trPr>
        <w:tc>
          <w:tcPr>
            <w:tcW w:w="3609"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Female-Year interaction</w:t>
            </w:r>
          </w:p>
        </w:tc>
        <w:tc>
          <w:tcPr>
            <w:tcW w:w="144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1.007</w:t>
            </w:r>
          </w:p>
        </w:tc>
        <w:tc>
          <w:tcPr>
            <w:tcW w:w="288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0.983 - 1.031</w:t>
            </w:r>
          </w:p>
        </w:tc>
        <w:tc>
          <w:tcPr>
            <w:tcW w:w="126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0.576</w:t>
            </w:r>
          </w:p>
        </w:tc>
      </w:tr>
      <w:tr w:rsidR="0041134C" w:rsidRPr="0041134C" w:rsidTr="0041134C">
        <w:trPr>
          <w:trHeight w:val="300"/>
        </w:trPr>
        <w:tc>
          <w:tcPr>
            <w:tcW w:w="3609"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Intercept</w:t>
            </w:r>
          </w:p>
        </w:tc>
        <w:tc>
          <w:tcPr>
            <w:tcW w:w="144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4301.374</w:t>
            </w:r>
          </w:p>
        </w:tc>
        <w:tc>
          <w:tcPr>
            <w:tcW w:w="288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3,870.904 - 4,779.715</w:t>
            </w:r>
          </w:p>
        </w:tc>
        <w:tc>
          <w:tcPr>
            <w:tcW w:w="1260" w:type="dxa"/>
            <w:tcBorders>
              <w:top w:val="nil"/>
              <w:left w:val="nil"/>
              <w:bottom w:val="nil"/>
              <w:right w:val="nil"/>
            </w:tcBorders>
            <w:shd w:val="clear" w:color="auto" w:fill="auto"/>
            <w:noWrap/>
            <w:vAlign w:val="center"/>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&lt; 0.001</w:t>
            </w:r>
          </w:p>
        </w:tc>
      </w:tr>
      <w:tr w:rsidR="0041134C" w:rsidRPr="0041134C" w:rsidTr="0041134C">
        <w:trPr>
          <w:trHeight w:val="300"/>
        </w:trPr>
        <w:tc>
          <w:tcPr>
            <w:tcW w:w="3609" w:type="dxa"/>
            <w:tcBorders>
              <w:top w:val="nil"/>
              <w:left w:val="nil"/>
              <w:bottom w:val="single" w:sz="4" w:space="0" w:color="auto"/>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 </w:t>
            </w:r>
          </w:p>
        </w:tc>
        <w:tc>
          <w:tcPr>
            <w:tcW w:w="2880" w:type="dxa"/>
            <w:tcBorders>
              <w:top w:val="nil"/>
              <w:left w:val="nil"/>
              <w:bottom w:val="single" w:sz="4" w:space="0" w:color="auto"/>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 </w:t>
            </w:r>
          </w:p>
        </w:tc>
        <w:tc>
          <w:tcPr>
            <w:tcW w:w="1260" w:type="dxa"/>
            <w:tcBorders>
              <w:top w:val="nil"/>
              <w:left w:val="nil"/>
              <w:bottom w:val="single" w:sz="4" w:space="0" w:color="auto"/>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 </w:t>
            </w:r>
          </w:p>
        </w:tc>
      </w:tr>
      <w:tr w:rsidR="0041134C" w:rsidRPr="0041134C" w:rsidTr="0041134C">
        <w:trPr>
          <w:trHeight w:val="300"/>
        </w:trPr>
        <w:tc>
          <w:tcPr>
            <w:tcW w:w="3609"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r w:rsidRPr="0041134C">
              <w:rPr>
                <w:rFonts w:ascii="Calibri" w:eastAsia="Times New Roman" w:hAnsi="Calibri" w:cs="Times New Roman"/>
                <w:color w:val="000000"/>
              </w:rPr>
              <w:t>Overall model F-test p-value</w:t>
            </w:r>
          </w:p>
        </w:tc>
        <w:tc>
          <w:tcPr>
            <w:tcW w:w="1440"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41134C" w:rsidRPr="0041134C" w:rsidRDefault="0041134C" w:rsidP="0041134C">
            <w:pPr>
              <w:spacing w:after="0" w:line="240" w:lineRule="auto"/>
              <w:jc w:val="center"/>
              <w:rPr>
                <w:rFonts w:ascii="Calibri" w:eastAsia="Times New Roman" w:hAnsi="Calibri" w:cs="Times New Roman"/>
                <w:color w:val="000000"/>
              </w:rPr>
            </w:pPr>
            <w:r w:rsidRPr="0041134C">
              <w:rPr>
                <w:rFonts w:ascii="Calibri" w:eastAsia="Times New Roman" w:hAnsi="Calibri" w:cs="Times New Roman"/>
                <w:color w:val="000000"/>
              </w:rPr>
              <w:t>p &lt; 0.0001</w:t>
            </w:r>
          </w:p>
        </w:tc>
      </w:tr>
    </w:tbl>
    <w:p w:rsidR="0041134C" w:rsidRDefault="0041134C" w:rsidP="002135F0"/>
    <w:p w:rsidR="00144E81" w:rsidRDefault="0041214A" w:rsidP="00FC4D50">
      <w:r>
        <w:rPr>
          <w:noProof/>
        </w:rPr>
        <w:lastRenderedPageBreak/>
        <w:drawing>
          <wp:inline distT="0" distB="0" distL="0" distR="0">
            <wp:extent cx="3715740" cy="2702356"/>
            <wp:effectExtent l="19050" t="0" r="0" b="0"/>
            <wp:docPr id="4" name="Picture 3" descr="linreg_q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reg_qb.tif"/>
                    <pic:cNvPicPr/>
                  </pic:nvPicPr>
                  <pic:blipFill>
                    <a:blip r:embed="rId8"/>
                    <a:stretch>
                      <a:fillRect/>
                    </a:stretch>
                  </pic:blipFill>
                  <pic:spPr>
                    <a:xfrm>
                      <a:off x="0" y="0"/>
                      <a:ext cx="3716651" cy="2703019"/>
                    </a:xfrm>
                    <a:prstGeom prst="rect">
                      <a:avLst/>
                    </a:prstGeom>
                  </pic:spPr>
                </pic:pic>
              </a:graphicData>
            </a:graphic>
          </wp:inline>
        </w:drawing>
      </w:r>
    </w:p>
    <w:p w:rsidR="0018117E" w:rsidRDefault="0018117E" w:rsidP="0018117E">
      <w:r>
        <w:t>Figure 2 – Fitted values of the linear regression with natural log-transformed salary</w:t>
      </w:r>
    </w:p>
    <w:p w:rsidR="00A31216" w:rsidRDefault="00A31216" w:rsidP="00A31216">
      <w:r>
        <w:t xml:space="preserve">In 1990 males had a geometric mean salary of 4301.4 USD whereas woman had 86.50% of that salary (p-value = 0.032, a statistically significant difference in initial salaries). Yearly males had a mean a relative increase of salary of 3.66% whereas women had 4.37 relative </w:t>
      </w:r>
      <w:proofErr w:type="gramStart"/>
      <w:r>
        <w:t>increase</w:t>
      </w:r>
      <w:proofErr w:type="gramEnd"/>
      <w:r>
        <w:t xml:space="preserve">. The difference of year salary relative increase is not statistically different between males and females (p-value = 0.576); so no sex bias involved for increasing the salaries. We see graphically almost parallel fitted lines of males and females. </w:t>
      </w:r>
    </w:p>
    <w:p w:rsidR="00CD2CE1" w:rsidRDefault="00D02AC6" w:rsidP="00A31216">
      <w:proofErr w:type="gramStart"/>
      <w:r>
        <w:t>4.c</w:t>
      </w:r>
      <w:proofErr w:type="gramEnd"/>
      <w:r>
        <w:t xml:space="preserve">) </w:t>
      </w:r>
      <w:r w:rsidR="00E57B91">
        <w:t>On both methods we have accounted for correlated observations. Method on a gives an idea of absolute increase on salaries</w:t>
      </w:r>
      <w:r w:rsidR="003D6700">
        <w:t xml:space="preserve"> so easily we see the magnitude of gap between salaries in dollar amount </w:t>
      </w:r>
      <w:r w:rsidR="00E57B91">
        <w:t xml:space="preserve"> </w:t>
      </w:r>
      <w:r w:rsidR="003D6700">
        <w:t xml:space="preserve">that </w:t>
      </w:r>
      <w:r w:rsidR="003D6700" w:rsidRPr="003D6700">
        <w:t>could be easily used to make changes in polices and compensation packages.</w:t>
      </w:r>
      <w:r w:rsidR="003D6700">
        <w:t xml:space="preserve"> W</w:t>
      </w:r>
      <w:r w:rsidR="00E57B91">
        <w:t>hereas method on b is about ratio of geometric means (a relative increase).</w:t>
      </w:r>
    </w:p>
    <w:p w:rsidR="00D02AC6" w:rsidRDefault="00E57B91" w:rsidP="00A31216">
      <w:r>
        <w:t>We know that salaries increase based on the amount of the previous year so I would prefer method b.</w:t>
      </w:r>
    </w:p>
    <w:p w:rsidR="00E57B91" w:rsidRDefault="00E57B91" w:rsidP="00A31216">
      <w:proofErr w:type="gramStart"/>
      <w:r>
        <w:t xml:space="preserve">4d) </w:t>
      </w:r>
      <w:r w:rsidR="00257F94">
        <w:t>Methods as same on 4a and 4b except for standard errors.</w:t>
      </w:r>
      <w:proofErr w:type="gramEnd"/>
      <w:r w:rsidR="00257F94">
        <w:t xml:space="preserve"> Here we use Huber-White sandwich estimator. Table 9 shows the same regression as 4a (</w:t>
      </w:r>
      <w:r w:rsidR="00C64098">
        <w:t>untransformed</w:t>
      </w:r>
      <w:r w:rsidR="00257F94">
        <w:t xml:space="preserve"> salary as outcome) and table 10 shows the same as 4b (natura</w:t>
      </w:r>
      <w:r w:rsidR="00C64098">
        <w:t>l</w:t>
      </w:r>
      <w:r w:rsidR="00257F94">
        <w:t xml:space="preserve"> log-transformed salary outcome).</w:t>
      </w:r>
      <w:r w:rsidR="00C64098">
        <w:t xml:space="preserve">  On tables 11 and 12 we compare the standard errors of both approaches for standard errors for transformed and untransformed salary outcome.</w:t>
      </w:r>
    </w:p>
    <w:p w:rsidR="00BB4C31" w:rsidRDefault="00BB4C31" w:rsidP="00A31216">
      <w:r>
        <w:t xml:space="preserve">Table 9 - </w:t>
      </w:r>
      <w:r w:rsidR="005B4435">
        <w:t>Linear regression with untransformed salary and female dummy variable, year hired and interaction between female dummy and year hired.</w:t>
      </w:r>
    </w:p>
    <w:tbl>
      <w:tblPr>
        <w:tblW w:w="8919" w:type="dxa"/>
        <w:tblInd w:w="99" w:type="dxa"/>
        <w:tblLook w:val="04A0"/>
      </w:tblPr>
      <w:tblGrid>
        <w:gridCol w:w="3519"/>
        <w:gridCol w:w="1440"/>
        <w:gridCol w:w="2700"/>
        <w:gridCol w:w="1260"/>
      </w:tblGrid>
      <w:tr w:rsidR="00BB4C31" w:rsidRPr="00BB4C31" w:rsidTr="00BB4C31">
        <w:trPr>
          <w:trHeight w:val="300"/>
        </w:trPr>
        <w:tc>
          <w:tcPr>
            <w:tcW w:w="3519" w:type="dxa"/>
            <w:tcBorders>
              <w:top w:val="single" w:sz="4" w:space="0" w:color="auto"/>
              <w:left w:val="nil"/>
              <w:bottom w:val="single" w:sz="4" w:space="0" w:color="auto"/>
              <w:right w:val="nil"/>
            </w:tcBorders>
            <w:shd w:val="clear" w:color="auto" w:fill="auto"/>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r w:rsidRPr="00BB4C31">
              <w:rPr>
                <w:rFonts w:ascii="Calibri" w:eastAsia="Times New Roman" w:hAnsi="Calibri" w:cs="Times New Roman"/>
                <w:b/>
                <w:bCs/>
                <w:color w:val="000000"/>
              </w:rPr>
              <w:t>Variable</w:t>
            </w:r>
          </w:p>
        </w:tc>
        <w:tc>
          <w:tcPr>
            <w:tcW w:w="1440" w:type="dxa"/>
            <w:tcBorders>
              <w:top w:val="single" w:sz="4" w:space="0" w:color="auto"/>
              <w:left w:val="nil"/>
              <w:bottom w:val="single" w:sz="4" w:space="0" w:color="auto"/>
              <w:right w:val="nil"/>
            </w:tcBorders>
            <w:shd w:val="clear" w:color="auto" w:fill="auto"/>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r w:rsidRPr="00BB4C31">
              <w:rPr>
                <w:rFonts w:ascii="Calibri" w:eastAsia="Times New Roman" w:hAnsi="Calibri" w:cs="Times New Roman"/>
                <w:b/>
                <w:bCs/>
                <w:color w:val="000000"/>
              </w:rPr>
              <w:t>Hazard-Ratio</w:t>
            </w:r>
          </w:p>
        </w:tc>
        <w:tc>
          <w:tcPr>
            <w:tcW w:w="2700" w:type="dxa"/>
            <w:tcBorders>
              <w:top w:val="single" w:sz="4" w:space="0" w:color="auto"/>
              <w:left w:val="nil"/>
              <w:bottom w:val="single" w:sz="4" w:space="0" w:color="auto"/>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r w:rsidRPr="00BB4C31">
              <w:rPr>
                <w:rFonts w:ascii="Calibri" w:eastAsia="Times New Roman" w:hAnsi="Calibri" w:cs="Times New Roman"/>
                <w:b/>
                <w:bCs/>
                <w:color w:val="000000"/>
              </w:rPr>
              <w:t>95% CI</w:t>
            </w:r>
          </w:p>
        </w:tc>
        <w:tc>
          <w:tcPr>
            <w:tcW w:w="1260" w:type="dxa"/>
            <w:tcBorders>
              <w:top w:val="single" w:sz="4" w:space="0" w:color="auto"/>
              <w:left w:val="nil"/>
              <w:bottom w:val="single" w:sz="4" w:space="0" w:color="auto"/>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r w:rsidRPr="00BB4C31">
              <w:rPr>
                <w:rFonts w:ascii="Calibri" w:eastAsia="Times New Roman" w:hAnsi="Calibri" w:cs="Times New Roman"/>
                <w:b/>
                <w:bCs/>
                <w:color w:val="000000"/>
              </w:rPr>
              <w:t>p-value</w:t>
            </w:r>
          </w:p>
        </w:tc>
      </w:tr>
      <w:tr w:rsidR="00BB4C31" w:rsidRPr="00BB4C31" w:rsidTr="00BB4C31">
        <w:trPr>
          <w:trHeight w:val="300"/>
        </w:trPr>
        <w:tc>
          <w:tcPr>
            <w:tcW w:w="3519"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Total records in the model</w:t>
            </w:r>
          </w:p>
        </w:tc>
        <w:tc>
          <w:tcPr>
            <w:tcW w:w="144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456</w:t>
            </w:r>
          </w:p>
        </w:tc>
        <w:tc>
          <w:tcPr>
            <w:tcW w:w="270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p>
        </w:tc>
      </w:tr>
      <w:tr w:rsidR="00BB4C31" w:rsidRPr="00BB4C31" w:rsidTr="00BB4C31">
        <w:trPr>
          <w:trHeight w:val="300"/>
        </w:trPr>
        <w:tc>
          <w:tcPr>
            <w:tcW w:w="3519" w:type="dxa"/>
            <w:tcBorders>
              <w:top w:val="nil"/>
              <w:left w:val="nil"/>
              <w:bottom w:val="nil"/>
              <w:right w:val="nil"/>
            </w:tcBorders>
            <w:shd w:val="clear" w:color="auto" w:fill="auto"/>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p>
        </w:tc>
        <w:tc>
          <w:tcPr>
            <w:tcW w:w="270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b/>
                <w:bCs/>
                <w:color w:val="000000"/>
              </w:rPr>
            </w:pPr>
          </w:p>
        </w:tc>
      </w:tr>
      <w:tr w:rsidR="00BB4C31" w:rsidRPr="00BB4C31" w:rsidTr="00BB4C31">
        <w:trPr>
          <w:trHeight w:val="300"/>
        </w:trPr>
        <w:tc>
          <w:tcPr>
            <w:tcW w:w="3519"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Female</w:t>
            </w:r>
          </w:p>
        </w:tc>
        <w:tc>
          <w:tcPr>
            <w:tcW w:w="144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-602.7</w:t>
            </w:r>
          </w:p>
        </w:tc>
        <w:tc>
          <w:tcPr>
            <w:tcW w:w="270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-1,094.5 - -110.8</w:t>
            </w:r>
          </w:p>
        </w:tc>
        <w:tc>
          <w:tcPr>
            <w:tcW w:w="126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0.016</w:t>
            </w:r>
          </w:p>
        </w:tc>
      </w:tr>
      <w:tr w:rsidR="00BB4C31" w:rsidRPr="00BB4C31" w:rsidTr="00BB4C31">
        <w:trPr>
          <w:trHeight w:val="300"/>
        </w:trPr>
        <w:tc>
          <w:tcPr>
            <w:tcW w:w="3519"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Year</w:t>
            </w:r>
          </w:p>
        </w:tc>
        <w:tc>
          <w:tcPr>
            <w:tcW w:w="144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169.2</w:t>
            </w:r>
          </w:p>
        </w:tc>
        <w:tc>
          <w:tcPr>
            <w:tcW w:w="270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61.2 - 277.2</w:t>
            </w:r>
          </w:p>
        </w:tc>
        <w:tc>
          <w:tcPr>
            <w:tcW w:w="126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0.002</w:t>
            </w:r>
          </w:p>
        </w:tc>
      </w:tr>
      <w:tr w:rsidR="00BB4C31" w:rsidRPr="00BB4C31" w:rsidTr="00BB4C31">
        <w:trPr>
          <w:trHeight w:val="300"/>
        </w:trPr>
        <w:tc>
          <w:tcPr>
            <w:tcW w:w="3519"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Female-Year interaction</w:t>
            </w:r>
          </w:p>
        </w:tc>
        <w:tc>
          <w:tcPr>
            <w:tcW w:w="144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11.8</w:t>
            </w:r>
          </w:p>
        </w:tc>
        <w:tc>
          <w:tcPr>
            <w:tcW w:w="270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-127.9 - 151.5</w:t>
            </w:r>
          </w:p>
        </w:tc>
        <w:tc>
          <w:tcPr>
            <w:tcW w:w="126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0.868</w:t>
            </w:r>
          </w:p>
        </w:tc>
      </w:tr>
      <w:tr w:rsidR="00BB4C31" w:rsidRPr="00BB4C31" w:rsidTr="00BB4C31">
        <w:trPr>
          <w:trHeight w:val="300"/>
        </w:trPr>
        <w:tc>
          <w:tcPr>
            <w:tcW w:w="3519"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Intercept</w:t>
            </w:r>
          </w:p>
        </w:tc>
        <w:tc>
          <w:tcPr>
            <w:tcW w:w="144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4422.9</w:t>
            </w:r>
          </w:p>
        </w:tc>
        <w:tc>
          <w:tcPr>
            <w:tcW w:w="270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4,037.9 - 4,807.9</w:t>
            </w:r>
          </w:p>
        </w:tc>
        <w:tc>
          <w:tcPr>
            <w:tcW w:w="1260" w:type="dxa"/>
            <w:tcBorders>
              <w:top w:val="nil"/>
              <w:left w:val="nil"/>
              <w:bottom w:val="nil"/>
              <w:right w:val="nil"/>
            </w:tcBorders>
            <w:shd w:val="clear" w:color="auto" w:fill="auto"/>
            <w:noWrap/>
            <w:vAlign w:val="center"/>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&lt; 0.001</w:t>
            </w:r>
          </w:p>
        </w:tc>
      </w:tr>
      <w:tr w:rsidR="00BB4C31" w:rsidRPr="00BB4C31" w:rsidTr="00BB4C31">
        <w:trPr>
          <w:trHeight w:val="300"/>
        </w:trPr>
        <w:tc>
          <w:tcPr>
            <w:tcW w:w="3519" w:type="dxa"/>
            <w:tcBorders>
              <w:top w:val="nil"/>
              <w:left w:val="nil"/>
              <w:bottom w:val="single" w:sz="4" w:space="0" w:color="auto"/>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 </w:t>
            </w:r>
          </w:p>
        </w:tc>
        <w:tc>
          <w:tcPr>
            <w:tcW w:w="2700" w:type="dxa"/>
            <w:tcBorders>
              <w:top w:val="nil"/>
              <w:left w:val="nil"/>
              <w:bottom w:val="single" w:sz="4" w:space="0" w:color="auto"/>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 </w:t>
            </w:r>
          </w:p>
        </w:tc>
        <w:tc>
          <w:tcPr>
            <w:tcW w:w="1260" w:type="dxa"/>
            <w:tcBorders>
              <w:top w:val="nil"/>
              <w:left w:val="nil"/>
              <w:bottom w:val="single" w:sz="4" w:space="0" w:color="auto"/>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 </w:t>
            </w:r>
          </w:p>
        </w:tc>
      </w:tr>
      <w:tr w:rsidR="00BB4C31" w:rsidRPr="00BB4C31" w:rsidTr="00BB4C31">
        <w:trPr>
          <w:trHeight w:val="300"/>
        </w:trPr>
        <w:tc>
          <w:tcPr>
            <w:tcW w:w="3519"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r w:rsidRPr="00BB4C31">
              <w:rPr>
                <w:rFonts w:ascii="Calibri" w:eastAsia="Times New Roman" w:hAnsi="Calibri" w:cs="Times New Roman"/>
                <w:color w:val="000000"/>
              </w:rPr>
              <w:t>Overall model F-test p-value</w:t>
            </w:r>
          </w:p>
        </w:tc>
        <w:tc>
          <w:tcPr>
            <w:tcW w:w="1440"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p>
        </w:tc>
        <w:tc>
          <w:tcPr>
            <w:tcW w:w="2700"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BB4C31" w:rsidRPr="00BB4C31" w:rsidRDefault="00BB4C31" w:rsidP="00BB4C31">
            <w:pPr>
              <w:spacing w:after="0" w:line="240" w:lineRule="auto"/>
              <w:jc w:val="center"/>
              <w:rPr>
                <w:rFonts w:ascii="Calibri" w:eastAsia="Times New Roman" w:hAnsi="Calibri" w:cs="Times New Roman"/>
                <w:color w:val="000000"/>
              </w:rPr>
            </w:pPr>
            <w:r w:rsidRPr="00BB4C31">
              <w:rPr>
                <w:rFonts w:ascii="Calibri" w:eastAsia="Times New Roman" w:hAnsi="Calibri" w:cs="Times New Roman"/>
                <w:color w:val="000000"/>
              </w:rPr>
              <w:t>p &lt; 0.0001</w:t>
            </w:r>
          </w:p>
        </w:tc>
      </w:tr>
    </w:tbl>
    <w:p w:rsidR="00BB4C31" w:rsidRDefault="00BB4C31" w:rsidP="00A31216"/>
    <w:p w:rsidR="00BB4C31" w:rsidRDefault="00BB4C31" w:rsidP="00BB4C31">
      <w:r>
        <w:lastRenderedPageBreak/>
        <w:t xml:space="preserve">Table 10 </w:t>
      </w:r>
      <w:r w:rsidR="002467AB">
        <w:t>–</w:t>
      </w:r>
      <w:r>
        <w:t xml:space="preserve"> </w:t>
      </w:r>
      <w:r w:rsidR="00EF4097">
        <w:t xml:space="preserve">Linear regression with natural log-transformed salary and female dummy variable, year hired and interaction between female dummy and year hired (coefficients are </w:t>
      </w:r>
      <w:proofErr w:type="spellStart"/>
      <w:r w:rsidR="00EF4097">
        <w:t>exponentiated</w:t>
      </w:r>
      <w:proofErr w:type="spellEnd"/>
      <w:r w:rsidR="00EF4097">
        <w:t>).</w:t>
      </w:r>
    </w:p>
    <w:tbl>
      <w:tblPr>
        <w:tblW w:w="8919" w:type="dxa"/>
        <w:tblInd w:w="99" w:type="dxa"/>
        <w:tblLook w:val="04A0"/>
      </w:tblPr>
      <w:tblGrid>
        <w:gridCol w:w="3339"/>
        <w:gridCol w:w="1440"/>
        <w:gridCol w:w="2880"/>
        <w:gridCol w:w="1260"/>
      </w:tblGrid>
      <w:tr w:rsidR="002467AB" w:rsidRPr="002467AB" w:rsidTr="002467AB">
        <w:trPr>
          <w:trHeight w:val="600"/>
        </w:trPr>
        <w:tc>
          <w:tcPr>
            <w:tcW w:w="3339" w:type="dxa"/>
            <w:tcBorders>
              <w:top w:val="single" w:sz="4" w:space="0" w:color="auto"/>
              <w:left w:val="nil"/>
              <w:bottom w:val="single" w:sz="4" w:space="0" w:color="auto"/>
              <w:right w:val="nil"/>
            </w:tcBorders>
            <w:shd w:val="clear" w:color="auto" w:fill="auto"/>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r w:rsidRPr="002467AB">
              <w:rPr>
                <w:rFonts w:ascii="Calibri" w:eastAsia="Times New Roman" w:hAnsi="Calibri" w:cs="Times New Roman"/>
                <w:b/>
                <w:bCs/>
                <w:color w:val="000000"/>
              </w:rPr>
              <w:t>Variable</w:t>
            </w:r>
          </w:p>
        </w:tc>
        <w:tc>
          <w:tcPr>
            <w:tcW w:w="1440" w:type="dxa"/>
            <w:tcBorders>
              <w:top w:val="single" w:sz="4" w:space="0" w:color="auto"/>
              <w:left w:val="nil"/>
              <w:bottom w:val="single" w:sz="4" w:space="0" w:color="auto"/>
              <w:right w:val="nil"/>
            </w:tcBorders>
            <w:shd w:val="clear" w:color="auto" w:fill="auto"/>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r w:rsidRPr="002467AB">
              <w:rPr>
                <w:rFonts w:ascii="Calibri" w:eastAsia="Times New Roman" w:hAnsi="Calibri" w:cs="Times New Roman"/>
                <w:b/>
                <w:bCs/>
                <w:color w:val="000000"/>
              </w:rPr>
              <w:t>Geometric mean Ratio</w:t>
            </w:r>
          </w:p>
        </w:tc>
        <w:tc>
          <w:tcPr>
            <w:tcW w:w="2880" w:type="dxa"/>
            <w:tcBorders>
              <w:top w:val="single" w:sz="4" w:space="0" w:color="auto"/>
              <w:left w:val="nil"/>
              <w:bottom w:val="single" w:sz="4" w:space="0" w:color="auto"/>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r w:rsidRPr="002467AB">
              <w:rPr>
                <w:rFonts w:ascii="Calibri" w:eastAsia="Times New Roman" w:hAnsi="Calibri" w:cs="Times New Roman"/>
                <w:b/>
                <w:bCs/>
                <w:color w:val="000000"/>
              </w:rPr>
              <w:t>95% CI</w:t>
            </w:r>
          </w:p>
        </w:tc>
        <w:tc>
          <w:tcPr>
            <w:tcW w:w="1260" w:type="dxa"/>
            <w:tcBorders>
              <w:top w:val="single" w:sz="4" w:space="0" w:color="auto"/>
              <w:left w:val="nil"/>
              <w:bottom w:val="single" w:sz="4" w:space="0" w:color="auto"/>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r w:rsidRPr="002467AB">
              <w:rPr>
                <w:rFonts w:ascii="Calibri" w:eastAsia="Times New Roman" w:hAnsi="Calibri" w:cs="Times New Roman"/>
                <w:b/>
                <w:bCs/>
                <w:color w:val="000000"/>
              </w:rPr>
              <w:t>p-value</w:t>
            </w:r>
          </w:p>
        </w:tc>
      </w:tr>
      <w:tr w:rsidR="002467AB" w:rsidRPr="002467AB" w:rsidTr="002467AB">
        <w:trPr>
          <w:trHeight w:val="300"/>
        </w:trPr>
        <w:tc>
          <w:tcPr>
            <w:tcW w:w="3339"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Total records in the model</w:t>
            </w:r>
          </w:p>
        </w:tc>
        <w:tc>
          <w:tcPr>
            <w:tcW w:w="144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456</w:t>
            </w:r>
          </w:p>
        </w:tc>
        <w:tc>
          <w:tcPr>
            <w:tcW w:w="288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p>
        </w:tc>
      </w:tr>
      <w:tr w:rsidR="002467AB" w:rsidRPr="002467AB" w:rsidTr="002467AB">
        <w:trPr>
          <w:trHeight w:val="300"/>
        </w:trPr>
        <w:tc>
          <w:tcPr>
            <w:tcW w:w="3339" w:type="dxa"/>
            <w:tcBorders>
              <w:top w:val="nil"/>
              <w:left w:val="nil"/>
              <w:bottom w:val="nil"/>
              <w:right w:val="nil"/>
            </w:tcBorders>
            <w:shd w:val="clear" w:color="auto" w:fill="auto"/>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p>
        </w:tc>
        <w:tc>
          <w:tcPr>
            <w:tcW w:w="1440" w:type="dxa"/>
            <w:tcBorders>
              <w:top w:val="nil"/>
              <w:left w:val="nil"/>
              <w:bottom w:val="nil"/>
              <w:right w:val="nil"/>
            </w:tcBorders>
            <w:shd w:val="clear" w:color="auto" w:fill="auto"/>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p>
        </w:tc>
        <w:tc>
          <w:tcPr>
            <w:tcW w:w="288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p>
        </w:tc>
        <w:tc>
          <w:tcPr>
            <w:tcW w:w="126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b/>
                <w:bCs/>
                <w:color w:val="000000"/>
              </w:rPr>
            </w:pPr>
          </w:p>
        </w:tc>
      </w:tr>
      <w:tr w:rsidR="002467AB" w:rsidRPr="002467AB" w:rsidTr="002467AB">
        <w:trPr>
          <w:trHeight w:val="300"/>
        </w:trPr>
        <w:tc>
          <w:tcPr>
            <w:tcW w:w="3339"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Female</w:t>
            </w:r>
          </w:p>
        </w:tc>
        <w:tc>
          <w:tcPr>
            <w:tcW w:w="144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0.865</w:t>
            </w:r>
          </w:p>
        </w:tc>
        <w:tc>
          <w:tcPr>
            <w:tcW w:w="288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0.782 - 0.957</w:t>
            </w:r>
          </w:p>
        </w:tc>
        <w:tc>
          <w:tcPr>
            <w:tcW w:w="126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0.005</w:t>
            </w:r>
          </w:p>
        </w:tc>
      </w:tr>
      <w:tr w:rsidR="002467AB" w:rsidRPr="002467AB" w:rsidTr="002467AB">
        <w:trPr>
          <w:trHeight w:val="300"/>
        </w:trPr>
        <w:tc>
          <w:tcPr>
            <w:tcW w:w="3339"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Year</w:t>
            </w:r>
          </w:p>
        </w:tc>
        <w:tc>
          <w:tcPr>
            <w:tcW w:w="144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1.037</w:t>
            </w:r>
          </w:p>
        </w:tc>
        <w:tc>
          <w:tcPr>
            <w:tcW w:w="288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1.015 - 1.059</w:t>
            </w:r>
          </w:p>
        </w:tc>
        <w:tc>
          <w:tcPr>
            <w:tcW w:w="126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0.001</w:t>
            </w:r>
          </w:p>
        </w:tc>
      </w:tr>
      <w:tr w:rsidR="002467AB" w:rsidRPr="002467AB" w:rsidTr="002467AB">
        <w:trPr>
          <w:trHeight w:val="300"/>
        </w:trPr>
        <w:tc>
          <w:tcPr>
            <w:tcW w:w="3339"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Female-Year interaction</w:t>
            </w:r>
          </w:p>
        </w:tc>
        <w:tc>
          <w:tcPr>
            <w:tcW w:w="144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1.007</w:t>
            </w:r>
          </w:p>
        </w:tc>
        <w:tc>
          <w:tcPr>
            <w:tcW w:w="288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0.979 - 1.035</w:t>
            </w:r>
          </w:p>
        </w:tc>
        <w:tc>
          <w:tcPr>
            <w:tcW w:w="126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0.633</w:t>
            </w:r>
          </w:p>
        </w:tc>
      </w:tr>
      <w:tr w:rsidR="002467AB" w:rsidRPr="002467AB" w:rsidTr="002467AB">
        <w:trPr>
          <w:trHeight w:val="300"/>
        </w:trPr>
        <w:tc>
          <w:tcPr>
            <w:tcW w:w="3339"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Intercept</w:t>
            </w:r>
          </w:p>
        </w:tc>
        <w:tc>
          <w:tcPr>
            <w:tcW w:w="144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4301.374</w:t>
            </w:r>
          </w:p>
        </w:tc>
        <w:tc>
          <w:tcPr>
            <w:tcW w:w="288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3,974.224 - 4,655.455</w:t>
            </w:r>
          </w:p>
        </w:tc>
        <w:tc>
          <w:tcPr>
            <w:tcW w:w="1260" w:type="dxa"/>
            <w:tcBorders>
              <w:top w:val="nil"/>
              <w:left w:val="nil"/>
              <w:bottom w:val="nil"/>
              <w:right w:val="nil"/>
            </w:tcBorders>
            <w:shd w:val="clear" w:color="auto" w:fill="auto"/>
            <w:noWrap/>
            <w:vAlign w:val="center"/>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&lt; 0.001</w:t>
            </w:r>
          </w:p>
        </w:tc>
      </w:tr>
      <w:tr w:rsidR="002467AB" w:rsidRPr="002467AB" w:rsidTr="002467AB">
        <w:trPr>
          <w:trHeight w:val="300"/>
        </w:trPr>
        <w:tc>
          <w:tcPr>
            <w:tcW w:w="3339" w:type="dxa"/>
            <w:tcBorders>
              <w:top w:val="nil"/>
              <w:left w:val="nil"/>
              <w:bottom w:val="single" w:sz="4" w:space="0" w:color="auto"/>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 </w:t>
            </w:r>
          </w:p>
        </w:tc>
        <w:tc>
          <w:tcPr>
            <w:tcW w:w="1440" w:type="dxa"/>
            <w:tcBorders>
              <w:top w:val="nil"/>
              <w:left w:val="nil"/>
              <w:bottom w:val="single" w:sz="4" w:space="0" w:color="auto"/>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 </w:t>
            </w:r>
          </w:p>
        </w:tc>
        <w:tc>
          <w:tcPr>
            <w:tcW w:w="2880" w:type="dxa"/>
            <w:tcBorders>
              <w:top w:val="nil"/>
              <w:left w:val="nil"/>
              <w:bottom w:val="single" w:sz="4" w:space="0" w:color="auto"/>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 </w:t>
            </w:r>
          </w:p>
        </w:tc>
        <w:tc>
          <w:tcPr>
            <w:tcW w:w="1260" w:type="dxa"/>
            <w:tcBorders>
              <w:top w:val="nil"/>
              <w:left w:val="nil"/>
              <w:bottom w:val="single" w:sz="4" w:space="0" w:color="auto"/>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 </w:t>
            </w:r>
          </w:p>
        </w:tc>
      </w:tr>
      <w:tr w:rsidR="002467AB" w:rsidRPr="002467AB" w:rsidTr="002467AB">
        <w:trPr>
          <w:trHeight w:val="300"/>
        </w:trPr>
        <w:tc>
          <w:tcPr>
            <w:tcW w:w="3339"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r w:rsidRPr="002467AB">
              <w:rPr>
                <w:rFonts w:ascii="Calibri" w:eastAsia="Times New Roman" w:hAnsi="Calibri" w:cs="Times New Roman"/>
                <w:color w:val="000000"/>
              </w:rPr>
              <w:t>Overall model F-test p-value</w:t>
            </w:r>
          </w:p>
        </w:tc>
        <w:tc>
          <w:tcPr>
            <w:tcW w:w="1440"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2467AB" w:rsidRPr="002467AB" w:rsidRDefault="002467AB" w:rsidP="002467AB">
            <w:pPr>
              <w:spacing w:after="0" w:line="240" w:lineRule="auto"/>
              <w:jc w:val="center"/>
              <w:rPr>
                <w:rFonts w:ascii="Calibri" w:eastAsia="Times New Roman" w:hAnsi="Calibri" w:cs="Times New Roman"/>
                <w:color w:val="000000"/>
              </w:rPr>
            </w:pPr>
            <w:r w:rsidRPr="002467AB">
              <w:rPr>
                <w:rFonts w:ascii="Calibri" w:eastAsia="Times New Roman" w:hAnsi="Calibri" w:cs="Times New Roman"/>
                <w:color w:val="000000"/>
              </w:rPr>
              <w:t>p &lt; 0.0001</w:t>
            </w:r>
          </w:p>
        </w:tc>
      </w:tr>
    </w:tbl>
    <w:p w:rsidR="002467AB" w:rsidRDefault="002467AB" w:rsidP="00BB4C31"/>
    <w:p w:rsidR="009C7D16" w:rsidRDefault="009C7D16" w:rsidP="00C41109">
      <w:r>
        <w:t>Table 11 – Untransformed salary</w:t>
      </w:r>
      <w:r w:rsidR="005B4435">
        <w:t xml:space="preserve"> model</w:t>
      </w:r>
      <w:r>
        <w:t xml:space="preserve"> coefficient</w:t>
      </w:r>
      <w:r w:rsidR="005B4435">
        <w:t>s</w:t>
      </w:r>
      <w:r>
        <w:t xml:space="preserve"> and standard errors (IGC accounting for intra group correlation; HW using Huber-White estimator)</w:t>
      </w:r>
    </w:p>
    <w:tbl>
      <w:tblPr>
        <w:tblW w:w="5760" w:type="dxa"/>
        <w:tblInd w:w="99" w:type="dxa"/>
        <w:tblLook w:val="04A0"/>
      </w:tblPr>
      <w:tblGrid>
        <w:gridCol w:w="2580"/>
        <w:gridCol w:w="1220"/>
        <w:gridCol w:w="980"/>
        <w:gridCol w:w="980"/>
      </w:tblGrid>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c>
          <w:tcPr>
            <w:tcW w:w="122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c>
          <w:tcPr>
            <w:tcW w:w="1960" w:type="dxa"/>
            <w:gridSpan w:val="2"/>
            <w:tcBorders>
              <w:top w:val="single" w:sz="4" w:space="0" w:color="auto"/>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SE</w:t>
            </w:r>
          </w:p>
        </w:tc>
      </w:tr>
      <w:tr w:rsidR="009C7D16" w:rsidRPr="009C7D16" w:rsidTr="009C7D16">
        <w:trPr>
          <w:trHeight w:val="300"/>
        </w:trPr>
        <w:tc>
          <w:tcPr>
            <w:tcW w:w="2580" w:type="dxa"/>
            <w:tcBorders>
              <w:top w:val="single" w:sz="4" w:space="0" w:color="auto"/>
              <w:left w:val="nil"/>
              <w:bottom w:val="single" w:sz="4" w:space="0" w:color="auto"/>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Variable</w:t>
            </w:r>
          </w:p>
        </w:tc>
        <w:tc>
          <w:tcPr>
            <w:tcW w:w="1220" w:type="dxa"/>
            <w:tcBorders>
              <w:top w:val="single" w:sz="4" w:space="0" w:color="auto"/>
              <w:left w:val="nil"/>
              <w:bottom w:val="single" w:sz="4" w:space="0" w:color="auto"/>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Coefficient</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IGC</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HW</w:t>
            </w:r>
          </w:p>
        </w:tc>
      </w:tr>
      <w:tr w:rsidR="009C7D16" w:rsidRPr="009C7D16" w:rsidTr="009C7D16">
        <w:trPr>
          <w:trHeight w:val="300"/>
        </w:trPr>
        <w:tc>
          <w:tcPr>
            <w:tcW w:w="2580" w:type="dxa"/>
            <w:tcBorders>
              <w:top w:val="nil"/>
              <w:left w:val="nil"/>
              <w:bottom w:val="nil"/>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p>
        </w:tc>
        <w:tc>
          <w:tcPr>
            <w:tcW w:w="1220" w:type="dxa"/>
            <w:tcBorders>
              <w:top w:val="nil"/>
              <w:left w:val="nil"/>
              <w:bottom w:val="nil"/>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p>
        </w:tc>
        <w:tc>
          <w:tcPr>
            <w:tcW w:w="9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Female</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-602.7</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306.228</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250.272</w:t>
            </w: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Year</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169.2</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46.393</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54.956</w:t>
            </w: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Female-Year interaction</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11.8</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55.650</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71.091</w:t>
            </w: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Intercept</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4422.9</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245.734</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195.910</w:t>
            </w:r>
          </w:p>
        </w:tc>
      </w:tr>
      <w:tr w:rsidR="009C7D16" w:rsidRPr="009C7D16" w:rsidTr="009C7D16">
        <w:trPr>
          <w:trHeight w:val="300"/>
        </w:trPr>
        <w:tc>
          <w:tcPr>
            <w:tcW w:w="25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c>
          <w:tcPr>
            <w:tcW w:w="122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r>
    </w:tbl>
    <w:p w:rsidR="002467AB" w:rsidRDefault="002467AB" w:rsidP="00C41109"/>
    <w:p w:rsidR="005B4435" w:rsidRDefault="005B4435" w:rsidP="00C41109">
      <w:r>
        <w:t>Table 12 – Natural log-transformed salary model coefficients and standard errors (IGC accounting for intra group correlation; HW using Huber-White estimator)</w:t>
      </w:r>
    </w:p>
    <w:tbl>
      <w:tblPr>
        <w:tblW w:w="5760" w:type="dxa"/>
        <w:tblInd w:w="99" w:type="dxa"/>
        <w:tblLook w:val="04A0"/>
      </w:tblPr>
      <w:tblGrid>
        <w:gridCol w:w="2580"/>
        <w:gridCol w:w="1220"/>
        <w:gridCol w:w="980"/>
        <w:gridCol w:w="980"/>
      </w:tblGrid>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c>
          <w:tcPr>
            <w:tcW w:w="122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c>
          <w:tcPr>
            <w:tcW w:w="1960" w:type="dxa"/>
            <w:gridSpan w:val="2"/>
            <w:tcBorders>
              <w:top w:val="single" w:sz="4" w:space="0" w:color="auto"/>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SE</w:t>
            </w:r>
          </w:p>
        </w:tc>
      </w:tr>
      <w:tr w:rsidR="009C7D16" w:rsidRPr="009C7D16" w:rsidTr="009C7D16">
        <w:trPr>
          <w:trHeight w:val="300"/>
        </w:trPr>
        <w:tc>
          <w:tcPr>
            <w:tcW w:w="2580" w:type="dxa"/>
            <w:tcBorders>
              <w:top w:val="single" w:sz="4" w:space="0" w:color="auto"/>
              <w:left w:val="nil"/>
              <w:bottom w:val="single" w:sz="4" w:space="0" w:color="auto"/>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Variable</w:t>
            </w:r>
          </w:p>
        </w:tc>
        <w:tc>
          <w:tcPr>
            <w:tcW w:w="1220" w:type="dxa"/>
            <w:tcBorders>
              <w:top w:val="single" w:sz="4" w:space="0" w:color="auto"/>
              <w:left w:val="nil"/>
              <w:bottom w:val="single" w:sz="4" w:space="0" w:color="auto"/>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Coefficient</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IGC</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jc w:val="center"/>
              <w:rPr>
                <w:rFonts w:ascii="Calibri" w:eastAsia="Times New Roman" w:hAnsi="Calibri" w:cs="Times New Roman"/>
                <w:b/>
                <w:bCs/>
                <w:color w:val="000000"/>
              </w:rPr>
            </w:pPr>
            <w:r w:rsidRPr="009C7D16">
              <w:rPr>
                <w:rFonts w:ascii="Calibri" w:eastAsia="Times New Roman" w:hAnsi="Calibri" w:cs="Times New Roman"/>
                <w:b/>
                <w:bCs/>
                <w:color w:val="000000"/>
              </w:rPr>
              <w:t>HW</w:t>
            </w:r>
          </w:p>
        </w:tc>
      </w:tr>
      <w:tr w:rsidR="009C7D16" w:rsidRPr="009C7D16" w:rsidTr="009C7D16">
        <w:trPr>
          <w:trHeight w:val="300"/>
        </w:trPr>
        <w:tc>
          <w:tcPr>
            <w:tcW w:w="2580" w:type="dxa"/>
            <w:tcBorders>
              <w:top w:val="nil"/>
              <w:left w:val="nil"/>
              <w:bottom w:val="nil"/>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p>
        </w:tc>
        <w:tc>
          <w:tcPr>
            <w:tcW w:w="1220" w:type="dxa"/>
            <w:tcBorders>
              <w:top w:val="nil"/>
              <w:left w:val="nil"/>
              <w:bottom w:val="nil"/>
              <w:right w:val="nil"/>
            </w:tcBorders>
            <w:shd w:val="clear" w:color="auto" w:fill="auto"/>
            <w:vAlign w:val="center"/>
            <w:hideMark/>
          </w:tcPr>
          <w:p w:rsidR="009C7D16" w:rsidRPr="009C7D16" w:rsidRDefault="009C7D16" w:rsidP="009C7D16">
            <w:pPr>
              <w:spacing w:after="0" w:line="240" w:lineRule="auto"/>
              <w:jc w:val="center"/>
              <w:rPr>
                <w:rFonts w:ascii="Calibri" w:eastAsia="Times New Roman" w:hAnsi="Calibri" w:cs="Times New Roman"/>
                <w:b/>
                <w:bCs/>
                <w:color w:val="000000"/>
              </w:rPr>
            </w:pPr>
          </w:p>
        </w:tc>
        <w:tc>
          <w:tcPr>
            <w:tcW w:w="9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Female</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0.865</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0.058</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0.044</w:t>
            </w: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Year</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1.037</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0.010</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0.011</w:t>
            </w: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Female-Year interaction</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1.007</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0.012</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0.014</w:t>
            </w:r>
          </w:p>
        </w:tc>
      </w:tr>
      <w:tr w:rsidR="009C7D16" w:rsidRPr="009C7D16" w:rsidTr="009C7D16">
        <w:trPr>
          <w:trHeight w:val="300"/>
        </w:trPr>
        <w:tc>
          <w:tcPr>
            <w:tcW w:w="2580" w:type="dxa"/>
            <w:tcBorders>
              <w:top w:val="nil"/>
              <w:left w:val="nil"/>
              <w:bottom w:val="nil"/>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Intercept</w:t>
            </w:r>
          </w:p>
        </w:tc>
        <w:tc>
          <w:tcPr>
            <w:tcW w:w="122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4301.374</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229.021</w:t>
            </w:r>
          </w:p>
        </w:tc>
        <w:tc>
          <w:tcPr>
            <w:tcW w:w="980" w:type="dxa"/>
            <w:tcBorders>
              <w:top w:val="nil"/>
              <w:left w:val="nil"/>
              <w:bottom w:val="nil"/>
              <w:right w:val="nil"/>
            </w:tcBorders>
            <w:shd w:val="clear" w:color="auto" w:fill="auto"/>
            <w:noWrap/>
            <w:vAlign w:val="center"/>
            <w:hideMark/>
          </w:tcPr>
          <w:p w:rsidR="009C7D16" w:rsidRPr="009C7D16" w:rsidRDefault="009C7D16" w:rsidP="009C7D16">
            <w:pPr>
              <w:spacing w:after="0" w:line="240" w:lineRule="auto"/>
              <w:jc w:val="center"/>
              <w:rPr>
                <w:rFonts w:ascii="Calibri" w:eastAsia="Times New Roman" w:hAnsi="Calibri" w:cs="Times New Roman"/>
                <w:color w:val="000000"/>
              </w:rPr>
            </w:pPr>
            <w:r w:rsidRPr="009C7D16">
              <w:rPr>
                <w:rFonts w:ascii="Calibri" w:eastAsia="Times New Roman" w:hAnsi="Calibri" w:cs="Times New Roman"/>
                <w:color w:val="000000"/>
              </w:rPr>
              <w:t>173.141</w:t>
            </w:r>
          </w:p>
        </w:tc>
      </w:tr>
      <w:tr w:rsidR="009C7D16" w:rsidRPr="009C7D16" w:rsidTr="009C7D16">
        <w:trPr>
          <w:trHeight w:val="300"/>
        </w:trPr>
        <w:tc>
          <w:tcPr>
            <w:tcW w:w="25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c>
          <w:tcPr>
            <w:tcW w:w="122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9C7D16" w:rsidRPr="009C7D16" w:rsidRDefault="009C7D16" w:rsidP="009C7D16">
            <w:pPr>
              <w:spacing w:after="0" w:line="240" w:lineRule="auto"/>
              <w:rPr>
                <w:rFonts w:ascii="Calibri" w:eastAsia="Times New Roman" w:hAnsi="Calibri" w:cs="Times New Roman"/>
                <w:color w:val="000000"/>
              </w:rPr>
            </w:pPr>
            <w:r w:rsidRPr="009C7D16">
              <w:rPr>
                <w:rFonts w:ascii="Calibri" w:eastAsia="Times New Roman" w:hAnsi="Calibri" w:cs="Times New Roman"/>
                <w:color w:val="000000"/>
              </w:rPr>
              <w:t> </w:t>
            </w:r>
          </w:p>
        </w:tc>
      </w:tr>
    </w:tbl>
    <w:p w:rsidR="001733FA" w:rsidRDefault="001733FA" w:rsidP="00C41109"/>
    <w:p w:rsidR="001733FA" w:rsidRDefault="00C64098" w:rsidP="00C41109">
      <w:r>
        <w:t>We would reach different conclusions on the salary untransformed outcome for initial salaries given that the standard errors for these two coefficient decreases substantially so Huber-White would not be conservative for initial salaries. For year changes Huber-White estimator inflated the standard errors (we would be more conservative).</w:t>
      </w:r>
    </w:p>
    <w:p w:rsidR="00544D00" w:rsidRDefault="00C64098" w:rsidP="00C83DD3">
      <w:r>
        <w:t>For the natural log-transformed salary model we have the same pattern but the changes are very small for terms including year</w:t>
      </w:r>
      <w:r w:rsidR="001901EE">
        <w:t xml:space="preserve"> (more conservative)</w:t>
      </w:r>
      <w:r>
        <w:t>. The intercept and main female term standard-errors have important changes but would not change the conclusions (less conservative).</w:t>
      </w:r>
    </w:p>
    <w:p w:rsidR="00544D00" w:rsidRDefault="00544D00">
      <w:r>
        <w:lastRenderedPageBreak/>
        <w:br w:type="page"/>
      </w:r>
    </w:p>
    <w:p w:rsidR="00544D00" w:rsidRPr="00544D00" w:rsidRDefault="00544D00" w:rsidP="00C83DD3">
      <w:pPr>
        <w:rPr>
          <w:b/>
        </w:rPr>
      </w:pPr>
      <w:r w:rsidRPr="00544D00">
        <w:rPr>
          <w:b/>
        </w:rPr>
        <w:lastRenderedPageBreak/>
        <w:t>Appendix</w:t>
      </w:r>
    </w:p>
    <w:p w:rsidR="00544D00" w:rsidRDefault="00544D00" w:rsidP="00C83DD3">
      <w:pPr>
        <w:rPr>
          <w:b/>
        </w:rPr>
      </w:pPr>
      <w:proofErr w:type="spellStart"/>
      <w:r w:rsidRPr="00544D00">
        <w:rPr>
          <w:b/>
        </w:rPr>
        <w:t>Stata</w:t>
      </w:r>
      <w:proofErr w:type="spellEnd"/>
      <w:r w:rsidRPr="00544D00">
        <w:rPr>
          <w:b/>
        </w:rPr>
        <w:t xml:space="preserve"> code</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clear</w:t>
      </w:r>
      <w:proofErr w:type="gramEnd"/>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set</w:t>
      </w:r>
      <w:proofErr w:type="gramEnd"/>
      <w:r w:rsidRPr="00544D00">
        <w:rPr>
          <w:rFonts w:ascii="Courier New" w:hAnsi="Courier New" w:cs="Courier New"/>
          <w:sz w:val="20"/>
        </w:rPr>
        <w:t xml:space="preserve"> more off</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cd</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mnt</w:t>
      </w:r>
      <w:proofErr w:type="spellEnd"/>
      <w:r w:rsidRPr="00544D00">
        <w:rPr>
          <w:rFonts w:ascii="Courier New" w:hAnsi="Courier New" w:cs="Courier New"/>
          <w:sz w:val="20"/>
        </w:rPr>
        <w:t>/disco/data/</w:t>
      </w:r>
      <w:proofErr w:type="spellStart"/>
      <w:r w:rsidRPr="00544D00">
        <w:rPr>
          <w:rFonts w:ascii="Courier New" w:hAnsi="Courier New" w:cs="Courier New"/>
          <w:sz w:val="20"/>
        </w:rPr>
        <w:t>cursos</w:t>
      </w:r>
      <w:proofErr w:type="spellEnd"/>
      <w:r w:rsidRPr="00544D00">
        <w:rPr>
          <w:rFonts w:ascii="Courier New" w:hAnsi="Courier New" w:cs="Courier New"/>
          <w:sz w:val="20"/>
        </w:rPr>
        <w:t>/</w:t>
      </w:r>
      <w:proofErr w:type="spellStart"/>
      <w:r w:rsidRPr="00544D00">
        <w:rPr>
          <w:rFonts w:ascii="Courier New" w:hAnsi="Courier New" w:cs="Courier New"/>
          <w:sz w:val="20"/>
        </w:rPr>
        <w:t>washington</w:t>
      </w:r>
      <w:proofErr w:type="spellEnd"/>
      <w:r w:rsidRPr="00544D00">
        <w:rPr>
          <w:rFonts w:ascii="Courier New" w:hAnsi="Courier New" w:cs="Courier New"/>
          <w:sz w:val="20"/>
        </w:rPr>
        <w:t>/biostat518/hw6</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infile</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ptid</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mridate</w:t>
      </w:r>
      <w:proofErr w:type="spellEnd"/>
      <w:r w:rsidRPr="00544D00">
        <w:rPr>
          <w:rFonts w:ascii="Courier New" w:hAnsi="Courier New" w:cs="Courier New"/>
          <w:sz w:val="20"/>
        </w:rPr>
        <w:t xml:space="preserve"> age male race weight height  </w:t>
      </w:r>
      <w:proofErr w:type="spellStart"/>
      <w:r w:rsidRPr="00544D00">
        <w:rPr>
          <w:rFonts w:ascii="Courier New" w:hAnsi="Courier New" w:cs="Courier New"/>
          <w:sz w:val="20"/>
        </w:rPr>
        <w:t>packyrs</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yrsquit</w:t>
      </w:r>
      <w:proofErr w:type="spellEnd"/>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alcoh</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physact</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chf</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chd</w:t>
      </w:r>
      <w:proofErr w:type="spellEnd"/>
      <w:r w:rsidRPr="00544D00">
        <w:rPr>
          <w:rFonts w:ascii="Courier New" w:hAnsi="Courier New" w:cs="Courier New"/>
          <w:sz w:val="20"/>
        </w:rPr>
        <w:t xml:space="preserve"> stroke diabetes </w:t>
      </w:r>
      <w:proofErr w:type="spellStart"/>
      <w:r w:rsidRPr="00544D00">
        <w:rPr>
          <w:rFonts w:ascii="Courier New" w:hAnsi="Courier New" w:cs="Courier New"/>
          <w:sz w:val="20"/>
        </w:rPr>
        <w:t>genhlth</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ldl</w:t>
      </w:r>
      <w:proofErr w:type="spellEnd"/>
      <w:r w:rsidRPr="00544D00">
        <w:rPr>
          <w:rFonts w:ascii="Courier New" w:hAnsi="Courier New" w:cs="Courier New"/>
          <w:sz w:val="20"/>
        </w:rPr>
        <w:t xml:space="preserve"> alb </w:t>
      </w:r>
      <w:proofErr w:type="spellStart"/>
      <w:r w:rsidRPr="00544D00">
        <w:rPr>
          <w:rFonts w:ascii="Courier New" w:hAnsi="Courier New" w:cs="Courier New"/>
          <w:sz w:val="20"/>
        </w:rPr>
        <w:t>crt</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plt</w:t>
      </w:r>
      <w:proofErr w:type="spellEnd"/>
      <w:r w:rsidRPr="00544D00">
        <w:rPr>
          <w:rFonts w:ascii="Courier New" w:hAnsi="Courier New" w:cs="Courier New"/>
          <w:sz w:val="20"/>
        </w:rPr>
        <w:t xml:space="preserve"> ///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sbp</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aai</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fev</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dsst</w:t>
      </w:r>
      <w:proofErr w:type="spellEnd"/>
      <w:r w:rsidRPr="00544D00">
        <w:rPr>
          <w:rFonts w:ascii="Courier New" w:hAnsi="Courier New" w:cs="Courier New"/>
          <w:sz w:val="20"/>
        </w:rPr>
        <w:t xml:space="preserve"> atrophy </w:t>
      </w:r>
      <w:proofErr w:type="spellStart"/>
      <w:r w:rsidRPr="00544D00">
        <w:rPr>
          <w:rFonts w:ascii="Courier New" w:hAnsi="Courier New" w:cs="Courier New"/>
          <w:sz w:val="20"/>
        </w:rPr>
        <w:t>whgrd</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numinf</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volinf</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obstime</w:t>
      </w:r>
      <w:proofErr w:type="spellEnd"/>
      <w:r w:rsidRPr="00544D00">
        <w:rPr>
          <w:rFonts w:ascii="Courier New" w:hAnsi="Courier New" w:cs="Courier New"/>
          <w:sz w:val="20"/>
        </w:rPr>
        <w:t xml:space="preserve"> death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using</w:t>
      </w:r>
      <w:proofErr w:type="gramEnd"/>
      <w:r w:rsidRPr="00544D00">
        <w:rPr>
          <w:rFonts w:ascii="Courier New" w:hAnsi="Courier New" w:cs="Courier New"/>
          <w:sz w:val="20"/>
        </w:rPr>
        <w:t xml:space="preserve"> mri.txt</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drop</w:t>
      </w:r>
      <w:proofErr w:type="gramEnd"/>
      <w:r w:rsidRPr="00544D00">
        <w:rPr>
          <w:rFonts w:ascii="Courier New" w:hAnsi="Courier New" w:cs="Courier New"/>
          <w:sz w:val="20"/>
        </w:rPr>
        <w:t xml:space="preserve"> in 1</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Question 1</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logldl</w:t>
      </w:r>
      <w:proofErr w:type="spellEnd"/>
      <w:r w:rsidRPr="00544D00">
        <w:rPr>
          <w:rFonts w:ascii="Courier New" w:hAnsi="Courier New" w:cs="Courier New"/>
          <w:sz w:val="20"/>
        </w:rPr>
        <w:t>= log(</w:t>
      </w:r>
      <w:proofErr w:type="spellStart"/>
      <w:r w:rsidRPr="00544D00">
        <w:rPr>
          <w:rFonts w:ascii="Courier New" w:hAnsi="Courier New" w:cs="Courier New"/>
          <w:sz w:val="20"/>
        </w:rPr>
        <w:t>ldl</w:t>
      </w:r>
      <w:proofErr w:type="spellEnd"/>
      <w:r w:rsidRPr="00544D00">
        <w:rPr>
          <w:rFonts w:ascii="Courier New" w:hAnsi="Courier New" w:cs="Courier New"/>
          <w:sz w:val="20"/>
        </w:rPr>
        <w:t>)</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ldl</w:t>
      </w:r>
      <w:proofErr w:type="spellEnd"/>
      <w:r w:rsidRPr="00544D00">
        <w:rPr>
          <w:rFonts w:ascii="Courier New" w:hAnsi="Courier New" w:cs="Courier New"/>
          <w:sz w:val="20"/>
        </w:rPr>
        <w:t xml:space="preserve"> - 1</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cldlsqr</w:t>
      </w:r>
      <w:proofErr w:type="spellEnd"/>
      <w:r w:rsidRPr="00544D00">
        <w:rPr>
          <w:rFonts w:ascii="Courier New" w:hAnsi="Courier New" w:cs="Courier New"/>
          <w:sz w:val="20"/>
        </w:rPr>
        <w:t>= cldl^2</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cldlcub</w:t>
      </w:r>
      <w:proofErr w:type="spellEnd"/>
      <w:r w:rsidRPr="00544D00">
        <w:rPr>
          <w:rFonts w:ascii="Courier New" w:hAnsi="Courier New" w:cs="Courier New"/>
          <w:sz w:val="20"/>
        </w:rPr>
        <w:t>= cldl^3</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egen</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ldlctg</w:t>
      </w:r>
      <w:proofErr w:type="spellEnd"/>
      <w:r w:rsidRPr="00544D00">
        <w:rPr>
          <w:rFonts w:ascii="Courier New" w:hAnsi="Courier New" w:cs="Courier New"/>
          <w:sz w:val="20"/>
        </w:rPr>
        <w:t>= cut(</w:t>
      </w:r>
      <w:proofErr w:type="spellStart"/>
      <w:r w:rsidRPr="00544D00">
        <w:rPr>
          <w:rFonts w:ascii="Courier New" w:hAnsi="Courier New" w:cs="Courier New"/>
          <w:sz w:val="20"/>
        </w:rPr>
        <w:t>ldl</w:t>
      </w:r>
      <w:proofErr w:type="spellEnd"/>
      <w:r w:rsidRPr="00544D00">
        <w:rPr>
          <w:rFonts w:ascii="Courier New" w:hAnsi="Courier New" w:cs="Courier New"/>
          <w:sz w:val="20"/>
        </w:rPr>
        <w:t xml:space="preserve">), at(0,70,100,130,160,400) </w:t>
      </w:r>
      <w:proofErr w:type="spellStart"/>
      <w:r w:rsidRPr="00544D00">
        <w:rPr>
          <w:rFonts w:ascii="Courier New" w:hAnsi="Courier New" w:cs="Courier New"/>
          <w:sz w:val="20"/>
        </w:rPr>
        <w:t>icode</w:t>
      </w:r>
      <w:proofErr w:type="spellEnd"/>
      <w:r w:rsidRPr="00544D00">
        <w:rPr>
          <w:rFonts w:ascii="Courier New" w:hAnsi="Courier New" w:cs="Courier New"/>
          <w:sz w:val="20"/>
        </w:rPr>
        <w:t xml:space="preserve"> label</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mkspline</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sldlA</w:t>
      </w:r>
      <w:proofErr w:type="spellEnd"/>
      <w:r w:rsidRPr="00544D00">
        <w:rPr>
          <w:rFonts w:ascii="Courier New" w:hAnsi="Courier New" w:cs="Courier New"/>
          <w:sz w:val="20"/>
        </w:rPr>
        <w:t xml:space="preserve"> 70 </w:t>
      </w:r>
      <w:proofErr w:type="spellStart"/>
      <w:r w:rsidRPr="00544D00">
        <w:rPr>
          <w:rFonts w:ascii="Courier New" w:hAnsi="Courier New" w:cs="Courier New"/>
          <w:sz w:val="20"/>
        </w:rPr>
        <w:t>sldlB</w:t>
      </w:r>
      <w:proofErr w:type="spellEnd"/>
      <w:r w:rsidRPr="00544D00">
        <w:rPr>
          <w:rFonts w:ascii="Courier New" w:hAnsi="Courier New" w:cs="Courier New"/>
          <w:sz w:val="20"/>
        </w:rPr>
        <w:t xml:space="preserve"> 100 </w:t>
      </w:r>
      <w:proofErr w:type="spellStart"/>
      <w:r w:rsidRPr="00544D00">
        <w:rPr>
          <w:rFonts w:ascii="Courier New" w:hAnsi="Courier New" w:cs="Courier New"/>
          <w:sz w:val="20"/>
        </w:rPr>
        <w:t>sldlC</w:t>
      </w:r>
      <w:proofErr w:type="spellEnd"/>
      <w:r w:rsidRPr="00544D00">
        <w:rPr>
          <w:rFonts w:ascii="Courier New" w:hAnsi="Courier New" w:cs="Courier New"/>
          <w:sz w:val="20"/>
        </w:rPr>
        <w:t xml:space="preserve"> 130 </w:t>
      </w:r>
      <w:proofErr w:type="spellStart"/>
      <w:r w:rsidRPr="00544D00">
        <w:rPr>
          <w:rFonts w:ascii="Courier New" w:hAnsi="Courier New" w:cs="Courier New"/>
          <w:sz w:val="20"/>
        </w:rPr>
        <w:t>sldlD</w:t>
      </w:r>
      <w:proofErr w:type="spellEnd"/>
      <w:r w:rsidRPr="00544D00">
        <w:rPr>
          <w:rFonts w:ascii="Courier New" w:hAnsi="Courier New" w:cs="Courier New"/>
          <w:sz w:val="20"/>
        </w:rPr>
        <w:t xml:space="preserve"> 160 </w:t>
      </w:r>
      <w:proofErr w:type="spellStart"/>
      <w:r w:rsidRPr="00544D00">
        <w:rPr>
          <w:rFonts w:ascii="Courier New" w:hAnsi="Courier New" w:cs="Courier New"/>
          <w:sz w:val="20"/>
        </w:rPr>
        <w:t>sldlE</w:t>
      </w:r>
      <w:proofErr w:type="spellEnd"/>
      <w:r w:rsidRPr="00544D00">
        <w:rPr>
          <w:rFonts w:ascii="Courier New" w:hAnsi="Courier New" w:cs="Courier New"/>
          <w:sz w:val="20"/>
        </w:rPr>
        <w:t xml:space="preserve"> = </w:t>
      </w:r>
      <w:proofErr w:type="spellStart"/>
      <w:r w:rsidRPr="00544D00">
        <w:rPr>
          <w:rFonts w:ascii="Courier New" w:hAnsi="Courier New" w:cs="Courier New"/>
          <w:sz w:val="20"/>
        </w:rPr>
        <w:t>ldl</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Use the centered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stset</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obstime</w:t>
      </w:r>
      <w:proofErr w:type="spellEnd"/>
      <w:r w:rsidRPr="00544D00">
        <w:rPr>
          <w:rFonts w:ascii="Courier New" w:hAnsi="Courier New" w:cs="Courier New"/>
          <w:sz w:val="20"/>
        </w:rPr>
        <w:t>, failure(death) scale(365.5)</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stdes</w:t>
      </w:r>
      <w:proofErr w:type="spellEnd"/>
      <w:proofErr w:type="gram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log</w:t>
      </w:r>
      <w:proofErr w:type="gramEnd"/>
      <w:r w:rsidRPr="00544D00">
        <w:rPr>
          <w:rFonts w:ascii="Courier New" w:hAnsi="Courier New" w:cs="Courier New"/>
          <w:sz w:val="20"/>
        </w:rPr>
        <w:t xml:space="preserve"> using q1.log, replace</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q1_a</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i.ldlctg</w:t>
      </w:r>
      <w:proofErr w:type="spellEnd"/>
      <w:r w:rsidRPr="00544D00">
        <w:rPr>
          <w:rFonts w:ascii="Courier New" w:hAnsi="Courier New" w:cs="Courier New"/>
          <w:sz w:val="20"/>
        </w:rPr>
        <w:t xml:space="preserve">, robust  </w:t>
      </w:r>
      <w:proofErr w:type="spellStart"/>
      <w:r w:rsidRPr="00544D00">
        <w:rPr>
          <w:rFonts w:ascii="Courier New" w:hAnsi="Courier New" w:cs="Courier New"/>
          <w:sz w:val="20"/>
        </w:rPr>
        <w:t>nolog</w:t>
      </w:r>
      <w:proofErr w:type="spellEnd"/>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i.ldlctg</w:t>
      </w:r>
      <w:proofErr w:type="spellEnd"/>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f_q1a</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q1_b</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cldlsqr</w:t>
      </w:r>
      <w:proofErr w:type="spellEnd"/>
      <w:r w:rsidRPr="00544D00">
        <w:rPr>
          <w:rFonts w:ascii="Courier New" w:hAnsi="Courier New" w:cs="Courier New"/>
          <w:sz w:val="20"/>
        </w:rPr>
        <w:t xml:space="preserve">, robust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cldlsqr</w:t>
      </w:r>
      <w:proofErr w:type="spellEnd"/>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f_q1b</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q1_c</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cldlsqr</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cldlcub</w:t>
      </w:r>
      <w:proofErr w:type="spellEnd"/>
      <w:r w:rsidRPr="00544D00">
        <w:rPr>
          <w:rFonts w:ascii="Courier New" w:hAnsi="Courier New" w:cs="Courier New"/>
          <w:sz w:val="20"/>
        </w:rPr>
        <w:t xml:space="preserve">, robust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cldlsqr</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cldlcub</w:t>
      </w:r>
      <w:proofErr w:type="spellEnd"/>
      <w:r w:rsidRPr="00544D00">
        <w:rPr>
          <w:rFonts w:ascii="Courier New" w:hAnsi="Courier New" w:cs="Courier New"/>
          <w:sz w:val="20"/>
        </w:rPr>
        <w:t xml:space="preserve">                      // Revise your HW</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f_q1c</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q1_d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sldlA</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sldlB</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sldlC</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sldlD</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sldlE</w:t>
      </w:r>
      <w:proofErr w:type="spellEnd"/>
      <w:r w:rsidRPr="00544D00">
        <w:rPr>
          <w:rFonts w:ascii="Courier New" w:hAnsi="Courier New" w:cs="Courier New"/>
          <w:sz w:val="20"/>
        </w:rPr>
        <w:t xml:space="preserve">, robust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r w:rsidRPr="00544D00">
        <w:rPr>
          <w:rFonts w:ascii="Courier New" w:hAnsi="Courier New" w:cs="Courier New"/>
          <w:sz w:val="20"/>
        </w:rPr>
        <w:t>stcox</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sldlA</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sldlB</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sldlC</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sldlD</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sldlE</w:t>
      </w:r>
      <w:proofErr w:type="spellEnd"/>
      <w:r w:rsidRPr="00544D00">
        <w:rPr>
          <w:rFonts w:ascii="Courier New" w:hAnsi="Courier New" w:cs="Courier New"/>
          <w:sz w:val="20"/>
        </w:rPr>
        <w:t xml:space="preserve">, robust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r w:rsidRPr="00544D00">
        <w:rPr>
          <w:rFonts w:ascii="Courier New" w:hAnsi="Courier New" w:cs="Courier New"/>
          <w:sz w:val="20"/>
        </w:rPr>
        <w:t>testparm</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w:t>
      </w:r>
      <w:proofErr w:type="spellEnd"/>
      <w:r w:rsidRPr="00544D00">
        <w:rPr>
          <w:rFonts w:ascii="Courier New" w:hAnsi="Courier New" w:cs="Courier New"/>
          <w:sz w:val="20"/>
        </w:rPr>
        <w:t>*</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test</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sldlA</w:t>
      </w:r>
      <w:proofErr w:type="spellEnd"/>
      <w:r w:rsidRPr="00544D00">
        <w:rPr>
          <w:rFonts w:ascii="Courier New" w:hAnsi="Courier New" w:cs="Courier New"/>
          <w:sz w:val="20"/>
        </w:rPr>
        <w:t>=</w:t>
      </w:r>
      <w:proofErr w:type="spellStart"/>
      <w:r w:rsidRPr="00544D00">
        <w:rPr>
          <w:rFonts w:ascii="Courier New" w:hAnsi="Courier New" w:cs="Courier New"/>
          <w:sz w:val="20"/>
        </w:rPr>
        <w:t>sldlB</w:t>
      </w:r>
      <w:proofErr w:type="spellEnd"/>
      <w:r w:rsidRPr="00544D00">
        <w:rPr>
          <w:rFonts w:ascii="Courier New" w:hAnsi="Courier New" w:cs="Courier New"/>
          <w:sz w:val="20"/>
        </w:rPr>
        <w:t>=</w:t>
      </w:r>
      <w:proofErr w:type="spellStart"/>
      <w:r w:rsidRPr="00544D00">
        <w:rPr>
          <w:rFonts w:ascii="Courier New" w:hAnsi="Courier New" w:cs="Courier New"/>
          <w:sz w:val="20"/>
        </w:rPr>
        <w:t>sldlC</w:t>
      </w:r>
      <w:proofErr w:type="spellEnd"/>
      <w:r w:rsidRPr="00544D00">
        <w:rPr>
          <w:rFonts w:ascii="Courier New" w:hAnsi="Courier New" w:cs="Courier New"/>
          <w:sz w:val="20"/>
        </w:rPr>
        <w:t>=</w:t>
      </w:r>
      <w:proofErr w:type="spellStart"/>
      <w:r w:rsidRPr="00544D00">
        <w:rPr>
          <w:rFonts w:ascii="Courier New" w:hAnsi="Courier New" w:cs="Courier New"/>
          <w:sz w:val="20"/>
        </w:rPr>
        <w:t>sldlD</w:t>
      </w:r>
      <w:proofErr w:type="spellEnd"/>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f_q1d</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q1_e</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logldl</w:t>
      </w:r>
      <w:proofErr w:type="spellEnd"/>
      <w:r w:rsidRPr="00544D00">
        <w:rPr>
          <w:rFonts w:ascii="Courier New" w:hAnsi="Courier New" w:cs="Courier New"/>
          <w:sz w:val="20"/>
        </w:rPr>
        <w:t xml:space="preserve">, robust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logldl</w:t>
      </w:r>
      <w:proofErr w:type="spellEnd"/>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f_q1e</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q1_f</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cldl</w:t>
      </w:r>
      <w:proofErr w:type="spellEnd"/>
      <w:r w:rsidRPr="00544D00">
        <w:rPr>
          <w:rFonts w:ascii="Courier New" w:hAnsi="Courier New" w:cs="Courier New"/>
          <w:sz w:val="20"/>
        </w:rPr>
        <w:t xml:space="preserve">, robust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f_q1f</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log</w:t>
      </w:r>
      <w:proofErr w:type="gramEnd"/>
      <w:r w:rsidRPr="00544D00">
        <w:rPr>
          <w:rFonts w:ascii="Courier New" w:hAnsi="Courier New" w:cs="Courier New"/>
          <w:sz w:val="20"/>
        </w:rPr>
        <w:t xml:space="preserve"> close</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scatter</w:t>
      </w:r>
      <w:proofErr w:type="gramEnd"/>
      <w:r w:rsidRPr="00544D00">
        <w:rPr>
          <w:rFonts w:ascii="Courier New" w:hAnsi="Courier New" w:cs="Courier New"/>
          <w:sz w:val="20"/>
        </w:rPr>
        <w:t xml:space="preserve"> f_q1a f_q1b f_q1c f_q1d f_q1e f_q1f </w:t>
      </w:r>
      <w:proofErr w:type="spellStart"/>
      <w:r w:rsidRPr="00544D00">
        <w:rPr>
          <w:rFonts w:ascii="Courier New" w:hAnsi="Courier New" w:cs="Courier New"/>
          <w:sz w:val="20"/>
        </w:rPr>
        <w:t>cldl</w:t>
      </w:r>
      <w:proofErr w:type="spellEnd"/>
      <w:r w:rsidRPr="00544D00">
        <w:rPr>
          <w:rFonts w:ascii="Courier New" w:hAnsi="Courier New" w:cs="Courier New"/>
          <w:sz w:val="20"/>
        </w:rPr>
        <w:t>,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lastRenderedPageBreak/>
        <w:t xml:space="preserve">        </w:t>
      </w:r>
      <w:proofErr w:type="gramStart"/>
      <w:r w:rsidRPr="00544D00">
        <w:rPr>
          <w:rFonts w:ascii="Courier New" w:hAnsi="Courier New" w:cs="Courier New"/>
          <w:sz w:val="20"/>
        </w:rPr>
        <w:t>legend(</w:t>
      </w:r>
      <w:proofErr w:type="gramEnd"/>
      <w:r w:rsidRPr="00544D00">
        <w:rPr>
          <w:rFonts w:ascii="Courier New" w:hAnsi="Courier New" w:cs="Courier New"/>
          <w:sz w:val="20"/>
        </w:rPr>
        <w:t xml:space="preserve">order(1 "Step (1a)"                                    ///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ab/>
        <w:t xml:space="preserve">             </w:t>
      </w:r>
      <w:proofErr w:type="gramStart"/>
      <w:r w:rsidRPr="00544D00">
        <w:rPr>
          <w:rFonts w:ascii="Courier New" w:hAnsi="Courier New" w:cs="Courier New"/>
          <w:sz w:val="20"/>
        </w:rPr>
        <w:t>2 "Quadratic (1b)"                               ///</w:t>
      </w:r>
      <w:proofErr w:type="gramEnd"/>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ab/>
      </w:r>
      <w:r w:rsidRPr="00544D00">
        <w:rPr>
          <w:rFonts w:ascii="Courier New" w:hAnsi="Courier New" w:cs="Courier New"/>
          <w:sz w:val="20"/>
        </w:rPr>
        <w:tab/>
        <w:t xml:space="preserve">     </w:t>
      </w:r>
      <w:proofErr w:type="gramStart"/>
      <w:r w:rsidRPr="00544D00">
        <w:rPr>
          <w:rFonts w:ascii="Courier New" w:hAnsi="Courier New" w:cs="Courier New"/>
          <w:sz w:val="20"/>
        </w:rPr>
        <w:t>3 "Cubic (1c)"                                   ///</w:t>
      </w:r>
      <w:proofErr w:type="gramEnd"/>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ab/>
      </w:r>
      <w:r w:rsidRPr="00544D00">
        <w:rPr>
          <w:rFonts w:ascii="Courier New" w:hAnsi="Courier New" w:cs="Courier New"/>
          <w:sz w:val="20"/>
        </w:rPr>
        <w:tab/>
        <w:t xml:space="preserve">     4 "</w:t>
      </w:r>
      <w:proofErr w:type="spellStart"/>
      <w:r w:rsidRPr="00544D00">
        <w:rPr>
          <w:rFonts w:ascii="Courier New" w:hAnsi="Courier New" w:cs="Courier New"/>
          <w:sz w:val="20"/>
        </w:rPr>
        <w:t>Splines</w:t>
      </w:r>
      <w:proofErr w:type="spellEnd"/>
      <w:r w:rsidRPr="00544D00">
        <w:rPr>
          <w:rFonts w:ascii="Courier New" w:hAnsi="Courier New" w:cs="Courier New"/>
          <w:sz w:val="20"/>
        </w:rPr>
        <w:t xml:space="preserve"> (1d)"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5 "Logarithmic (1e)"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ab/>
      </w:r>
      <w:r w:rsidRPr="00544D00">
        <w:rPr>
          <w:rFonts w:ascii="Courier New" w:hAnsi="Courier New" w:cs="Courier New"/>
          <w:sz w:val="20"/>
        </w:rPr>
        <w:tab/>
        <w:t xml:space="preserve">     </w:t>
      </w:r>
      <w:proofErr w:type="gramStart"/>
      <w:r w:rsidRPr="00544D00">
        <w:rPr>
          <w:rFonts w:ascii="Courier New" w:hAnsi="Courier New" w:cs="Courier New"/>
          <w:sz w:val="20"/>
        </w:rPr>
        <w:t>6 "Continuous LDL"                            ///</w:t>
      </w:r>
      <w:proofErr w:type="gramEnd"/>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ab/>
      </w:r>
      <w:r w:rsidRPr="00544D00">
        <w:rPr>
          <w:rFonts w:ascii="Courier New" w:hAnsi="Courier New" w:cs="Courier New"/>
          <w:sz w:val="20"/>
        </w:rPr>
        <w:tab/>
        <w:t xml:space="preserve">     )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ab/>
      </w:r>
      <w:r w:rsidRPr="00544D00">
        <w:rPr>
          <w:rFonts w:ascii="Courier New" w:hAnsi="Courier New" w:cs="Courier New"/>
          <w:sz w:val="20"/>
        </w:rPr>
        <w:tab/>
        <w:t xml:space="preserve">    </w:t>
      </w:r>
      <w:proofErr w:type="gramStart"/>
      <w:r w:rsidRPr="00544D00">
        <w:rPr>
          <w:rFonts w:ascii="Courier New" w:hAnsi="Courier New" w:cs="Courier New"/>
          <w:sz w:val="20"/>
        </w:rPr>
        <w:t>rows(</w:t>
      </w:r>
      <w:proofErr w:type="gramEnd"/>
      <w:r w:rsidRPr="00544D00">
        <w:rPr>
          <w:rFonts w:ascii="Courier New" w:hAnsi="Courier New" w:cs="Courier New"/>
          <w:sz w:val="20"/>
        </w:rPr>
        <w:t>3))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xtitle</w:t>
      </w:r>
      <w:proofErr w:type="spellEnd"/>
      <w:r w:rsidRPr="00544D00">
        <w:rPr>
          <w:rFonts w:ascii="Courier New" w:hAnsi="Courier New" w:cs="Courier New"/>
          <w:sz w:val="20"/>
        </w:rPr>
        <w:t>(</w:t>
      </w:r>
      <w:proofErr w:type="gramEnd"/>
      <w:r w:rsidRPr="00544D00">
        <w:rPr>
          <w:rFonts w:ascii="Courier New" w:hAnsi="Courier New" w:cs="Courier New"/>
          <w:sz w:val="20"/>
        </w:rPr>
        <w:t>Centered LDL (mg/dl))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ytitle</w:t>
      </w:r>
      <w:proofErr w:type="spellEnd"/>
      <w:r w:rsidRPr="00544D00">
        <w:rPr>
          <w:rFonts w:ascii="Courier New" w:hAnsi="Courier New" w:cs="Courier New"/>
          <w:sz w:val="20"/>
        </w:rPr>
        <w:t>(</w:t>
      </w:r>
      <w:proofErr w:type="gramEnd"/>
      <w:r w:rsidRPr="00544D00">
        <w:rPr>
          <w:rFonts w:ascii="Courier New" w:hAnsi="Courier New" w:cs="Courier New"/>
          <w:sz w:val="20"/>
        </w:rPr>
        <w:t>Relative Hazard)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ylabel</w:t>
      </w:r>
      <w:proofErr w:type="spellEnd"/>
      <w:r w:rsidRPr="00544D00">
        <w:rPr>
          <w:rFonts w:ascii="Courier New" w:hAnsi="Courier New" w:cs="Courier New"/>
          <w:sz w:val="20"/>
        </w:rPr>
        <w:t>(</w:t>
      </w:r>
      <w:proofErr w:type="gramEnd"/>
      <w:r w:rsidRPr="00544D00">
        <w:rPr>
          <w:rFonts w:ascii="Courier New" w:hAnsi="Courier New" w:cs="Courier New"/>
          <w:sz w:val="20"/>
        </w:rPr>
        <w:t>0.05 0.1 0.2(0.2) 1.0, angle(horizontal) format(%3.2f))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yscale</w:t>
      </w:r>
      <w:proofErr w:type="spellEnd"/>
      <w:r w:rsidRPr="00544D00">
        <w:rPr>
          <w:rFonts w:ascii="Courier New" w:hAnsi="Courier New" w:cs="Courier New"/>
          <w:sz w:val="20"/>
        </w:rPr>
        <w:t>(</w:t>
      </w:r>
      <w:proofErr w:type="gramEnd"/>
      <w:r w:rsidRPr="00544D00">
        <w:rPr>
          <w:rFonts w:ascii="Courier New" w:hAnsi="Courier New" w:cs="Courier New"/>
          <w:sz w:val="20"/>
        </w:rPr>
        <w:t>log)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xlabel</w:t>
      </w:r>
      <w:proofErr w:type="spellEnd"/>
      <w:r w:rsidRPr="00544D00">
        <w:rPr>
          <w:rFonts w:ascii="Courier New" w:hAnsi="Courier New" w:cs="Courier New"/>
          <w:sz w:val="20"/>
        </w:rPr>
        <w:t>(</w:t>
      </w:r>
      <w:proofErr w:type="gramEnd"/>
      <w:r w:rsidRPr="00544D00">
        <w:rPr>
          <w:rFonts w:ascii="Courier New" w:hAnsi="Courier New" w:cs="Courier New"/>
          <w:sz w:val="20"/>
        </w:rPr>
        <w:t>0 10 25(25) 250)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xline</w:t>
      </w:r>
      <w:proofErr w:type="spellEnd"/>
      <w:r w:rsidRPr="00544D00">
        <w:rPr>
          <w:rFonts w:ascii="Courier New" w:hAnsi="Courier New" w:cs="Courier New"/>
          <w:sz w:val="20"/>
        </w:rPr>
        <w:t>(</w:t>
      </w:r>
      <w:proofErr w:type="gramEnd"/>
      <w:r w:rsidRPr="00544D00">
        <w:rPr>
          <w:rFonts w:ascii="Courier New" w:hAnsi="Courier New" w:cs="Courier New"/>
          <w:sz w:val="20"/>
        </w:rPr>
        <w:t xml:space="preserve">69 99 129 159, </w:t>
      </w:r>
      <w:proofErr w:type="spellStart"/>
      <w:r w:rsidRPr="00544D00">
        <w:rPr>
          <w:rFonts w:ascii="Courier New" w:hAnsi="Courier New" w:cs="Courier New"/>
          <w:sz w:val="20"/>
        </w:rPr>
        <w:t>lcolor</w:t>
      </w:r>
      <w:proofErr w:type="spellEnd"/>
      <w:r w:rsidRPr="00544D00">
        <w:rPr>
          <w:rFonts w:ascii="Courier New" w:hAnsi="Courier New" w:cs="Courier New"/>
          <w:sz w:val="20"/>
        </w:rPr>
        <w:t>(</w:t>
      </w:r>
      <w:proofErr w:type="spellStart"/>
      <w:r w:rsidRPr="00544D00">
        <w:rPr>
          <w:rFonts w:ascii="Courier New" w:hAnsi="Courier New" w:cs="Courier New"/>
          <w:sz w:val="20"/>
        </w:rPr>
        <w:t>ltblue</w:t>
      </w:r>
      <w:proofErr w:type="spellEnd"/>
      <w:r w:rsidRPr="00544D00">
        <w:rPr>
          <w:rFonts w:ascii="Courier New" w:hAnsi="Courier New" w:cs="Courier New"/>
          <w:sz w:val="20"/>
        </w:rPr>
        <w:t>))</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 </w:t>
      </w:r>
      <w:proofErr w:type="spellStart"/>
      <w:proofErr w:type="gramStart"/>
      <w:r w:rsidRPr="00544D00">
        <w:rPr>
          <w:rFonts w:ascii="Courier New" w:hAnsi="Courier New" w:cs="Courier New"/>
          <w:sz w:val="20"/>
        </w:rPr>
        <w:t>xaxis</w:t>
      </w:r>
      <w:proofErr w:type="spellEnd"/>
      <w:r w:rsidRPr="00544D00">
        <w:rPr>
          <w:rFonts w:ascii="Courier New" w:hAnsi="Courier New" w:cs="Courier New"/>
          <w:sz w:val="20"/>
        </w:rPr>
        <w:t>(</w:t>
      </w:r>
      <w:proofErr w:type="gramEnd"/>
      <w:r w:rsidRPr="00544D00">
        <w:rPr>
          <w:rFonts w:ascii="Courier New" w:hAnsi="Courier New" w:cs="Courier New"/>
          <w:sz w:val="20"/>
        </w:rPr>
        <w:t xml:space="preserve">1 2) </w:t>
      </w:r>
      <w:proofErr w:type="spellStart"/>
      <w:r w:rsidRPr="00544D00">
        <w:rPr>
          <w:rFonts w:ascii="Courier New" w:hAnsi="Courier New" w:cs="Courier New"/>
          <w:sz w:val="20"/>
        </w:rPr>
        <w:t>xline</w:t>
      </w:r>
      <w:proofErr w:type="spellEnd"/>
      <w:r w:rsidRPr="00544D00">
        <w:rPr>
          <w:rFonts w:ascii="Courier New" w:hAnsi="Courier New" w:cs="Courier New"/>
          <w:sz w:val="20"/>
        </w:rPr>
        <w:t xml:space="preserve">(69 99 129 159, </w:t>
      </w:r>
      <w:proofErr w:type="spellStart"/>
      <w:r w:rsidRPr="00544D00">
        <w:rPr>
          <w:rFonts w:ascii="Courier New" w:hAnsi="Courier New" w:cs="Courier New"/>
          <w:sz w:val="20"/>
        </w:rPr>
        <w:t>lcolor</w:t>
      </w:r>
      <w:proofErr w:type="spellEnd"/>
      <w:r w:rsidRPr="00544D00">
        <w:rPr>
          <w:rFonts w:ascii="Courier New" w:hAnsi="Courier New" w:cs="Courier New"/>
          <w:sz w:val="20"/>
        </w:rPr>
        <w:t>(</w:t>
      </w:r>
      <w:proofErr w:type="spellStart"/>
      <w:r w:rsidRPr="00544D00">
        <w:rPr>
          <w:rFonts w:ascii="Courier New" w:hAnsi="Courier New" w:cs="Courier New"/>
          <w:sz w:val="20"/>
        </w:rPr>
        <w:t>ltblue</w:t>
      </w:r>
      <w:proofErr w:type="spellEnd"/>
      <w:r w:rsidRPr="00544D00">
        <w:rPr>
          <w:rFonts w:ascii="Courier New" w:hAnsi="Courier New" w:cs="Courier New"/>
          <w:sz w:val="20"/>
        </w:rPr>
        <w:t>) axis(2))</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Talk about smoothness. Polynomial ones are smooth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Linear </w:t>
      </w:r>
      <w:proofErr w:type="spellStart"/>
      <w:r w:rsidRPr="00544D00">
        <w:rPr>
          <w:rFonts w:ascii="Courier New" w:hAnsi="Courier New" w:cs="Courier New"/>
          <w:sz w:val="20"/>
        </w:rPr>
        <w:t>splines</w:t>
      </w:r>
      <w:proofErr w:type="spellEnd"/>
      <w:r w:rsidRPr="00544D00">
        <w:rPr>
          <w:rFonts w:ascii="Courier New" w:hAnsi="Courier New" w:cs="Courier New"/>
          <w:sz w:val="20"/>
        </w:rPr>
        <w:t xml:space="preserve"> are more similar to LOWESS (</w:t>
      </w:r>
      <w:proofErr w:type="spellStart"/>
      <w:r w:rsidRPr="00544D00">
        <w:rPr>
          <w:rFonts w:ascii="Courier New" w:hAnsi="Courier New" w:cs="Courier New"/>
          <w:sz w:val="20"/>
        </w:rPr>
        <w:t>lowess</w:t>
      </w:r>
      <w:proofErr w:type="spellEnd"/>
      <w:r w:rsidRPr="00544D00">
        <w:rPr>
          <w:rFonts w:ascii="Courier New" w:hAnsi="Courier New" w:cs="Courier New"/>
          <w:sz w:val="20"/>
        </w:rPr>
        <w:t xml:space="preserve"> uses weighting)</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The</w:t>
      </w:r>
      <w:proofErr w:type="gramEnd"/>
      <w:r w:rsidRPr="00544D00">
        <w:rPr>
          <w:rFonts w:ascii="Courier New" w:hAnsi="Courier New" w:cs="Courier New"/>
          <w:sz w:val="20"/>
        </w:rPr>
        <w:t xml:space="preserve"> knots have been chosen </w:t>
      </w:r>
      <w:proofErr w:type="spellStart"/>
      <w:r w:rsidRPr="00544D00">
        <w:rPr>
          <w:rFonts w:ascii="Courier New" w:hAnsi="Courier New" w:cs="Courier New"/>
          <w:sz w:val="20"/>
        </w:rPr>
        <w:t>scientfically</w:t>
      </w:r>
      <w:proofErr w:type="spellEnd"/>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graph</w:t>
      </w:r>
      <w:proofErr w:type="gramEnd"/>
      <w:r w:rsidRPr="00544D00">
        <w:rPr>
          <w:rFonts w:ascii="Courier New" w:hAnsi="Courier New" w:cs="Courier New"/>
          <w:sz w:val="20"/>
        </w:rPr>
        <w:t xml:space="preserve"> export q1f.tif, replace</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Question 2</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2a - </w:t>
      </w:r>
      <w:proofErr w:type="spellStart"/>
      <w:r w:rsidRPr="00544D00">
        <w:rPr>
          <w:rFonts w:ascii="Courier New" w:hAnsi="Courier New" w:cs="Courier New"/>
          <w:sz w:val="20"/>
        </w:rPr>
        <w:t>splines</w:t>
      </w:r>
      <w:proofErr w:type="spellEnd"/>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sldlA</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sldlB</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sldlC</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sldlD</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sldlE</w:t>
      </w:r>
      <w:proofErr w:type="spellEnd"/>
      <w:r w:rsidRPr="00544D00">
        <w:rPr>
          <w:rFonts w:ascii="Courier New" w:hAnsi="Courier New" w:cs="Courier New"/>
          <w:sz w:val="20"/>
        </w:rPr>
        <w:t xml:space="preserve">, robust </w:t>
      </w:r>
      <w:proofErr w:type="spellStart"/>
      <w:r w:rsidRPr="00544D00">
        <w:rPr>
          <w:rFonts w:ascii="Courier New" w:hAnsi="Courier New" w:cs="Courier New"/>
          <w:sz w:val="20"/>
        </w:rPr>
        <w:t>nolog</w:t>
      </w:r>
      <w:proofErr w:type="spellEnd"/>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2b No statistical evidence </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Question 3a</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lab</w:t>
      </w:r>
      <w:proofErr w:type="gramEnd"/>
      <w:r w:rsidRPr="00544D00">
        <w:rPr>
          <w:rFonts w:ascii="Courier New" w:hAnsi="Courier New" w:cs="Courier New"/>
          <w:sz w:val="20"/>
        </w:rPr>
        <w:t xml:space="preserve"> define race 1 white 2 black 3 </w:t>
      </w:r>
      <w:proofErr w:type="spellStart"/>
      <w:r w:rsidRPr="00544D00">
        <w:rPr>
          <w:rFonts w:ascii="Courier New" w:hAnsi="Courier New" w:cs="Courier New"/>
          <w:sz w:val="20"/>
        </w:rPr>
        <w:t>asian</w:t>
      </w:r>
      <w:proofErr w:type="spellEnd"/>
      <w:r w:rsidRPr="00544D00">
        <w:rPr>
          <w:rFonts w:ascii="Courier New" w:hAnsi="Courier New" w:cs="Courier New"/>
          <w:sz w:val="20"/>
        </w:rPr>
        <w:t xml:space="preserve"> 4 other</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lab</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val</w:t>
      </w:r>
      <w:proofErr w:type="spellEnd"/>
      <w:r w:rsidRPr="00544D00">
        <w:rPr>
          <w:rFonts w:ascii="Courier New" w:hAnsi="Courier New" w:cs="Courier New"/>
          <w:sz w:val="20"/>
        </w:rPr>
        <w:t xml:space="preserve"> race </w:t>
      </w:r>
      <w:proofErr w:type="spellStart"/>
      <w:r w:rsidRPr="00544D00">
        <w:rPr>
          <w:rFonts w:ascii="Courier New" w:hAnsi="Courier New" w:cs="Courier New"/>
          <w:sz w:val="20"/>
        </w:rPr>
        <w:t>race</w:t>
      </w:r>
      <w:proofErr w:type="spellEnd"/>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stcox</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i.race</w:t>
      </w:r>
      <w:proofErr w:type="spellEnd"/>
      <w:r w:rsidRPr="00544D00">
        <w:rPr>
          <w:rFonts w:ascii="Courier New" w:hAnsi="Courier New" w:cs="Courier New"/>
          <w:sz w:val="20"/>
        </w:rPr>
        <w:t>##</w:t>
      </w:r>
      <w:proofErr w:type="spellStart"/>
      <w:r w:rsidRPr="00544D00">
        <w:rPr>
          <w:rFonts w:ascii="Courier New" w:hAnsi="Courier New" w:cs="Courier New"/>
          <w:sz w:val="20"/>
        </w:rPr>
        <w:t>c.logldl</w:t>
      </w:r>
      <w:proofErr w:type="spellEnd"/>
      <w:r w:rsidRPr="00544D00">
        <w:rPr>
          <w:rFonts w:ascii="Courier New" w:hAnsi="Courier New" w:cs="Courier New"/>
          <w:sz w:val="20"/>
        </w:rPr>
        <w:t xml:space="preserve">, robust </w:t>
      </w:r>
      <w:proofErr w:type="spellStart"/>
      <w:r w:rsidRPr="00544D00">
        <w:rPr>
          <w:rFonts w:ascii="Courier New" w:hAnsi="Courier New" w:cs="Courier New"/>
          <w:sz w:val="20"/>
        </w:rPr>
        <w:t>nolog</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w:t>
      </w:r>
      <w:proofErr w:type="spellStart"/>
      <w:r w:rsidRPr="00544D00">
        <w:rPr>
          <w:rFonts w:ascii="Courier New" w:hAnsi="Courier New" w:cs="Courier New"/>
          <w:sz w:val="20"/>
        </w:rPr>
        <w:t>di</w:t>
      </w:r>
      <w:proofErr w:type="spellEnd"/>
      <w:r w:rsidRPr="00544D00">
        <w:rPr>
          <w:rFonts w:ascii="Courier New" w:hAnsi="Courier New" w:cs="Courier New"/>
          <w:sz w:val="20"/>
        </w:rPr>
        <w:t xml:space="preserve"> </w:t>
      </w:r>
      <w:proofErr w:type="gramStart"/>
      <w:r w:rsidRPr="00544D00">
        <w:rPr>
          <w:rFonts w:ascii="Courier New" w:hAnsi="Courier New" w:cs="Courier New"/>
          <w:sz w:val="20"/>
        </w:rPr>
        <w:t>log(</w:t>
      </w:r>
      <w:proofErr w:type="gramEnd"/>
      <w:r w:rsidRPr="00544D00">
        <w:rPr>
          <w:rFonts w:ascii="Courier New" w:hAnsi="Courier New" w:cs="Courier New"/>
          <w:sz w:val="20"/>
        </w:rPr>
        <w:t>1.1)</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.09531018</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 </w:t>
      </w:r>
      <w:proofErr w:type="spellStart"/>
      <w:proofErr w:type="gramStart"/>
      <w:r w:rsidRPr="00544D00">
        <w:rPr>
          <w:rFonts w:ascii="Courier New" w:hAnsi="Courier New" w:cs="Courier New"/>
          <w:sz w:val="20"/>
        </w:rPr>
        <w:t>di</w:t>
      </w:r>
      <w:proofErr w:type="spellEnd"/>
      <w:proofErr w:type="gramEnd"/>
      <w:r w:rsidRPr="00544D00">
        <w:rPr>
          <w:rFonts w:ascii="Courier New" w:hAnsi="Courier New" w:cs="Courier New"/>
          <w:sz w:val="20"/>
        </w:rPr>
        <w:t xml:space="preserve"> log(2)</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.69314718</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.09531018*</w:t>
      </w:r>
      <w:proofErr w:type="spellStart"/>
      <w:r w:rsidRPr="00544D00">
        <w:rPr>
          <w:rFonts w:ascii="Courier New" w:hAnsi="Courier New" w:cs="Courier New"/>
          <w:sz w:val="20"/>
        </w:rPr>
        <w:t>logldl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eform</w:t>
      </w:r>
      <w:proofErr w:type="spellEnd"/>
      <w:r w:rsidRPr="00544D00">
        <w:rPr>
          <w:rFonts w:ascii="Courier New" w:hAnsi="Courier New" w:cs="Courier New"/>
          <w:sz w:val="20"/>
        </w:rPr>
        <w:t xml:space="preserve">    // For 10% increase in LDL</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.69314718*</w:t>
      </w:r>
      <w:proofErr w:type="spellStart"/>
      <w:r w:rsidRPr="00544D00">
        <w:rPr>
          <w:rFonts w:ascii="Courier New" w:hAnsi="Courier New" w:cs="Courier New"/>
          <w:sz w:val="20"/>
        </w:rPr>
        <w:t>logldl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eform</w:t>
      </w:r>
      <w:proofErr w:type="spellEnd"/>
      <w:r w:rsidRPr="00544D00">
        <w:rPr>
          <w:rFonts w:ascii="Courier New" w:hAnsi="Courier New" w:cs="Courier New"/>
          <w:sz w:val="20"/>
        </w:rPr>
        <w:t xml:space="preserve">    // For 2 fold increase in LDL</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.09531018*2.race#c.logldl, </w:t>
      </w:r>
      <w:proofErr w:type="spellStart"/>
      <w:r w:rsidRPr="00544D00">
        <w:rPr>
          <w:rFonts w:ascii="Courier New" w:hAnsi="Courier New" w:cs="Courier New"/>
          <w:sz w:val="20"/>
        </w:rPr>
        <w:t>eform</w:t>
      </w:r>
      <w:proofErr w:type="spellEnd"/>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.09531018*3.race#c.logldl, </w:t>
      </w:r>
      <w:proofErr w:type="spellStart"/>
      <w:r w:rsidRPr="00544D00">
        <w:rPr>
          <w:rFonts w:ascii="Courier New" w:hAnsi="Courier New" w:cs="Courier New"/>
          <w:sz w:val="20"/>
        </w:rPr>
        <w:t>eform</w:t>
      </w:r>
      <w:proofErr w:type="spellEnd"/>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.09531018*4.race#c.logldl, </w:t>
      </w:r>
      <w:proofErr w:type="spellStart"/>
      <w:r w:rsidRPr="00544D00">
        <w:rPr>
          <w:rFonts w:ascii="Courier New" w:hAnsi="Courier New" w:cs="Courier New"/>
          <w:sz w:val="20"/>
        </w:rPr>
        <w:t>eform</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3b</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i.race#c.logldl</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3c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i.race#c.logldl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logldl</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3d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i.race#c.logldl</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i.race</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3e </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testparm</w:t>
      </w:r>
      <w:proofErr w:type="spellEnd"/>
      <w:proofErr w:type="gramEnd"/>
      <w:r w:rsidRPr="00544D00">
        <w:rPr>
          <w:rFonts w:ascii="Courier New" w:hAnsi="Courier New" w:cs="Courier New"/>
          <w:sz w:val="20"/>
        </w:rPr>
        <w:t xml:space="preserve"> 2.race#c.logldl 2.race</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clear</w:t>
      </w:r>
      <w:proofErr w:type="gramEnd"/>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use</w:t>
      </w:r>
      <w:proofErr w:type="gramEnd"/>
      <w:r w:rsidRPr="00544D00">
        <w:rPr>
          <w:rFonts w:ascii="Courier New" w:hAnsi="Courier New" w:cs="Courier New"/>
          <w:sz w:val="20"/>
        </w:rPr>
        <w:t xml:space="preserve"> salary_original.dta </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Tag records to be kept</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gen</w:t>
      </w:r>
      <w:proofErr w:type="gramEnd"/>
      <w:r w:rsidRPr="00544D00">
        <w:rPr>
          <w:rFonts w:ascii="Courier New" w:hAnsi="Courier New" w:cs="Courier New"/>
          <w:sz w:val="20"/>
        </w:rPr>
        <w:t xml:space="preserve"> keep = </w:t>
      </w:r>
      <w:proofErr w:type="spellStart"/>
      <w:r w:rsidRPr="00544D00">
        <w:rPr>
          <w:rFonts w:ascii="Courier New" w:hAnsi="Courier New" w:cs="Courier New"/>
          <w:sz w:val="20"/>
        </w:rPr>
        <w:t>startyr</w:t>
      </w:r>
      <w:proofErr w:type="spellEnd"/>
      <w:r w:rsidRPr="00544D00">
        <w:rPr>
          <w:rFonts w:ascii="Courier New" w:hAnsi="Courier New" w:cs="Courier New"/>
          <w:sz w:val="20"/>
        </w:rPr>
        <w:t xml:space="preserve"> &gt;= 90 &amp; abs(</w:t>
      </w:r>
      <w:proofErr w:type="spellStart"/>
      <w:r w:rsidRPr="00544D00">
        <w:rPr>
          <w:rFonts w:ascii="Courier New" w:hAnsi="Courier New" w:cs="Courier New"/>
          <w:sz w:val="20"/>
        </w:rPr>
        <w:t>yrdeg</w:t>
      </w:r>
      <w:proofErr w:type="spellEnd"/>
      <w:r w:rsidRPr="00544D00">
        <w:rPr>
          <w:rFonts w:ascii="Courier New" w:hAnsi="Courier New" w:cs="Courier New"/>
          <w:sz w:val="20"/>
        </w:rPr>
        <w:t xml:space="preserve"> - </w:t>
      </w:r>
      <w:proofErr w:type="spellStart"/>
      <w:r w:rsidRPr="00544D00">
        <w:rPr>
          <w:rFonts w:ascii="Courier New" w:hAnsi="Courier New" w:cs="Courier New"/>
          <w:sz w:val="20"/>
        </w:rPr>
        <w:t>startyr</w:t>
      </w:r>
      <w:proofErr w:type="spellEnd"/>
      <w:r w:rsidRPr="00544D00">
        <w:rPr>
          <w:rFonts w:ascii="Courier New" w:hAnsi="Courier New" w:cs="Courier New"/>
          <w:sz w:val="20"/>
        </w:rPr>
        <w:t>) &lt;= 1</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r w:rsidRPr="00544D00">
        <w:rPr>
          <w:rFonts w:ascii="Courier New" w:hAnsi="Courier New" w:cs="Courier New"/>
          <w:sz w:val="20"/>
        </w:rPr>
        <w:t>egen</w:t>
      </w:r>
      <w:proofErr w:type="spellEnd"/>
      <w:r w:rsidRPr="00544D00">
        <w:rPr>
          <w:rFonts w:ascii="Courier New" w:hAnsi="Courier New" w:cs="Courier New"/>
          <w:sz w:val="20"/>
        </w:rPr>
        <w:t xml:space="preserve"> keep = </w:t>
      </w:r>
      <w:proofErr w:type="spellStart"/>
      <w:proofErr w:type="gramStart"/>
      <w:r w:rsidRPr="00544D00">
        <w:rPr>
          <w:rFonts w:ascii="Courier New" w:hAnsi="Courier New" w:cs="Courier New"/>
          <w:sz w:val="20"/>
        </w:rPr>
        <w:t>cond</w:t>
      </w:r>
      <w:proofErr w:type="spellEnd"/>
      <w:r w:rsidRPr="00544D00">
        <w:rPr>
          <w:rFonts w:ascii="Courier New" w:hAnsi="Courier New" w:cs="Courier New"/>
          <w:sz w:val="20"/>
        </w:rPr>
        <w:t>(</w:t>
      </w:r>
      <w:proofErr w:type="spellStart"/>
      <w:proofErr w:type="gramEnd"/>
      <w:r w:rsidRPr="00544D00">
        <w:rPr>
          <w:rFonts w:ascii="Courier New" w:hAnsi="Courier New" w:cs="Courier New"/>
          <w:sz w:val="20"/>
        </w:rPr>
        <w:t>startyr</w:t>
      </w:r>
      <w:proofErr w:type="spellEnd"/>
      <w:r w:rsidRPr="00544D00">
        <w:rPr>
          <w:rFonts w:ascii="Courier New" w:hAnsi="Courier New" w:cs="Courier New"/>
          <w:sz w:val="20"/>
        </w:rPr>
        <w:t xml:space="preserve"> &gt;= 90 &amp; abs(</w:t>
      </w:r>
      <w:proofErr w:type="spellStart"/>
      <w:r w:rsidRPr="00544D00">
        <w:rPr>
          <w:rFonts w:ascii="Courier New" w:hAnsi="Courier New" w:cs="Courier New"/>
          <w:sz w:val="20"/>
        </w:rPr>
        <w:t>yrdeg</w:t>
      </w:r>
      <w:proofErr w:type="spellEnd"/>
      <w:r w:rsidRPr="00544D00">
        <w:rPr>
          <w:rFonts w:ascii="Courier New" w:hAnsi="Courier New" w:cs="Courier New"/>
          <w:sz w:val="20"/>
        </w:rPr>
        <w:t xml:space="preserve"> - </w:t>
      </w:r>
      <w:proofErr w:type="spellStart"/>
      <w:r w:rsidRPr="00544D00">
        <w:rPr>
          <w:rFonts w:ascii="Courier New" w:hAnsi="Courier New" w:cs="Courier New"/>
          <w:sz w:val="20"/>
        </w:rPr>
        <w:t>startyr</w:t>
      </w:r>
      <w:proofErr w:type="spellEnd"/>
      <w:r w:rsidRPr="00544D00">
        <w:rPr>
          <w:rFonts w:ascii="Courier New" w:hAnsi="Courier New" w:cs="Courier New"/>
          <w:sz w:val="20"/>
        </w:rPr>
        <w:t>) &lt;= 1, 1, 0), by(id)</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Keep the </w:t>
      </w:r>
      <w:proofErr w:type="gramStart"/>
      <w:r w:rsidRPr="00544D00">
        <w:rPr>
          <w:rFonts w:ascii="Courier New" w:hAnsi="Courier New" w:cs="Courier New"/>
          <w:sz w:val="20"/>
        </w:rPr>
        <w:t>records  that</w:t>
      </w:r>
      <w:proofErr w:type="gramEnd"/>
      <w:r w:rsidRPr="00544D00">
        <w:rPr>
          <w:rFonts w:ascii="Courier New" w:hAnsi="Courier New" w:cs="Courier New"/>
          <w:sz w:val="20"/>
        </w:rPr>
        <w:t xml:space="preserve"> were tagged</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keep</w:t>
      </w:r>
      <w:proofErr w:type="gramEnd"/>
      <w:r w:rsidRPr="00544D00">
        <w:rPr>
          <w:rFonts w:ascii="Courier New" w:hAnsi="Courier New" w:cs="Courier New"/>
          <w:sz w:val="20"/>
        </w:rPr>
        <w:t xml:space="preserve"> if keep == 1</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What</w:t>
      </w:r>
      <w:proofErr w:type="gramEnd"/>
      <w:r w:rsidRPr="00544D00">
        <w:rPr>
          <w:rFonts w:ascii="Courier New" w:hAnsi="Courier New" w:cs="Courier New"/>
          <w:sz w:val="20"/>
        </w:rPr>
        <w:t xml:space="preserve"> we do with id == 4?</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sort</w:t>
      </w:r>
      <w:proofErr w:type="gramEnd"/>
      <w:r w:rsidRPr="00544D00">
        <w:rPr>
          <w:rFonts w:ascii="Courier New" w:hAnsi="Courier New" w:cs="Courier New"/>
          <w:sz w:val="20"/>
        </w:rPr>
        <w:t xml:space="preserve"> id year</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Miss some years</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gen</w:t>
      </w:r>
      <w:proofErr w:type="gramEnd"/>
      <w:r w:rsidRPr="00544D00">
        <w:rPr>
          <w:rFonts w:ascii="Courier New" w:hAnsi="Courier New" w:cs="Courier New"/>
          <w:sz w:val="20"/>
        </w:rPr>
        <w:t xml:space="preserve"> gap = year - year[_n-1] != 1 if id == id[_n-1]    // No jumping years</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sort</w:t>
      </w:r>
      <w:proofErr w:type="gramEnd"/>
      <w:r w:rsidRPr="00544D00">
        <w:rPr>
          <w:rFonts w:ascii="Courier New" w:hAnsi="Courier New" w:cs="Courier New"/>
          <w:sz w:val="20"/>
        </w:rPr>
        <w:t xml:space="preserve"> id year</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by</w:t>
      </w:r>
      <w:proofErr w:type="gramEnd"/>
      <w:r w:rsidRPr="00544D00">
        <w:rPr>
          <w:rFonts w:ascii="Courier New" w:hAnsi="Courier New" w:cs="Courier New"/>
          <w:sz w:val="20"/>
        </w:rPr>
        <w:t xml:space="preserve"> id: gen </w:t>
      </w:r>
      <w:proofErr w:type="spellStart"/>
      <w:r w:rsidRPr="00544D00">
        <w:rPr>
          <w:rFonts w:ascii="Courier New" w:hAnsi="Courier New" w:cs="Courier New"/>
          <w:sz w:val="20"/>
        </w:rPr>
        <w:t>nrecs</w:t>
      </w:r>
      <w:proofErr w:type="spellEnd"/>
      <w:r w:rsidRPr="00544D00">
        <w:rPr>
          <w:rFonts w:ascii="Courier New" w:hAnsi="Courier New" w:cs="Courier New"/>
          <w:sz w:val="20"/>
        </w:rPr>
        <w:t xml:space="preserve"> = _N</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unique</w:t>
      </w:r>
      <w:proofErr w:type="gramEnd"/>
      <w:r w:rsidRPr="00544D00">
        <w:rPr>
          <w:rFonts w:ascii="Courier New" w:hAnsi="Courier New" w:cs="Courier New"/>
          <w:sz w:val="20"/>
        </w:rPr>
        <w:t xml:space="preserve"> id</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4a</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Independent clusters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gen</w:t>
      </w:r>
      <w:proofErr w:type="gramEnd"/>
      <w:r w:rsidRPr="00544D00">
        <w:rPr>
          <w:rFonts w:ascii="Courier New" w:hAnsi="Courier New" w:cs="Courier New"/>
          <w:sz w:val="20"/>
        </w:rPr>
        <w:t xml:space="preserve"> female = sex == "F"</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gen</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logsal</w:t>
      </w:r>
      <w:proofErr w:type="spellEnd"/>
      <w:r w:rsidRPr="00544D00">
        <w:rPr>
          <w:rFonts w:ascii="Courier New" w:hAnsi="Courier New" w:cs="Courier New"/>
          <w:sz w:val="20"/>
        </w:rPr>
        <w:t xml:space="preserve"> = log(salary)</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gen</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 year - 90</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r>
        <w:rPr>
          <w:rFonts w:ascii="Courier New" w:hAnsi="Courier New" w:cs="Courier New"/>
          <w:sz w:val="20"/>
        </w:rPr>
        <w:t xml:space="preserve">                     </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regress</w:t>
      </w:r>
      <w:proofErr w:type="gramEnd"/>
      <w:r w:rsidRPr="00544D00">
        <w:rPr>
          <w:rFonts w:ascii="Courier New" w:hAnsi="Courier New" w:cs="Courier New"/>
          <w:sz w:val="20"/>
        </w:rPr>
        <w:t xml:space="preserve"> salary female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i.female#c.yr_cent</w:t>
      </w:r>
      <w:proofErr w:type="spellEnd"/>
      <w:r w:rsidRPr="00544D00">
        <w:rPr>
          <w:rFonts w:ascii="Courier New" w:hAnsi="Courier New" w:cs="Courier New"/>
          <w:sz w:val="20"/>
        </w:rPr>
        <w:t>, cluster(id) robust</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+ 1.female#c.yr_cent       // Mean salary per year increase among females</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+ 0*1.female#c.yr_cent     // Mean salary per year increase among males</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fit_meansal_a</w:t>
      </w:r>
      <w:proofErr w:type="spellEnd"/>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twoway</w:t>
      </w:r>
      <w:proofErr w:type="spellEnd"/>
      <w:proofErr w:type="gramEnd"/>
      <w:r w:rsidRPr="00544D00">
        <w:rPr>
          <w:rFonts w:ascii="Courier New" w:hAnsi="Courier New" w:cs="Courier New"/>
          <w:sz w:val="20"/>
        </w:rPr>
        <w:t xml:space="preserve"> (scatter salary year if female==0, jitter(1))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scatter</w:t>
      </w:r>
      <w:proofErr w:type="gramEnd"/>
      <w:r w:rsidRPr="00544D00">
        <w:rPr>
          <w:rFonts w:ascii="Courier New" w:hAnsi="Courier New" w:cs="Courier New"/>
          <w:sz w:val="20"/>
        </w:rPr>
        <w:t xml:space="preserve"> salary year if female==1, jitter(1))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line</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fit_meansal_a</w:t>
      </w:r>
      <w:proofErr w:type="spellEnd"/>
      <w:r w:rsidRPr="00544D00">
        <w:rPr>
          <w:rFonts w:ascii="Courier New" w:hAnsi="Courier New" w:cs="Courier New"/>
          <w:sz w:val="20"/>
        </w:rPr>
        <w:t xml:space="preserve"> year if female == 0)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line</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fit_meansal_a</w:t>
      </w:r>
      <w:proofErr w:type="spellEnd"/>
      <w:r w:rsidRPr="00544D00">
        <w:rPr>
          <w:rFonts w:ascii="Courier New" w:hAnsi="Courier New" w:cs="Courier New"/>
          <w:sz w:val="20"/>
        </w:rPr>
        <w:t xml:space="preserve"> year if female == 1)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 </w:t>
      </w:r>
      <w:proofErr w:type="spellStart"/>
      <w:proofErr w:type="gramStart"/>
      <w:r w:rsidRPr="00544D00">
        <w:rPr>
          <w:rFonts w:ascii="Courier New" w:hAnsi="Courier New" w:cs="Courier New"/>
          <w:sz w:val="20"/>
        </w:rPr>
        <w:t>ylab</w:t>
      </w:r>
      <w:proofErr w:type="spellEnd"/>
      <w:r w:rsidRPr="00544D00">
        <w:rPr>
          <w:rFonts w:ascii="Courier New" w:hAnsi="Courier New" w:cs="Courier New"/>
          <w:sz w:val="20"/>
        </w:rPr>
        <w:t>(</w:t>
      </w:r>
      <w:proofErr w:type="gramEnd"/>
      <w:r w:rsidRPr="00544D00">
        <w:rPr>
          <w:rFonts w:ascii="Courier New" w:hAnsi="Courier New" w:cs="Courier New"/>
          <w:sz w:val="20"/>
        </w:rPr>
        <w:t>0 2000(2000) 10000, angle(horizontal))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ytitle</w:t>
      </w:r>
      <w:proofErr w:type="spellEnd"/>
      <w:r w:rsidRPr="00544D00">
        <w:rPr>
          <w:rFonts w:ascii="Courier New" w:hAnsi="Courier New" w:cs="Courier New"/>
          <w:sz w:val="20"/>
        </w:rPr>
        <w:t>(</w:t>
      </w:r>
      <w:proofErr w:type="gramEnd"/>
      <w:r w:rsidRPr="00544D00">
        <w:rPr>
          <w:rFonts w:ascii="Courier New" w:hAnsi="Courier New" w:cs="Courier New"/>
          <w:sz w:val="20"/>
        </w:rPr>
        <w:t>Salary (USD))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xtitle</w:t>
      </w:r>
      <w:proofErr w:type="spellEnd"/>
      <w:r w:rsidRPr="00544D00">
        <w:rPr>
          <w:rFonts w:ascii="Courier New" w:hAnsi="Courier New" w:cs="Courier New"/>
          <w:sz w:val="20"/>
        </w:rPr>
        <w:t>(</w:t>
      </w:r>
      <w:proofErr w:type="gramEnd"/>
      <w:r w:rsidRPr="00544D00">
        <w:rPr>
          <w:rFonts w:ascii="Courier New" w:hAnsi="Courier New" w:cs="Courier New"/>
          <w:sz w:val="20"/>
        </w:rPr>
        <w:t>Calendar year)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legend(</w:t>
      </w:r>
      <w:proofErr w:type="gramEnd"/>
      <w:r w:rsidRPr="00544D00">
        <w:rPr>
          <w:rFonts w:ascii="Courier New" w:hAnsi="Courier New" w:cs="Courier New"/>
          <w:sz w:val="20"/>
        </w:rPr>
        <w:t>order(1 "Male" 2 "Female" 3 "Fitted (Male)"  4 "Fitted (Female)"))</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graph</w:t>
      </w:r>
      <w:proofErr w:type="gramEnd"/>
      <w:r w:rsidRPr="00544D00">
        <w:rPr>
          <w:rFonts w:ascii="Courier New" w:hAnsi="Courier New" w:cs="Courier New"/>
          <w:sz w:val="20"/>
        </w:rPr>
        <w:t xml:space="preserve"> export linreg_qa.tif, replace</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4b</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regress</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logsal</w:t>
      </w:r>
      <w:proofErr w:type="spellEnd"/>
      <w:r w:rsidRPr="00544D00">
        <w:rPr>
          <w:rFonts w:ascii="Courier New" w:hAnsi="Courier New" w:cs="Courier New"/>
          <w:sz w:val="20"/>
        </w:rPr>
        <w:t xml:space="preserve"> female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i.female#c.yr_cent</w:t>
      </w:r>
      <w:proofErr w:type="spellEnd"/>
      <w:r w:rsidRPr="00544D00">
        <w:rPr>
          <w:rFonts w:ascii="Courier New" w:hAnsi="Courier New" w:cs="Courier New"/>
          <w:sz w:val="20"/>
        </w:rPr>
        <w:t xml:space="preserve">, cluster(id) robust </w:t>
      </w:r>
      <w:proofErr w:type="spellStart"/>
      <w:r w:rsidRPr="00544D00">
        <w:rPr>
          <w:rFonts w:ascii="Courier New" w:hAnsi="Courier New" w:cs="Courier New"/>
          <w:sz w:val="20"/>
        </w:rPr>
        <w:t>eform</w:t>
      </w:r>
      <w:proofErr w:type="spellEnd"/>
      <w:r w:rsidRPr="00544D00">
        <w:rPr>
          <w:rFonts w:ascii="Courier New" w:hAnsi="Courier New" w:cs="Courier New"/>
          <w:sz w:val="20"/>
        </w:rPr>
        <w:t>(GR)</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_cons + female, </w:t>
      </w:r>
      <w:proofErr w:type="spellStart"/>
      <w:r w:rsidRPr="00544D00">
        <w:rPr>
          <w:rFonts w:ascii="Courier New" w:hAnsi="Courier New" w:cs="Courier New"/>
          <w:sz w:val="20"/>
        </w:rPr>
        <w:t>eform</w:t>
      </w:r>
      <w:proofErr w:type="spellEnd"/>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+ 1.female#c.yr_cent, </w:t>
      </w:r>
      <w:proofErr w:type="spellStart"/>
      <w:r w:rsidRPr="00544D00">
        <w:rPr>
          <w:rFonts w:ascii="Courier New" w:hAnsi="Courier New" w:cs="Courier New"/>
          <w:sz w:val="20"/>
        </w:rPr>
        <w:t>eform</w:t>
      </w:r>
      <w:proofErr w:type="spellEnd"/>
      <w:r w:rsidRPr="00544D00">
        <w:rPr>
          <w:rFonts w:ascii="Courier New" w:hAnsi="Courier New" w:cs="Courier New"/>
          <w:sz w:val="20"/>
        </w:rPr>
        <w:t xml:space="preserve">       // Mean salary per year increase among females</w:t>
      </w: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lincom</w:t>
      </w:r>
      <w:proofErr w:type="spellEnd"/>
      <w:proofErr w:type="gramEnd"/>
      <w:r w:rsidRPr="00544D00">
        <w:rPr>
          <w:rFonts w:ascii="Courier New" w:hAnsi="Courier New" w:cs="Courier New"/>
          <w:sz w:val="20"/>
        </w:rPr>
        <w:t xml:space="preserv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+ 0*1.female#c.yr_cent, </w:t>
      </w:r>
      <w:proofErr w:type="spellStart"/>
      <w:r w:rsidRPr="00544D00">
        <w:rPr>
          <w:rFonts w:ascii="Courier New" w:hAnsi="Courier New" w:cs="Courier New"/>
          <w:sz w:val="20"/>
        </w:rPr>
        <w:t>eform</w:t>
      </w:r>
      <w:proofErr w:type="spellEnd"/>
      <w:r w:rsidRPr="00544D00">
        <w:rPr>
          <w:rFonts w:ascii="Courier New" w:hAnsi="Courier New" w:cs="Courier New"/>
          <w:sz w:val="20"/>
        </w:rPr>
        <w:t xml:space="preserve">     // Mean salary per year increase among males</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predict</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fit_geomesal_a</w:t>
      </w:r>
      <w:proofErr w:type="spellEnd"/>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replace</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fit_geomesal_a</w:t>
      </w:r>
      <w:proofErr w:type="spellEnd"/>
      <w:r w:rsidRPr="00544D00">
        <w:rPr>
          <w:rFonts w:ascii="Courier New" w:hAnsi="Courier New" w:cs="Courier New"/>
          <w:sz w:val="20"/>
        </w:rPr>
        <w:t xml:space="preserve"> = exp(</w:t>
      </w:r>
      <w:proofErr w:type="spellStart"/>
      <w:r w:rsidRPr="00544D00">
        <w:rPr>
          <w:rFonts w:ascii="Courier New" w:hAnsi="Courier New" w:cs="Courier New"/>
          <w:sz w:val="20"/>
        </w:rPr>
        <w:t>fit_geomesal_a</w:t>
      </w:r>
      <w:proofErr w:type="spellEnd"/>
      <w:r w:rsidRPr="00544D00">
        <w:rPr>
          <w:rFonts w:ascii="Courier New" w:hAnsi="Courier New" w:cs="Courier New"/>
          <w:sz w:val="20"/>
        </w:rPr>
        <w:t>)</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proofErr w:type="spellStart"/>
      <w:proofErr w:type="gramStart"/>
      <w:r w:rsidRPr="00544D00">
        <w:rPr>
          <w:rFonts w:ascii="Courier New" w:hAnsi="Courier New" w:cs="Courier New"/>
          <w:sz w:val="20"/>
        </w:rPr>
        <w:t>twoway</w:t>
      </w:r>
      <w:proofErr w:type="spellEnd"/>
      <w:proofErr w:type="gramEnd"/>
      <w:r w:rsidRPr="00544D00">
        <w:rPr>
          <w:rFonts w:ascii="Courier New" w:hAnsi="Courier New" w:cs="Courier New"/>
          <w:sz w:val="20"/>
        </w:rPr>
        <w:t xml:space="preserve"> (scatter salary year if female==0, jitter(1))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scatter</w:t>
      </w:r>
      <w:proofErr w:type="gramEnd"/>
      <w:r w:rsidRPr="00544D00">
        <w:rPr>
          <w:rFonts w:ascii="Courier New" w:hAnsi="Courier New" w:cs="Courier New"/>
          <w:sz w:val="20"/>
        </w:rPr>
        <w:t xml:space="preserve"> salary year if female==1, jitter(1))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line</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fit_geomesal_a</w:t>
      </w:r>
      <w:proofErr w:type="spellEnd"/>
      <w:r w:rsidRPr="00544D00">
        <w:rPr>
          <w:rFonts w:ascii="Courier New" w:hAnsi="Courier New" w:cs="Courier New"/>
          <w:sz w:val="20"/>
        </w:rPr>
        <w:t xml:space="preserve"> year if female == 0)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line</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fit_geomesal_a</w:t>
      </w:r>
      <w:proofErr w:type="spellEnd"/>
      <w:r w:rsidRPr="00544D00">
        <w:rPr>
          <w:rFonts w:ascii="Courier New" w:hAnsi="Courier New" w:cs="Courier New"/>
          <w:sz w:val="20"/>
        </w:rPr>
        <w:t xml:space="preserve"> year if female == 1)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 </w:t>
      </w:r>
      <w:proofErr w:type="spellStart"/>
      <w:proofErr w:type="gramStart"/>
      <w:r w:rsidRPr="00544D00">
        <w:rPr>
          <w:rFonts w:ascii="Courier New" w:hAnsi="Courier New" w:cs="Courier New"/>
          <w:sz w:val="20"/>
        </w:rPr>
        <w:t>ylab</w:t>
      </w:r>
      <w:proofErr w:type="spellEnd"/>
      <w:r w:rsidRPr="00544D00">
        <w:rPr>
          <w:rFonts w:ascii="Courier New" w:hAnsi="Courier New" w:cs="Courier New"/>
          <w:sz w:val="20"/>
        </w:rPr>
        <w:t>(</w:t>
      </w:r>
      <w:proofErr w:type="gramEnd"/>
      <w:r w:rsidRPr="00544D00">
        <w:rPr>
          <w:rFonts w:ascii="Courier New" w:hAnsi="Courier New" w:cs="Courier New"/>
          <w:sz w:val="20"/>
        </w:rPr>
        <w:t>0 2000(2000) 10000, angle(horizontal))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ytitle</w:t>
      </w:r>
      <w:proofErr w:type="spellEnd"/>
      <w:r w:rsidRPr="00544D00">
        <w:rPr>
          <w:rFonts w:ascii="Courier New" w:hAnsi="Courier New" w:cs="Courier New"/>
          <w:sz w:val="20"/>
        </w:rPr>
        <w:t>(</w:t>
      </w:r>
      <w:proofErr w:type="gramEnd"/>
      <w:r w:rsidRPr="00544D00">
        <w:rPr>
          <w:rFonts w:ascii="Courier New" w:hAnsi="Courier New" w:cs="Courier New"/>
          <w:sz w:val="20"/>
        </w:rPr>
        <w:t>Salary (USD))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spellStart"/>
      <w:proofErr w:type="gramStart"/>
      <w:r w:rsidRPr="00544D00">
        <w:rPr>
          <w:rFonts w:ascii="Courier New" w:hAnsi="Courier New" w:cs="Courier New"/>
          <w:sz w:val="20"/>
        </w:rPr>
        <w:t>xtitle</w:t>
      </w:r>
      <w:proofErr w:type="spellEnd"/>
      <w:r w:rsidRPr="00544D00">
        <w:rPr>
          <w:rFonts w:ascii="Courier New" w:hAnsi="Courier New" w:cs="Courier New"/>
          <w:sz w:val="20"/>
        </w:rPr>
        <w:t>(</w:t>
      </w:r>
      <w:proofErr w:type="gramEnd"/>
      <w:r w:rsidRPr="00544D00">
        <w:rPr>
          <w:rFonts w:ascii="Courier New" w:hAnsi="Courier New" w:cs="Courier New"/>
          <w:sz w:val="20"/>
        </w:rPr>
        <w:t>Calendar year) ///</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legend(</w:t>
      </w:r>
      <w:proofErr w:type="gramEnd"/>
      <w:r w:rsidRPr="00544D00">
        <w:rPr>
          <w:rFonts w:ascii="Courier New" w:hAnsi="Courier New" w:cs="Courier New"/>
          <w:sz w:val="20"/>
        </w:rPr>
        <w:t>order(1 "Male" 2 "Female" 3 "Fitted (Male)"  4 "Fitted (Female)"))</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graph</w:t>
      </w:r>
      <w:proofErr w:type="gramEnd"/>
      <w:r w:rsidRPr="00544D00">
        <w:rPr>
          <w:rFonts w:ascii="Courier New" w:hAnsi="Courier New" w:cs="Courier New"/>
          <w:sz w:val="20"/>
        </w:rPr>
        <w:t xml:space="preserve"> export linreg_qb.tif, replace</w:t>
      </w:r>
    </w:p>
    <w:p w:rsidR="00544D00" w:rsidRPr="00544D00" w:rsidRDefault="00544D00" w:rsidP="00544D00">
      <w:pPr>
        <w:spacing w:after="0" w:line="240" w:lineRule="auto"/>
        <w:rPr>
          <w:rFonts w:ascii="Courier New" w:hAnsi="Courier New" w:cs="Courier New"/>
          <w:sz w:val="20"/>
        </w:rPr>
      </w:pP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4c</w:t>
      </w:r>
    </w:p>
    <w:p w:rsidR="00544D00" w:rsidRPr="00544D00" w:rsidRDefault="00544D00" w:rsidP="00544D00">
      <w:pPr>
        <w:spacing w:after="0" w:line="240" w:lineRule="auto"/>
        <w:rPr>
          <w:rFonts w:ascii="Courier New" w:hAnsi="Courier New" w:cs="Courier New"/>
          <w:sz w:val="20"/>
        </w:rPr>
      </w:pPr>
      <w:r w:rsidRPr="00544D00">
        <w:rPr>
          <w:rFonts w:ascii="Courier New" w:hAnsi="Courier New" w:cs="Courier New"/>
          <w:sz w:val="20"/>
        </w:rPr>
        <w:t xml:space="preserve">// </w:t>
      </w:r>
      <w:proofErr w:type="gramStart"/>
      <w:r w:rsidRPr="00544D00">
        <w:rPr>
          <w:rFonts w:ascii="Courier New" w:hAnsi="Courier New" w:cs="Courier New"/>
          <w:sz w:val="20"/>
        </w:rPr>
        <w:t>This</w:t>
      </w:r>
      <w:proofErr w:type="gramEnd"/>
      <w:r w:rsidRPr="00544D00">
        <w:rPr>
          <w:rFonts w:ascii="Courier New" w:hAnsi="Courier New" w:cs="Courier New"/>
          <w:sz w:val="20"/>
        </w:rPr>
        <w:t xml:space="preserve"> is pretending that each record is independent</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regress</w:t>
      </w:r>
      <w:proofErr w:type="gramEnd"/>
      <w:r w:rsidRPr="00544D00">
        <w:rPr>
          <w:rFonts w:ascii="Courier New" w:hAnsi="Courier New" w:cs="Courier New"/>
          <w:sz w:val="20"/>
        </w:rPr>
        <w:t xml:space="preserve"> salary female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i.female#c.yr_cent</w:t>
      </w:r>
      <w:proofErr w:type="spellEnd"/>
      <w:r w:rsidRPr="00544D00">
        <w:rPr>
          <w:rFonts w:ascii="Courier New" w:hAnsi="Courier New" w:cs="Courier New"/>
          <w:sz w:val="20"/>
        </w:rPr>
        <w:t>, robust</w:t>
      </w:r>
    </w:p>
    <w:p w:rsidR="00544D00" w:rsidRPr="00544D00" w:rsidRDefault="00544D00" w:rsidP="00544D00">
      <w:pPr>
        <w:spacing w:after="0" w:line="240" w:lineRule="auto"/>
        <w:rPr>
          <w:rFonts w:ascii="Courier New" w:hAnsi="Courier New" w:cs="Courier New"/>
          <w:sz w:val="20"/>
        </w:rPr>
      </w:pPr>
      <w:proofErr w:type="gramStart"/>
      <w:r w:rsidRPr="00544D00">
        <w:rPr>
          <w:rFonts w:ascii="Courier New" w:hAnsi="Courier New" w:cs="Courier New"/>
          <w:sz w:val="20"/>
        </w:rPr>
        <w:t>regress</w:t>
      </w:r>
      <w:proofErr w:type="gramEnd"/>
      <w:r w:rsidRPr="00544D00">
        <w:rPr>
          <w:rFonts w:ascii="Courier New" w:hAnsi="Courier New" w:cs="Courier New"/>
          <w:sz w:val="20"/>
        </w:rPr>
        <w:t xml:space="preserve"> </w:t>
      </w:r>
      <w:proofErr w:type="spellStart"/>
      <w:r w:rsidRPr="00544D00">
        <w:rPr>
          <w:rFonts w:ascii="Courier New" w:hAnsi="Courier New" w:cs="Courier New"/>
          <w:sz w:val="20"/>
        </w:rPr>
        <w:t>logsal</w:t>
      </w:r>
      <w:proofErr w:type="spellEnd"/>
      <w:r w:rsidRPr="00544D00">
        <w:rPr>
          <w:rFonts w:ascii="Courier New" w:hAnsi="Courier New" w:cs="Courier New"/>
          <w:sz w:val="20"/>
        </w:rPr>
        <w:t xml:space="preserve"> female </w:t>
      </w:r>
      <w:proofErr w:type="spellStart"/>
      <w:r w:rsidRPr="00544D00">
        <w:rPr>
          <w:rFonts w:ascii="Courier New" w:hAnsi="Courier New" w:cs="Courier New"/>
          <w:sz w:val="20"/>
        </w:rPr>
        <w:t>yr_cent</w:t>
      </w:r>
      <w:proofErr w:type="spellEnd"/>
      <w:r w:rsidRPr="00544D00">
        <w:rPr>
          <w:rFonts w:ascii="Courier New" w:hAnsi="Courier New" w:cs="Courier New"/>
          <w:sz w:val="20"/>
        </w:rPr>
        <w:t xml:space="preserve"> </w:t>
      </w:r>
      <w:proofErr w:type="spellStart"/>
      <w:r w:rsidRPr="00544D00">
        <w:rPr>
          <w:rFonts w:ascii="Courier New" w:hAnsi="Courier New" w:cs="Courier New"/>
          <w:sz w:val="20"/>
        </w:rPr>
        <w:t>i.female#c.yr_cent</w:t>
      </w:r>
      <w:proofErr w:type="spellEnd"/>
      <w:r w:rsidRPr="00544D00">
        <w:rPr>
          <w:rFonts w:ascii="Courier New" w:hAnsi="Courier New" w:cs="Courier New"/>
          <w:sz w:val="20"/>
        </w:rPr>
        <w:t xml:space="preserve">, robust </w:t>
      </w:r>
      <w:proofErr w:type="spellStart"/>
      <w:r w:rsidRPr="00544D00">
        <w:rPr>
          <w:rFonts w:ascii="Courier New" w:hAnsi="Courier New" w:cs="Courier New"/>
          <w:sz w:val="20"/>
        </w:rPr>
        <w:t>eform</w:t>
      </w:r>
      <w:proofErr w:type="spellEnd"/>
      <w:r w:rsidRPr="00544D00">
        <w:rPr>
          <w:rFonts w:ascii="Courier New" w:hAnsi="Courier New" w:cs="Courier New"/>
          <w:sz w:val="20"/>
        </w:rPr>
        <w:t>(GR)</w:t>
      </w:r>
    </w:p>
    <w:p w:rsidR="00544D00" w:rsidRPr="00544D00" w:rsidRDefault="00544D00" w:rsidP="00544D00">
      <w:pPr>
        <w:spacing w:after="0" w:line="240" w:lineRule="auto"/>
        <w:rPr>
          <w:rFonts w:ascii="Courier New" w:hAnsi="Courier New" w:cs="Courier New"/>
          <w:sz w:val="20"/>
        </w:rPr>
      </w:pPr>
    </w:p>
    <w:p w:rsidR="00544D00" w:rsidRDefault="00544D00" w:rsidP="00544D00"/>
    <w:p w:rsidR="00544D00" w:rsidRDefault="00544D00" w:rsidP="00544D00"/>
    <w:p w:rsidR="00544D00" w:rsidRDefault="00544D00" w:rsidP="00544D00"/>
    <w:p w:rsidR="00544D00" w:rsidRPr="00544D00" w:rsidRDefault="00544D00" w:rsidP="00C83DD3"/>
    <w:sectPr w:rsidR="00544D00" w:rsidRPr="00544D00" w:rsidSect="0084219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140FAF"/>
    <w:multiLevelType w:val="hybridMultilevel"/>
    <w:tmpl w:val="43403F0C"/>
    <w:lvl w:ilvl="0" w:tplc="057265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20"/>
  <w:drawingGridHorizontalSpacing w:val="110"/>
  <w:displayHorizontalDrawingGridEvery w:val="2"/>
  <w:characterSpacingControl w:val="doNotCompress"/>
  <w:compat/>
  <w:rsids>
    <w:rsidRoot w:val="00FD22E6"/>
    <w:rsid w:val="00004294"/>
    <w:rsid w:val="00043528"/>
    <w:rsid w:val="0005331E"/>
    <w:rsid w:val="0006594F"/>
    <w:rsid w:val="00070544"/>
    <w:rsid w:val="00082996"/>
    <w:rsid w:val="00086A48"/>
    <w:rsid w:val="00091375"/>
    <w:rsid w:val="000B0C1C"/>
    <w:rsid w:val="000D661A"/>
    <w:rsid w:val="00144E81"/>
    <w:rsid w:val="00166B04"/>
    <w:rsid w:val="001733FA"/>
    <w:rsid w:val="00174078"/>
    <w:rsid w:val="0018117E"/>
    <w:rsid w:val="00181453"/>
    <w:rsid w:val="001901EE"/>
    <w:rsid w:val="001A5B44"/>
    <w:rsid w:val="001B6240"/>
    <w:rsid w:val="001E2D8A"/>
    <w:rsid w:val="001F766F"/>
    <w:rsid w:val="002135F0"/>
    <w:rsid w:val="00233A6F"/>
    <w:rsid w:val="002467AB"/>
    <w:rsid w:val="00253090"/>
    <w:rsid w:val="00255CF8"/>
    <w:rsid w:val="00257989"/>
    <w:rsid w:val="00257F94"/>
    <w:rsid w:val="00262438"/>
    <w:rsid w:val="00281434"/>
    <w:rsid w:val="002872E8"/>
    <w:rsid w:val="00287FC2"/>
    <w:rsid w:val="0029790F"/>
    <w:rsid w:val="002A6E92"/>
    <w:rsid w:val="002A6F9F"/>
    <w:rsid w:val="002C1FC4"/>
    <w:rsid w:val="002E47C0"/>
    <w:rsid w:val="00312773"/>
    <w:rsid w:val="00332BA5"/>
    <w:rsid w:val="00350719"/>
    <w:rsid w:val="00361124"/>
    <w:rsid w:val="00363638"/>
    <w:rsid w:val="00372118"/>
    <w:rsid w:val="00376381"/>
    <w:rsid w:val="00383805"/>
    <w:rsid w:val="0038759A"/>
    <w:rsid w:val="003A0193"/>
    <w:rsid w:val="003B0176"/>
    <w:rsid w:val="003B0D62"/>
    <w:rsid w:val="003B65F8"/>
    <w:rsid w:val="003C0EE0"/>
    <w:rsid w:val="003D1418"/>
    <w:rsid w:val="003D2436"/>
    <w:rsid w:val="003D6700"/>
    <w:rsid w:val="003E517B"/>
    <w:rsid w:val="00404183"/>
    <w:rsid w:val="00404DEB"/>
    <w:rsid w:val="00407BB3"/>
    <w:rsid w:val="0041134C"/>
    <w:rsid w:val="0041214A"/>
    <w:rsid w:val="00425A6C"/>
    <w:rsid w:val="004407E3"/>
    <w:rsid w:val="00442F8B"/>
    <w:rsid w:val="00445A73"/>
    <w:rsid w:val="00456B38"/>
    <w:rsid w:val="00456C1A"/>
    <w:rsid w:val="004777E6"/>
    <w:rsid w:val="00496BCA"/>
    <w:rsid w:val="004B11F3"/>
    <w:rsid w:val="004B5CF3"/>
    <w:rsid w:val="004D666C"/>
    <w:rsid w:val="004E7754"/>
    <w:rsid w:val="0050556A"/>
    <w:rsid w:val="00511E22"/>
    <w:rsid w:val="005128BA"/>
    <w:rsid w:val="005202F9"/>
    <w:rsid w:val="00520CE3"/>
    <w:rsid w:val="00530A8D"/>
    <w:rsid w:val="005343AF"/>
    <w:rsid w:val="00540549"/>
    <w:rsid w:val="00544D00"/>
    <w:rsid w:val="005744E4"/>
    <w:rsid w:val="005756AE"/>
    <w:rsid w:val="005764F4"/>
    <w:rsid w:val="005832F9"/>
    <w:rsid w:val="00596038"/>
    <w:rsid w:val="005A34FC"/>
    <w:rsid w:val="005A5371"/>
    <w:rsid w:val="005B1B15"/>
    <w:rsid w:val="005B4435"/>
    <w:rsid w:val="005F38FA"/>
    <w:rsid w:val="00605F6A"/>
    <w:rsid w:val="0061740B"/>
    <w:rsid w:val="006214F6"/>
    <w:rsid w:val="00626F8F"/>
    <w:rsid w:val="00627D84"/>
    <w:rsid w:val="006320E7"/>
    <w:rsid w:val="006605EF"/>
    <w:rsid w:val="0066189A"/>
    <w:rsid w:val="0066377B"/>
    <w:rsid w:val="00675084"/>
    <w:rsid w:val="006A715E"/>
    <w:rsid w:val="006C3F2E"/>
    <w:rsid w:val="006F3518"/>
    <w:rsid w:val="00700872"/>
    <w:rsid w:val="00722936"/>
    <w:rsid w:val="007370BC"/>
    <w:rsid w:val="00761CCB"/>
    <w:rsid w:val="00762074"/>
    <w:rsid w:val="007727B4"/>
    <w:rsid w:val="007962A2"/>
    <w:rsid w:val="007A125E"/>
    <w:rsid w:val="007A1AE8"/>
    <w:rsid w:val="00810388"/>
    <w:rsid w:val="0082746F"/>
    <w:rsid w:val="0084219E"/>
    <w:rsid w:val="008711E7"/>
    <w:rsid w:val="0087592A"/>
    <w:rsid w:val="008965E7"/>
    <w:rsid w:val="008A07BC"/>
    <w:rsid w:val="008C055F"/>
    <w:rsid w:val="008C3B64"/>
    <w:rsid w:val="008E4651"/>
    <w:rsid w:val="008F7599"/>
    <w:rsid w:val="008F7699"/>
    <w:rsid w:val="0092154E"/>
    <w:rsid w:val="00957358"/>
    <w:rsid w:val="00962D0A"/>
    <w:rsid w:val="009874F3"/>
    <w:rsid w:val="009966EA"/>
    <w:rsid w:val="009A5F7C"/>
    <w:rsid w:val="009B4CF7"/>
    <w:rsid w:val="009C3C7E"/>
    <w:rsid w:val="009C7D16"/>
    <w:rsid w:val="009D4599"/>
    <w:rsid w:val="009F2327"/>
    <w:rsid w:val="00A1308E"/>
    <w:rsid w:val="00A25B15"/>
    <w:rsid w:val="00A31216"/>
    <w:rsid w:val="00A40CAC"/>
    <w:rsid w:val="00A5361A"/>
    <w:rsid w:val="00A57499"/>
    <w:rsid w:val="00A626CE"/>
    <w:rsid w:val="00A665ED"/>
    <w:rsid w:val="00A8169A"/>
    <w:rsid w:val="00AC55AA"/>
    <w:rsid w:val="00AF6135"/>
    <w:rsid w:val="00B06009"/>
    <w:rsid w:val="00B53BA8"/>
    <w:rsid w:val="00B61E41"/>
    <w:rsid w:val="00B81FEF"/>
    <w:rsid w:val="00BB4C31"/>
    <w:rsid w:val="00BC012A"/>
    <w:rsid w:val="00BD286C"/>
    <w:rsid w:val="00BE0824"/>
    <w:rsid w:val="00BE3998"/>
    <w:rsid w:val="00BE6B76"/>
    <w:rsid w:val="00BF5841"/>
    <w:rsid w:val="00BF6081"/>
    <w:rsid w:val="00C41109"/>
    <w:rsid w:val="00C56F53"/>
    <w:rsid w:val="00C64098"/>
    <w:rsid w:val="00C83DD3"/>
    <w:rsid w:val="00CA539E"/>
    <w:rsid w:val="00CA7402"/>
    <w:rsid w:val="00CB5270"/>
    <w:rsid w:val="00CC1E92"/>
    <w:rsid w:val="00CD2CE1"/>
    <w:rsid w:val="00CD30DD"/>
    <w:rsid w:val="00CE79CE"/>
    <w:rsid w:val="00CF001D"/>
    <w:rsid w:val="00D02AC6"/>
    <w:rsid w:val="00D16C88"/>
    <w:rsid w:val="00D40BBB"/>
    <w:rsid w:val="00D449E2"/>
    <w:rsid w:val="00D455AD"/>
    <w:rsid w:val="00D85843"/>
    <w:rsid w:val="00DB5AFC"/>
    <w:rsid w:val="00DD63DF"/>
    <w:rsid w:val="00E00863"/>
    <w:rsid w:val="00E026E1"/>
    <w:rsid w:val="00E57B91"/>
    <w:rsid w:val="00E80A9F"/>
    <w:rsid w:val="00E911B9"/>
    <w:rsid w:val="00EE1147"/>
    <w:rsid w:val="00EE5EA1"/>
    <w:rsid w:val="00EF4097"/>
    <w:rsid w:val="00F02AF5"/>
    <w:rsid w:val="00F219BB"/>
    <w:rsid w:val="00F23058"/>
    <w:rsid w:val="00F26494"/>
    <w:rsid w:val="00F42ECE"/>
    <w:rsid w:val="00F54E04"/>
    <w:rsid w:val="00F55253"/>
    <w:rsid w:val="00F56A2B"/>
    <w:rsid w:val="00F56BF4"/>
    <w:rsid w:val="00F95108"/>
    <w:rsid w:val="00FB31B3"/>
    <w:rsid w:val="00FC4D50"/>
    <w:rsid w:val="00FD2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1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1418"/>
    <w:pPr>
      <w:ind w:left="720"/>
      <w:contextualSpacing/>
    </w:pPr>
  </w:style>
  <w:style w:type="paragraph" w:styleId="BalloonText">
    <w:name w:val="Balloon Text"/>
    <w:basedOn w:val="Normal"/>
    <w:link w:val="BalloonTextChar"/>
    <w:uiPriority w:val="99"/>
    <w:semiHidden/>
    <w:unhideWhenUsed/>
    <w:rsid w:val="00086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2022535">
      <w:bodyDiv w:val="1"/>
      <w:marLeft w:val="0"/>
      <w:marRight w:val="0"/>
      <w:marTop w:val="0"/>
      <w:marBottom w:val="0"/>
      <w:divBdr>
        <w:top w:val="none" w:sz="0" w:space="0" w:color="auto"/>
        <w:left w:val="none" w:sz="0" w:space="0" w:color="auto"/>
        <w:bottom w:val="none" w:sz="0" w:space="0" w:color="auto"/>
        <w:right w:val="none" w:sz="0" w:space="0" w:color="auto"/>
      </w:divBdr>
    </w:div>
    <w:div w:id="571933284">
      <w:bodyDiv w:val="1"/>
      <w:marLeft w:val="0"/>
      <w:marRight w:val="0"/>
      <w:marTop w:val="0"/>
      <w:marBottom w:val="0"/>
      <w:divBdr>
        <w:top w:val="none" w:sz="0" w:space="0" w:color="auto"/>
        <w:left w:val="none" w:sz="0" w:space="0" w:color="auto"/>
        <w:bottom w:val="none" w:sz="0" w:space="0" w:color="auto"/>
        <w:right w:val="none" w:sz="0" w:space="0" w:color="auto"/>
      </w:divBdr>
    </w:div>
    <w:div w:id="595557410">
      <w:bodyDiv w:val="1"/>
      <w:marLeft w:val="0"/>
      <w:marRight w:val="0"/>
      <w:marTop w:val="0"/>
      <w:marBottom w:val="0"/>
      <w:divBdr>
        <w:top w:val="none" w:sz="0" w:space="0" w:color="auto"/>
        <w:left w:val="none" w:sz="0" w:space="0" w:color="auto"/>
        <w:bottom w:val="none" w:sz="0" w:space="0" w:color="auto"/>
        <w:right w:val="none" w:sz="0" w:space="0" w:color="auto"/>
      </w:divBdr>
    </w:div>
    <w:div w:id="677079221">
      <w:bodyDiv w:val="1"/>
      <w:marLeft w:val="0"/>
      <w:marRight w:val="0"/>
      <w:marTop w:val="0"/>
      <w:marBottom w:val="0"/>
      <w:divBdr>
        <w:top w:val="none" w:sz="0" w:space="0" w:color="auto"/>
        <w:left w:val="none" w:sz="0" w:space="0" w:color="auto"/>
        <w:bottom w:val="none" w:sz="0" w:space="0" w:color="auto"/>
        <w:right w:val="none" w:sz="0" w:space="0" w:color="auto"/>
      </w:divBdr>
    </w:div>
    <w:div w:id="717434474">
      <w:bodyDiv w:val="1"/>
      <w:marLeft w:val="0"/>
      <w:marRight w:val="0"/>
      <w:marTop w:val="0"/>
      <w:marBottom w:val="0"/>
      <w:divBdr>
        <w:top w:val="none" w:sz="0" w:space="0" w:color="auto"/>
        <w:left w:val="none" w:sz="0" w:space="0" w:color="auto"/>
        <w:bottom w:val="none" w:sz="0" w:space="0" w:color="auto"/>
        <w:right w:val="none" w:sz="0" w:space="0" w:color="auto"/>
      </w:divBdr>
    </w:div>
    <w:div w:id="767308144">
      <w:bodyDiv w:val="1"/>
      <w:marLeft w:val="0"/>
      <w:marRight w:val="0"/>
      <w:marTop w:val="0"/>
      <w:marBottom w:val="0"/>
      <w:divBdr>
        <w:top w:val="none" w:sz="0" w:space="0" w:color="auto"/>
        <w:left w:val="none" w:sz="0" w:space="0" w:color="auto"/>
        <w:bottom w:val="none" w:sz="0" w:space="0" w:color="auto"/>
        <w:right w:val="none" w:sz="0" w:space="0" w:color="auto"/>
      </w:divBdr>
    </w:div>
    <w:div w:id="783580379">
      <w:bodyDiv w:val="1"/>
      <w:marLeft w:val="0"/>
      <w:marRight w:val="0"/>
      <w:marTop w:val="0"/>
      <w:marBottom w:val="0"/>
      <w:divBdr>
        <w:top w:val="none" w:sz="0" w:space="0" w:color="auto"/>
        <w:left w:val="none" w:sz="0" w:space="0" w:color="auto"/>
        <w:bottom w:val="none" w:sz="0" w:space="0" w:color="auto"/>
        <w:right w:val="none" w:sz="0" w:space="0" w:color="auto"/>
      </w:divBdr>
    </w:div>
    <w:div w:id="849221597">
      <w:bodyDiv w:val="1"/>
      <w:marLeft w:val="0"/>
      <w:marRight w:val="0"/>
      <w:marTop w:val="0"/>
      <w:marBottom w:val="0"/>
      <w:divBdr>
        <w:top w:val="none" w:sz="0" w:space="0" w:color="auto"/>
        <w:left w:val="none" w:sz="0" w:space="0" w:color="auto"/>
        <w:bottom w:val="none" w:sz="0" w:space="0" w:color="auto"/>
        <w:right w:val="none" w:sz="0" w:space="0" w:color="auto"/>
      </w:divBdr>
    </w:div>
    <w:div w:id="1060834684">
      <w:bodyDiv w:val="1"/>
      <w:marLeft w:val="0"/>
      <w:marRight w:val="0"/>
      <w:marTop w:val="0"/>
      <w:marBottom w:val="0"/>
      <w:divBdr>
        <w:top w:val="none" w:sz="0" w:space="0" w:color="auto"/>
        <w:left w:val="none" w:sz="0" w:space="0" w:color="auto"/>
        <w:bottom w:val="none" w:sz="0" w:space="0" w:color="auto"/>
        <w:right w:val="none" w:sz="0" w:space="0" w:color="auto"/>
      </w:divBdr>
    </w:div>
    <w:div w:id="1554199870">
      <w:bodyDiv w:val="1"/>
      <w:marLeft w:val="0"/>
      <w:marRight w:val="0"/>
      <w:marTop w:val="0"/>
      <w:marBottom w:val="0"/>
      <w:divBdr>
        <w:top w:val="none" w:sz="0" w:space="0" w:color="auto"/>
        <w:left w:val="none" w:sz="0" w:space="0" w:color="auto"/>
        <w:bottom w:val="none" w:sz="0" w:space="0" w:color="auto"/>
        <w:right w:val="none" w:sz="0" w:space="0" w:color="auto"/>
      </w:divBdr>
    </w:div>
    <w:div w:id="1676225817">
      <w:bodyDiv w:val="1"/>
      <w:marLeft w:val="0"/>
      <w:marRight w:val="0"/>
      <w:marTop w:val="0"/>
      <w:marBottom w:val="0"/>
      <w:divBdr>
        <w:top w:val="none" w:sz="0" w:space="0" w:color="auto"/>
        <w:left w:val="none" w:sz="0" w:space="0" w:color="auto"/>
        <w:bottom w:val="none" w:sz="0" w:space="0" w:color="auto"/>
        <w:right w:val="none" w:sz="0" w:space="0" w:color="auto"/>
      </w:divBdr>
    </w:div>
    <w:div w:id="1959797867">
      <w:bodyDiv w:val="1"/>
      <w:marLeft w:val="0"/>
      <w:marRight w:val="0"/>
      <w:marTop w:val="0"/>
      <w:marBottom w:val="0"/>
      <w:divBdr>
        <w:top w:val="none" w:sz="0" w:space="0" w:color="auto"/>
        <w:left w:val="none" w:sz="0" w:space="0" w:color="auto"/>
        <w:bottom w:val="none" w:sz="0" w:space="0" w:color="auto"/>
        <w:right w:val="none" w:sz="0" w:space="0" w:color="auto"/>
      </w:divBdr>
    </w:div>
    <w:div w:id="209882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88D76-C892-4C6E-9AA2-B23361C93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16</Pages>
  <Words>5123</Words>
  <Characters>29204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orvaquim</dc:creator>
  <cp:lastModifiedBy>orvaquim</cp:lastModifiedBy>
  <cp:revision>15</cp:revision>
  <cp:lastPrinted>2015-03-08T22:58:00Z</cp:lastPrinted>
  <dcterms:created xsi:type="dcterms:W3CDTF">2015-03-09T15:10:00Z</dcterms:created>
  <dcterms:modified xsi:type="dcterms:W3CDTF">2015-03-12T08:09:00Z</dcterms:modified>
</cp:coreProperties>
</file>