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61" w:rsidRDefault="00456261" w:rsidP="00A66728">
      <w:pPr>
        <w:autoSpaceDE w:val="0"/>
        <w:autoSpaceDN w:val="0"/>
        <w:adjustRightInd w:val="0"/>
        <w:spacing w:after="120"/>
        <w:jc w:val="center"/>
        <w:rPr>
          <w:b/>
          <w:color w:val="000000"/>
          <w:sz w:val="22"/>
          <w:szCs w:val="22"/>
        </w:rPr>
      </w:pPr>
      <w:r>
        <w:rPr>
          <w:b/>
          <w:color w:val="000000"/>
          <w:sz w:val="22"/>
          <w:szCs w:val="22"/>
        </w:rPr>
        <w:t>BIOST 518/515</w:t>
      </w:r>
      <w:r w:rsidRPr="0036127B">
        <w:rPr>
          <w:b/>
          <w:color w:val="000000"/>
          <w:sz w:val="22"/>
          <w:szCs w:val="22"/>
        </w:rPr>
        <w:t xml:space="preserve">: </w:t>
      </w:r>
      <w:r>
        <w:rPr>
          <w:b/>
          <w:color w:val="000000"/>
          <w:sz w:val="22"/>
          <w:szCs w:val="22"/>
        </w:rPr>
        <w:t>Applied Biostatistics II/Biostatistics II</w:t>
      </w:r>
    </w:p>
    <w:p w:rsidR="00456261" w:rsidRPr="0036127B" w:rsidRDefault="00456261" w:rsidP="00A66728">
      <w:pPr>
        <w:autoSpaceDE w:val="0"/>
        <w:autoSpaceDN w:val="0"/>
        <w:adjustRightInd w:val="0"/>
        <w:spacing w:after="120"/>
        <w:jc w:val="center"/>
        <w:rPr>
          <w:color w:val="000000"/>
          <w:sz w:val="22"/>
          <w:szCs w:val="22"/>
        </w:rPr>
      </w:pPr>
      <w:r>
        <w:rPr>
          <w:color w:val="000000"/>
          <w:sz w:val="22"/>
          <w:szCs w:val="22"/>
        </w:rPr>
        <w:t>Emerson, Winter 2015</w:t>
      </w:r>
    </w:p>
    <w:p w:rsidR="00C93A29" w:rsidRPr="0036127B" w:rsidRDefault="00C93A29" w:rsidP="00A66728">
      <w:pPr>
        <w:autoSpaceDE w:val="0"/>
        <w:autoSpaceDN w:val="0"/>
        <w:adjustRightInd w:val="0"/>
        <w:spacing w:after="120"/>
        <w:jc w:val="center"/>
        <w:rPr>
          <w:b/>
          <w:color w:val="000000"/>
          <w:sz w:val="22"/>
          <w:szCs w:val="22"/>
        </w:rPr>
      </w:pPr>
    </w:p>
    <w:p w:rsidR="00456261" w:rsidRPr="0036127B" w:rsidRDefault="00456261" w:rsidP="00A66728">
      <w:pPr>
        <w:autoSpaceDE w:val="0"/>
        <w:autoSpaceDN w:val="0"/>
        <w:adjustRightInd w:val="0"/>
        <w:spacing w:after="120"/>
        <w:jc w:val="center"/>
        <w:rPr>
          <w:b/>
          <w:color w:val="000000"/>
          <w:sz w:val="22"/>
          <w:szCs w:val="22"/>
        </w:rPr>
      </w:pPr>
      <w:commentRangeStart w:id="0"/>
      <w:r>
        <w:rPr>
          <w:b/>
          <w:color w:val="000000"/>
          <w:sz w:val="22"/>
          <w:szCs w:val="22"/>
        </w:rPr>
        <w:t>Homework 0</w:t>
      </w:r>
      <w:r w:rsidR="00990CEC">
        <w:rPr>
          <w:b/>
          <w:color w:val="000000"/>
          <w:sz w:val="22"/>
          <w:szCs w:val="22"/>
        </w:rPr>
        <w:t>4</w:t>
      </w:r>
      <w:commentRangeEnd w:id="0"/>
      <w:r w:rsidR="00E556FF">
        <w:rPr>
          <w:rStyle w:val="CommentReference"/>
        </w:rPr>
        <w:commentReference w:id="0"/>
      </w:r>
    </w:p>
    <w:p w:rsidR="00456261" w:rsidRPr="0036127B" w:rsidRDefault="00456261" w:rsidP="00A66728">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8023CD">
        <w:rPr>
          <w:noProof/>
          <w:color w:val="000000"/>
          <w:sz w:val="22"/>
          <w:szCs w:val="22"/>
        </w:rPr>
        <w:t>February 23, 2015</w:t>
      </w:r>
      <w:r>
        <w:rPr>
          <w:color w:val="000000"/>
          <w:sz w:val="22"/>
          <w:szCs w:val="22"/>
        </w:rPr>
        <w:fldChar w:fldCharType="end"/>
      </w:r>
    </w:p>
    <w:p w:rsidR="00EE21A5" w:rsidRPr="00EE21A5" w:rsidRDefault="00EE21A5" w:rsidP="00EE21A5">
      <w:pPr>
        <w:autoSpaceDE w:val="0"/>
        <w:autoSpaceDN w:val="0"/>
        <w:adjustRightInd w:val="0"/>
        <w:spacing w:after="120"/>
        <w:rPr>
          <w:color w:val="7F7F7F" w:themeColor="text1" w:themeTint="80"/>
          <w:sz w:val="22"/>
          <w:szCs w:val="22"/>
        </w:rPr>
      </w:pPr>
      <w:r w:rsidRPr="00EE21A5">
        <w:rPr>
          <w:color w:val="7F7F7F" w:themeColor="text1" w:themeTint="80"/>
          <w:sz w:val="22"/>
          <w:szCs w:val="22"/>
        </w:rPr>
        <w:t xml:space="preserve">This homework investigates associations between death from any cause and age, sex, and serum bilirubin in a population of patients with primary biliary cirrhosis who were enrolled in a randomized clinical trial (RCT) of D-penicillamine. </w:t>
      </w:r>
    </w:p>
    <w:p w:rsidR="00EE21A5" w:rsidRPr="008B7C8F" w:rsidRDefault="00EE21A5" w:rsidP="00EE21A5">
      <w:pPr>
        <w:autoSpaceDE w:val="0"/>
        <w:autoSpaceDN w:val="0"/>
        <w:adjustRightInd w:val="0"/>
        <w:spacing w:after="120"/>
        <w:rPr>
          <w:color w:val="7F7F7F" w:themeColor="text1" w:themeTint="80"/>
          <w:sz w:val="22"/>
          <w:szCs w:val="22"/>
        </w:rPr>
      </w:pPr>
      <w:commentRangeStart w:id="2"/>
      <w:r w:rsidRPr="008B7C8F">
        <w:rPr>
          <w:color w:val="7F7F7F" w:themeColor="text1" w:themeTint="80"/>
          <w:sz w:val="22"/>
          <w:szCs w:val="22"/>
        </w:rPr>
        <w:t>1. Provide suitable descriptive statistics pertinent to the scientific questions addressed in this homework.</w:t>
      </w:r>
      <w:commentRangeEnd w:id="2"/>
      <w:r w:rsidR="00032658">
        <w:rPr>
          <w:rStyle w:val="CommentReference"/>
        </w:rPr>
        <w:commentReference w:id="2"/>
      </w:r>
    </w:p>
    <w:p w:rsidR="00EE21A5" w:rsidRDefault="008433A6" w:rsidP="00EE21A5">
      <w:pPr>
        <w:autoSpaceDE w:val="0"/>
        <w:autoSpaceDN w:val="0"/>
        <w:adjustRightInd w:val="0"/>
        <w:spacing w:after="120"/>
        <w:rPr>
          <w:sz w:val="22"/>
          <w:szCs w:val="22"/>
        </w:rPr>
      </w:pPr>
      <w:r>
        <w:rPr>
          <w:b/>
          <w:sz w:val="22"/>
          <w:szCs w:val="22"/>
          <w:u w:val="single"/>
        </w:rPr>
        <w:t>Method:</w:t>
      </w:r>
    </w:p>
    <w:p w:rsidR="00303700" w:rsidRDefault="00303700" w:rsidP="00EE21A5">
      <w:pPr>
        <w:autoSpaceDE w:val="0"/>
        <w:autoSpaceDN w:val="0"/>
        <w:adjustRightInd w:val="0"/>
        <w:spacing w:after="120"/>
        <w:rPr>
          <w:sz w:val="22"/>
          <w:szCs w:val="22"/>
        </w:rPr>
      </w:pPr>
      <w:r>
        <w:rPr>
          <w:sz w:val="22"/>
          <w:szCs w:val="22"/>
        </w:rPr>
        <w:t>As stated, the homework investigates associations between death from any cause and age, sex, and serum bilirubin level. Descriptive statistics were provided in different sets. Vital status were present for groups defined by serum bilirubin level, groups defined by age and groups defined by sex, separately. Descriptive statistics include total number of subjects and number of deaths in each groups, as well as other summaries based on Kaplan-Meier estimates. Additional descriptive statistics for the relationship between serum bilirubin level, age and sex were also provided, including total number of observations with no</w:t>
      </w:r>
      <w:r w:rsidR="00516921">
        <w:rPr>
          <w:sz w:val="22"/>
          <w:szCs w:val="22"/>
        </w:rPr>
        <w:t>n-missing data, percentage (</w:t>
      </w:r>
      <w:r>
        <w:rPr>
          <w:sz w:val="22"/>
          <w:szCs w:val="22"/>
        </w:rPr>
        <w:t>sex), mean, standard devia</w:t>
      </w:r>
      <w:r w:rsidR="00516921">
        <w:rPr>
          <w:sz w:val="22"/>
          <w:szCs w:val="22"/>
        </w:rPr>
        <w:t>tions, minimum and maximum (</w:t>
      </w:r>
      <w:r>
        <w:rPr>
          <w:sz w:val="22"/>
          <w:szCs w:val="22"/>
        </w:rPr>
        <w:t>age).</w:t>
      </w:r>
      <w:r w:rsidR="00516921">
        <w:rPr>
          <w:sz w:val="22"/>
          <w:szCs w:val="22"/>
        </w:rPr>
        <w:t xml:space="preserve"> </w:t>
      </w:r>
    </w:p>
    <w:p w:rsidR="008433A6" w:rsidRDefault="008433A6" w:rsidP="00EE21A5">
      <w:pPr>
        <w:autoSpaceDE w:val="0"/>
        <w:autoSpaceDN w:val="0"/>
        <w:adjustRightInd w:val="0"/>
        <w:spacing w:after="120"/>
        <w:rPr>
          <w:sz w:val="22"/>
          <w:szCs w:val="22"/>
        </w:rPr>
      </w:pPr>
      <w:r>
        <w:rPr>
          <w:b/>
          <w:sz w:val="22"/>
          <w:szCs w:val="22"/>
          <w:u w:val="single"/>
        </w:rPr>
        <w:t>Answer:</w:t>
      </w:r>
    </w:p>
    <w:p w:rsidR="00ED3DE8" w:rsidRDefault="00160155" w:rsidP="00EE21A5">
      <w:pPr>
        <w:autoSpaceDE w:val="0"/>
        <w:autoSpaceDN w:val="0"/>
        <w:adjustRightInd w:val="0"/>
        <w:spacing w:after="120"/>
        <w:rPr>
          <w:sz w:val="22"/>
          <w:szCs w:val="22"/>
        </w:rPr>
      </w:pPr>
      <w:r>
        <w:rPr>
          <w:sz w:val="22"/>
          <w:szCs w:val="22"/>
        </w:rPr>
        <w:t xml:space="preserve">The total number of observations in the dataset is 418. None of the observations was missing data on serum bilirubin level, sex, observed time and censoring status. 106 observations were missing data on sex, among which 36 died and 70 were censored by the end of the trial. </w:t>
      </w:r>
    </w:p>
    <w:p w:rsidR="00BD0106" w:rsidRDefault="00BD0106" w:rsidP="00EE21A5">
      <w:pPr>
        <w:autoSpaceDE w:val="0"/>
        <w:autoSpaceDN w:val="0"/>
        <w:adjustRightInd w:val="0"/>
        <w:spacing w:after="120"/>
        <w:rPr>
          <w:sz w:val="22"/>
          <w:szCs w:val="22"/>
        </w:rPr>
      </w:pPr>
      <w:r>
        <w:rPr>
          <w:sz w:val="22"/>
          <w:szCs w:val="22"/>
        </w:rPr>
        <w:t xml:space="preserve">Table 1a </w:t>
      </w:r>
      <w:r w:rsidR="00B6201B">
        <w:rPr>
          <w:sz w:val="22"/>
          <w:szCs w:val="22"/>
        </w:rPr>
        <w:t xml:space="preserve">presents </w:t>
      </w:r>
      <w:r w:rsidR="00B115F5">
        <w:rPr>
          <w:sz w:val="22"/>
          <w:szCs w:val="22"/>
        </w:rPr>
        <w:t>estimates of the survival estimates within groups defined</w:t>
      </w:r>
      <w:r w:rsidR="00B6201B">
        <w:rPr>
          <w:sz w:val="22"/>
          <w:szCs w:val="22"/>
        </w:rPr>
        <w:t xml:space="preserve"> by serum bilirubin level </w:t>
      </w:r>
      <w:r w:rsidR="00B115F5">
        <w:rPr>
          <w:sz w:val="22"/>
          <w:szCs w:val="22"/>
        </w:rPr>
        <w:t>and the entire sample. Those in the groups with higher serum bilirubin level tended to have lower survival probabilities, especially those with serum level of 4 mg/dl and above had the lowest survival probabilit</w:t>
      </w:r>
      <w:r w:rsidR="00DA3E14">
        <w:rPr>
          <w:sz w:val="22"/>
          <w:szCs w:val="22"/>
        </w:rPr>
        <w:t xml:space="preserve">ies. On an average of the first 6 years following study enrollment, those with serum level of </w:t>
      </w:r>
      <w:r w:rsidR="00E726F6">
        <w:rPr>
          <w:sz w:val="22"/>
          <w:szCs w:val="22"/>
        </w:rPr>
        <w:t xml:space="preserve">less than 1 mg/dl had a mean survival of 5.77 years while those with serum level of 4 mg/dl and above only had a mean survival of 3.15 years. Figure 1 presents the Kaplan-Meier estimates graphically for </w:t>
      </w:r>
      <w:r w:rsidR="00BB1698">
        <w:rPr>
          <w:sz w:val="22"/>
          <w:szCs w:val="22"/>
        </w:rPr>
        <w:t>the same 4 groups defined by serum bilirubin level</w:t>
      </w:r>
      <w:r w:rsidR="00E726F6">
        <w:rPr>
          <w:sz w:val="22"/>
          <w:szCs w:val="22"/>
        </w:rPr>
        <w:t>. Group with se</w:t>
      </w:r>
      <w:r w:rsidR="00BB1698">
        <w:rPr>
          <w:sz w:val="22"/>
          <w:szCs w:val="22"/>
        </w:rPr>
        <w:t>rum level lower than 1 mg/dl had</w:t>
      </w:r>
      <w:r w:rsidR="00E726F6">
        <w:rPr>
          <w:sz w:val="22"/>
          <w:szCs w:val="22"/>
        </w:rPr>
        <w:t xml:space="preserve"> a remarkably higher survival curve than other groups (no overlaps with any other groups).</w:t>
      </w:r>
    </w:p>
    <w:p w:rsidR="004E5357" w:rsidRDefault="004E5357" w:rsidP="00EE21A5">
      <w:pPr>
        <w:autoSpaceDE w:val="0"/>
        <w:autoSpaceDN w:val="0"/>
        <w:adjustRightInd w:val="0"/>
        <w:spacing w:after="120"/>
        <w:rPr>
          <w:sz w:val="22"/>
          <w:szCs w:val="22"/>
        </w:rPr>
      </w:pPr>
      <w:r>
        <w:rPr>
          <w:sz w:val="22"/>
          <w:szCs w:val="22"/>
        </w:rPr>
        <w:t xml:space="preserve">Table 1b presents the relationship between age, sex and serum bilirubin level. </w:t>
      </w:r>
      <w:r w:rsidR="00E9261B">
        <w:rPr>
          <w:sz w:val="22"/>
          <w:szCs w:val="22"/>
        </w:rPr>
        <w:t>The group with the lowest serum bilirubin level had the highest mean age, although the difference in the means of age were only very slightly. The other three groups defined by bilirubin level had very similar average age. Overall 88.5% of the sample excluding missing data on sex were female. The percentage of female were different from each other, with the group with lowest bilirubin level having the highest percentage of female.</w:t>
      </w:r>
    </w:p>
    <w:p w:rsidR="00E9261B" w:rsidRDefault="00481BD7" w:rsidP="00EE21A5">
      <w:pPr>
        <w:autoSpaceDE w:val="0"/>
        <w:autoSpaceDN w:val="0"/>
        <w:adjustRightInd w:val="0"/>
        <w:spacing w:after="120"/>
        <w:rPr>
          <w:sz w:val="22"/>
          <w:szCs w:val="22"/>
        </w:rPr>
      </w:pPr>
      <w:r>
        <w:rPr>
          <w:sz w:val="22"/>
          <w:szCs w:val="22"/>
        </w:rPr>
        <w:t xml:space="preserve">Table 1c presents estimates of the survival estimates within groups defined by age and the entire sample. Those in the youngest group tended to have much higher survival probabilities. However, the difference in mean survival within the first 6 years following study enrollment were not drastically different as in the case of </w:t>
      </w:r>
      <w:r w:rsidR="00D50FA9">
        <w:rPr>
          <w:sz w:val="22"/>
          <w:szCs w:val="22"/>
        </w:rPr>
        <w:t xml:space="preserve">table 1a. </w:t>
      </w:r>
      <w:r w:rsidR="00BB1698">
        <w:rPr>
          <w:sz w:val="22"/>
          <w:szCs w:val="22"/>
        </w:rPr>
        <w:t>Figure 2 presents the Kaplan-Meier estima</w:t>
      </w:r>
      <w:r w:rsidR="00794A70">
        <w:rPr>
          <w:sz w:val="22"/>
          <w:szCs w:val="22"/>
        </w:rPr>
        <w:t>tes graphically for the</w:t>
      </w:r>
      <w:r w:rsidR="00BB1698">
        <w:rPr>
          <w:sz w:val="22"/>
          <w:szCs w:val="22"/>
        </w:rPr>
        <w:t xml:space="preserve"> groups defined by age. The youngest group (less than 40 years old)</w:t>
      </w:r>
      <w:r w:rsidR="00794A70">
        <w:rPr>
          <w:sz w:val="22"/>
          <w:szCs w:val="22"/>
        </w:rPr>
        <w:t xml:space="preserve"> had the highest survival curve</w:t>
      </w:r>
      <w:r w:rsidR="00BB1698">
        <w:rPr>
          <w:sz w:val="22"/>
          <w:szCs w:val="22"/>
        </w:rPr>
        <w:t xml:space="preserve">, but over time this curve started overlapping with other curves. </w:t>
      </w:r>
    </w:p>
    <w:p w:rsidR="00F33BCF" w:rsidRDefault="0072339B" w:rsidP="00EE21A5">
      <w:pPr>
        <w:autoSpaceDE w:val="0"/>
        <w:autoSpaceDN w:val="0"/>
        <w:adjustRightInd w:val="0"/>
        <w:spacing w:after="120"/>
        <w:rPr>
          <w:sz w:val="22"/>
          <w:szCs w:val="22"/>
        </w:rPr>
      </w:pPr>
      <w:r>
        <w:rPr>
          <w:sz w:val="22"/>
          <w:szCs w:val="22"/>
        </w:rPr>
        <w:t>Table 1d presents estimates of the survival estimates within groups defined by sex and the entire sample. Female subjects tended to have much higher s</w:t>
      </w:r>
      <w:r w:rsidR="00794A70">
        <w:rPr>
          <w:sz w:val="22"/>
          <w:szCs w:val="22"/>
        </w:rPr>
        <w:t>urvival probabilities. That being said, the vast majority of the subjects were female</w:t>
      </w:r>
      <w:r>
        <w:rPr>
          <w:sz w:val="22"/>
          <w:szCs w:val="22"/>
        </w:rPr>
        <w:t xml:space="preserve">. </w:t>
      </w:r>
      <w:r w:rsidR="00794A70">
        <w:rPr>
          <w:sz w:val="22"/>
          <w:szCs w:val="22"/>
        </w:rPr>
        <w:t>Figure 3</w:t>
      </w:r>
      <w:r>
        <w:rPr>
          <w:sz w:val="22"/>
          <w:szCs w:val="22"/>
        </w:rPr>
        <w:t xml:space="preserve"> presents the Kaplan-Meier estimates graphically for </w:t>
      </w:r>
      <w:r w:rsidR="00794A70">
        <w:rPr>
          <w:sz w:val="22"/>
          <w:szCs w:val="22"/>
        </w:rPr>
        <w:t>groups defined by sex</w:t>
      </w:r>
      <w:r>
        <w:rPr>
          <w:sz w:val="22"/>
          <w:szCs w:val="22"/>
        </w:rPr>
        <w:t xml:space="preserve">. The </w:t>
      </w:r>
      <w:r w:rsidR="00794A70">
        <w:rPr>
          <w:sz w:val="22"/>
          <w:szCs w:val="22"/>
        </w:rPr>
        <w:t>female had the higher survival curve and over time did not overlap with the male survival curve.</w:t>
      </w:r>
    </w:p>
    <w:p w:rsidR="00516921" w:rsidRDefault="00516921" w:rsidP="00EE21A5">
      <w:pPr>
        <w:autoSpaceDE w:val="0"/>
        <w:autoSpaceDN w:val="0"/>
        <w:adjustRightInd w:val="0"/>
        <w:spacing w:after="120"/>
        <w:rPr>
          <w:sz w:val="22"/>
          <w:szCs w:val="22"/>
        </w:rPr>
      </w:pPr>
    </w:p>
    <w:p w:rsidR="00F33BCF" w:rsidRPr="003E502F" w:rsidRDefault="00F33BCF" w:rsidP="00F33BCF">
      <w:pPr>
        <w:autoSpaceDE w:val="0"/>
        <w:autoSpaceDN w:val="0"/>
        <w:adjustRightInd w:val="0"/>
        <w:jc w:val="center"/>
        <w:rPr>
          <w:b/>
          <w:sz w:val="22"/>
          <w:szCs w:val="22"/>
        </w:rPr>
      </w:pPr>
      <w:r w:rsidRPr="003E502F">
        <w:rPr>
          <w:b/>
          <w:sz w:val="22"/>
          <w:szCs w:val="22"/>
        </w:rPr>
        <w:t>Table 1</w:t>
      </w:r>
      <w:r>
        <w:rPr>
          <w:b/>
          <w:sz w:val="22"/>
          <w:szCs w:val="22"/>
        </w:rPr>
        <w:t>a</w:t>
      </w:r>
      <w:r w:rsidRPr="003E502F">
        <w:rPr>
          <w:b/>
          <w:sz w:val="22"/>
          <w:szCs w:val="22"/>
        </w:rPr>
        <w:t xml:space="preserve">. Descriptive Statistics of Vital Status by </w:t>
      </w:r>
      <w:r>
        <w:rPr>
          <w:b/>
          <w:sz w:val="22"/>
          <w:szCs w:val="22"/>
        </w:rPr>
        <w:t>Serum Bilirubin Level</w:t>
      </w:r>
    </w:p>
    <w:tbl>
      <w:tblPr>
        <w:tblStyle w:val="TableGrid"/>
        <w:tblW w:w="10350" w:type="dxa"/>
        <w:tblInd w:w="-635" w:type="dxa"/>
        <w:tblLook w:val="04A0" w:firstRow="1" w:lastRow="0" w:firstColumn="1" w:lastColumn="0" w:noHBand="0" w:noVBand="1"/>
      </w:tblPr>
      <w:tblGrid>
        <w:gridCol w:w="2430"/>
        <w:gridCol w:w="1584"/>
        <w:gridCol w:w="1584"/>
        <w:gridCol w:w="1584"/>
        <w:gridCol w:w="1584"/>
        <w:gridCol w:w="1584"/>
      </w:tblGrid>
      <w:tr w:rsidR="00F33BCF" w:rsidTr="006D4F2B">
        <w:trPr>
          <w:trHeight w:val="360"/>
        </w:trPr>
        <w:tc>
          <w:tcPr>
            <w:tcW w:w="2430" w:type="dxa"/>
            <w:vMerge w:val="restart"/>
            <w:vAlign w:val="center"/>
          </w:tcPr>
          <w:p w:rsidR="00F33BCF" w:rsidRDefault="00F33BCF" w:rsidP="006D4F2B">
            <w:pPr>
              <w:autoSpaceDE w:val="0"/>
              <w:autoSpaceDN w:val="0"/>
              <w:adjustRightInd w:val="0"/>
              <w:rPr>
                <w:sz w:val="22"/>
                <w:szCs w:val="22"/>
              </w:rPr>
            </w:pPr>
          </w:p>
        </w:tc>
        <w:tc>
          <w:tcPr>
            <w:tcW w:w="7920" w:type="dxa"/>
            <w:gridSpan w:val="5"/>
            <w:vAlign w:val="center"/>
          </w:tcPr>
          <w:p w:rsidR="00F33BCF" w:rsidRPr="00D213B1" w:rsidRDefault="00F33BCF" w:rsidP="006D4F2B">
            <w:pPr>
              <w:autoSpaceDE w:val="0"/>
              <w:autoSpaceDN w:val="0"/>
              <w:adjustRightInd w:val="0"/>
              <w:jc w:val="center"/>
              <w:rPr>
                <w:b/>
                <w:sz w:val="22"/>
                <w:szCs w:val="22"/>
                <w:vertAlign w:val="superscript"/>
              </w:rPr>
            </w:pPr>
            <w:r>
              <w:rPr>
                <w:b/>
                <w:sz w:val="22"/>
                <w:szCs w:val="22"/>
              </w:rPr>
              <w:t>Serum Bilirubin Level (mg/dl)</w:t>
            </w:r>
          </w:p>
        </w:tc>
      </w:tr>
      <w:tr w:rsidR="00F33BCF" w:rsidTr="006D4F2B">
        <w:trPr>
          <w:trHeight w:val="360"/>
        </w:trPr>
        <w:tc>
          <w:tcPr>
            <w:tcW w:w="2430" w:type="dxa"/>
            <w:vMerge/>
            <w:tcBorders>
              <w:bottom w:val="single" w:sz="4" w:space="0" w:color="auto"/>
            </w:tcBorders>
            <w:vAlign w:val="center"/>
          </w:tcPr>
          <w:p w:rsidR="00F33BCF" w:rsidRDefault="00F33BCF" w:rsidP="006D4F2B">
            <w:pPr>
              <w:autoSpaceDE w:val="0"/>
              <w:autoSpaceDN w:val="0"/>
              <w:adjustRightInd w:val="0"/>
              <w:rPr>
                <w:sz w:val="22"/>
                <w:szCs w:val="22"/>
              </w:rPr>
            </w:pPr>
          </w:p>
        </w:tc>
        <w:tc>
          <w:tcPr>
            <w:tcW w:w="1584" w:type="dxa"/>
            <w:tcBorders>
              <w:bottom w:val="single" w:sz="4" w:space="0" w:color="auto"/>
            </w:tcBorders>
            <w:vAlign w:val="center"/>
          </w:tcPr>
          <w:p w:rsidR="00F33BCF" w:rsidRPr="00D213B1" w:rsidRDefault="00F33BCF" w:rsidP="006D4F2B">
            <w:pPr>
              <w:autoSpaceDE w:val="0"/>
              <w:autoSpaceDN w:val="0"/>
              <w:adjustRightInd w:val="0"/>
              <w:jc w:val="center"/>
              <w:rPr>
                <w:b/>
                <w:sz w:val="22"/>
                <w:szCs w:val="22"/>
              </w:rPr>
            </w:pPr>
            <w:r>
              <w:rPr>
                <w:b/>
                <w:sz w:val="22"/>
                <w:szCs w:val="22"/>
              </w:rPr>
              <w:t>Level</w:t>
            </w:r>
            <w:r w:rsidRPr="00D213B1">
              <w:rPr>
                <w:b/>
                <w:sz w:val="22"/>
                <w:szCs w:val="22"/>
              </w:rPr>
              <w:t xml:space="preserve"> </w:t>
            </w:r>
            <w:r w:rsidR="00DA3E14">
              <w:rPr>
                <w:b/>
                <w:sz w:val="22"/>
                <w:szCs w:val="22"/>
              </w:rPr>
              <w:t>&lt;</w:t>
            </w:r>
            <w:r>
              <w:rPr>
                <w:b/>
                <w:sz w:val="22"/>
                <w:szCs w:val="22"/>
              </w:rPr>
              <w:t xml:space="preserve"> 1</w:t>
            </w:r>
          </w:p>
        </w:tc>
        <w:tc>
          <w:tcPr>
            <w:tcW w:w="1584" w:type="dxa"/>
            <w:tcBorders>
              <w:bottom w:val="single" w:sz="4" w:space="0" w:color="auto"/>
            </w:tcBorders>
            <w:vAlign w:val="center"/>
          </w:tcPr>
          <w:p w:rsidR="00F33BCF" w:rsidRPr="00D213B1" w:rsidRDefault="00F33BCF" w:rsidP="006D4F2B">
            <w:pPr>
              <w:autoSpaceDE w:val="0"/>
              <w:autoSpaceDN w:val="0"/>
              <w:adjustRightInd w:val="0"/>
              <w:jc w:val="center"/>
              <w:rPr>
                <w:b/>
                <w:sz w:val="22"/>
                <w:szCs w:val="22"/>
              </w:rPr>
            </w:pPr>
            <w:r>
              <w:rPr>
                <w:b/>
                <w:sz w:val="22"/>
                <w:szCs w:val="22"/>
              </w:rPr>
              <w:t>1</w:t>
            </w:r>
            <w:r w:rsidRPr="00D213B1">
              <w:rPr>
                <w:b/>
                <w:sz w:val="22"/>
                <w:szCs w:val="22"/>
              </w:rPr>
              <w:t xml:space="preserve"> ≤</w:t>
            </w:r>
            <w:r>
              <w:rPr>
                <w:b/>
                <w:sz w:val="22"/>
                <w:szCs w:val="22"/>
              </w:rPr>
              <w:t xml:space="preserve"> Level</w:t>
            </w:r>
            <w:r w:rsidRPr="00D213B1">
              <w:rPr>
                <w:b/>
                <w:sz w:val="22"/>
                <w:szCs w:val="22"/>
              </w:rPr>
              <w:t xml:space="preserve"> &lt; </w:t>
            </w:r>
            <w:r>
              <w:rPr>
                <w:b/>
                <w:sz w:val="22"/>
                <w:szCs w:val="22"/>
              </w:rPr>
              <w:t>2</w:t>
            </w:r>
          </w:p>
        </w:tc>
        <w:tc>
          <w:tcPr>
            <w:tcW w:w="1584" w:type="dxa"/>
            <w:tcBorders>
              <w:bottom w:val="single" w:sz="4" w:space="0" w:color="auto"/>
            </w:tcBorders>
            <w:vAlign w:val="center"/>
          </w:tcPr>
          <w:p w:rsidR="00F33BCF" w:rsidRPr="00D213B1" w:rsidRDefault="00F33BCF" w:rsidP="006D4F2B">
            <w:pPr>
              <w:autoSpaceDE w:val="0"/>
              <w:autoSpaceDN w:val="0"/>
              <w:adjustRightInd w:val="0"/>
              <w:jc w:val="center"/>
              <w:rPr>
                <w:b/>
                <w:sz w:val="22"/>
                <w:szCs w:val="22"/>
              </w:rPr>
            </w:pPr>
            <w:r>
              <w:rPr>
                <w:b/>
                <w:sz w:val="22"/>
                <w:szCs w:val="22"/>
              </w:rPr>
              <w:t>2</w:t>
            </w:r>
            <w:r w:rsidRPr="00D213B1">
              <w:rPr>
                <w:b/>
                <w:sz w:val="22"/>
                <w:szCs w:val="22"/>
              </w:rPr>
              <w:t xml:space="preserve"> ≤</w:t>
            </w:r>
            <w:r>
              <w:rPr>
                <w:b/>
                <w:sz w:val="22"/>
                <w:szCs w:val="22"/>
              </w:rPr>
              <w:t xml:space="preserve"> Level</w:t>
            </w:r>
            <w:r w:rsidRPr="00D213B1">
              <w:rPr>
                <w:b/>
                <w:sz w:val="22"/>
                <w:szCs w:val="22"/>
              </w:rPr>
              <w:t xml:space="preserve"> &lt; </w:t>
            </w:r>
            <w:r>
              <w:rPr>
                <w:b/>
                <w:sz w:val="22"/>
                <w:szCs w:val="22"/>
              </w:rPr>
              <w:t>4</w:t>
            </w:r>
          </w:p>
        </w:tc>
        <w:tc>
          <w:tcPr>
            <w:tcW w:w="1584" w:type="dxa"/>
            <w:tcBorders>
              <w:bottom w:val="single" w:sz="4" w:space="0" w:color="auto"/>
            </w:tcBorders>
            <w:vAlign w:val="center"/>
          </w:tcPr>
          <w:p w:rsidR="00F33BCF" w:rsidRPr="00D213B1" w:rsidRDefault="00F33BCF" w:rsidP="006D4F2B">
            <w:pPr>
              <w:autoSpaceDE w:val="0"/>
              <w:autoSpaceDN w:val="0"/>
              <w:adjustRightInd w:val="0"/>
              <w:jc w:val="center"/>
              <w:rPr>
                <w:b/>
                <w:sz w:val="22"/>
                <w:szCs w:val="22"/>
              </w:rPr>
            </w:pPr>
            <w:r>
              <w:rPr>
                <w:b/>
                <w:sz w:val="22"/>
                <w:szCs w:val="22"/>
              </w:rPr>
              <w:t>Level</w:t>
            </w:r>
            <w:r w:rsidRPr="00D213B1">
              <w:rPr>
                <w:b/>
                <w:sz w:val="22"/>
                <w:szCs w:val="22"/>
              </w:rPr>
              <w:t xml:space="preserve"> ≥</w:t>
            </w:r>
            <w:r>
              <w:rPr>
                <w:b/>
                <w:sz w:val="22"/>
                <w:szCs w:val="22"/>
              </w:rPr>
              <w:t xml:space="preserve"> 4</w:t>
            </w:r>
          </w:p>
        </w:tc>
        <w:tc>
          <w:tcPr>
            <w:tcW w:w="1584" w:type="dxa"/>
            <w:tcBorders>
              <w:bottom w:val="single" w:sz="4" w:space="0" w:color="auto"/>
            </w:tcBorders>
            <w:vAlign w:val="center"/>
          </w:tcPr>
          <w:p w:rsidR="00F33BCF" w:rsidRPr="00D213B1" w:rsidRDefault="00F33BCF" w:rsidP="00F33BCF">
            <w:pPr>
              <w:autoSpaceDE w:val="0"/>
              <w:autoSpaceDN w:val="0"/>
              <w:adjustRightInd w:val="0"/>
              <w:jc w:val="center"/>
              <w:rPr>
                <w:b/>
                <w:sz w:val="22"/>
                <w:szCs w:val="22"/>
              </w:rPr>
            </w:pPr>
            <w:r w:rsidRPr="00D213B1">
              <w:rPr>
                <w:b/>
                <w:sz w:val="22"/>
                <w:szCs w:val="22"/>
              </w:rPr>
              <w:t xml:space="preserve">All </w:t>
            </w:r>
            <w:r>
              <w:rPr>
                <w:b/>
                <w:sz w:val="22"/>
                <w:szCs w:val="22"/>
              </w:rPr>
              <w:t>levels</w:t>
            </w:r>
          </w:p>
        </w:tc>
      </w:tr>
      <w:tr w:rsidR="00CB4CE2" w:rsidTr="006D4F2B">
        <w:trPr>
          <w:trHeight w:val="360"/>
        </w:trPr>
        <w:tc>
          <w:tcPr>
            <w:tcW w:w="2430" w:type="dxa"/>
            <w:tcBorders>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N subjects</w:t>
            </w:r>
            <w:r w:rsidRPr="00D213B1">
              <w:rPr>
                <w:b/>
                <w:sz w:val="22"/>
                <w:szCs w:val="22"/>
                <w:vertAlign w:val="superscript"/>
              </w:rPr>
              <w:t>[1]</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142</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107</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78</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91</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418</w:t>
            </w:r>
          </w:p>
        </w:tc>
      </w:tr>
      <w:tr w:rsidR="00CB4CE2" w:rsidTr="006D4F2B">
        <w:trPr>
          <w:trHeight w:val="360"/>
        </w:trPr>
        <w:tc>
          <w:tcPr>
            <w:tcW w:w="2430" w:type="dxa"/>
            <w:tcBorders>
              <w:top w:val="nil"/>
              <w:bottom w:val="single" w:sz="4" w:space="0" w:color="auto"/>
            </w:tcBorders>
            <w:vAlign w:val="center"/>
          </w:tcPr>
          <w:p w:rsidR="00CB4CE2" w:rsidRPr="00D213B1" w:rsidRDefault="00CB4CE2" w:rsidP="00CB4CE2">
            <w:pPr>
              <w:autoSpaceDE w:val="0"/>
              <w:autoSpaceDN w:val="0"/>
              <w:adjustRightInd w:val="0"/>
              <w:rPr>
                <w:b/>
                <w:sz w:val="22"/>
                <w:szCs w:val="22"/>
              </w:rPr>
            </w:pPr>
            <w:r w:rsidRPr="00D213B1">
              <w:rPr>
                <w:b/>
                <w:sz w:val="22"/>
                <w:szCs w:val="22"/>
              </w:rPr>
              <w:t>N deaths</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20</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30</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44</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67</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161</w:t>
            </w:r>
          </w:p>
        </w:tc>
      </w:tr>
      <w:tr w:rsidR="00CB4CE2" w:rsidTr="006D4F2B">
        <w:trPr>
          <w:trHeight w:val="360"/>
        </w:trPr>
        <w:tc>
          <w:tcPr>
            <w:tcW w:w="2430" w:type="dxa"/>
            <w:tcBorders>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Survival at 1 year</w:t>
            </w:r>
          </w:p>
        </w:tc>
        <w:tc>
          <w:tcPr>
            <w:tcW w:w="1584" w:type="dxa"/>
            <w:tcBorders>
              <w:bottom w:val="nil"/>
            </w:tcBorders>
            <w:vAlign w:val="center"/>
          </w:tcPr>
          <w:p w:rsidR="00CB4CE2" w:rsidRDefault="00FC06EB" w:rsidP="00CB4CE2">
            <w:pPr>
              <w:autoSpaceDE w:val="0"/>
              <w:autoSpaceDN w:val="0"/>
              <w:adjustRightInd w:val="0"/>
              <w:jc w:val="center"/>
              <w:rPr>
                <w:sz w:val="22"/>
                <w:szCs w:val="22"/>
              </w:rPr>
            </w:pPr>
            <w:r>
              <w:rPr>
                <w:sz w:val="22"/>
                <w:szCs w:val="22"/>
              </w:rPr>
              <w:t>99.3%</w:t>
            </w:r>
          </w:p>
        </w:tc>
        <w:tc>
          <w:tcPr>
            <w:tcW w:w="1584" w:type="dxa"/>
            <w:tcBorders>
              <w:bottom w:val="nil"/>
            </w:tcBorders>
            <w:vAlign w:val="center"/>
          </w:tcPr>
          <w:p w:rsidR="00CB4CE2" w:rsidRDefault="00FC06EB" w:rsidP="00CB4CE2">
            <w:pPr>
              <w:autoSpaceDE w:val="0"/>
              <w:autoSpaceDN w:val="0"/>
              <w:adjustRightInd w:val="0"/>
              <w:jc w:val="center"/>
              <w:rPr>
                <w:sz w:val="22"/>
                <w:szCs w:val="22"/>
              </w:rPr>
            </w:pPr>
            <w:r>
              <w:rPr>
                <w:sz w:val="22"/>
                <w:szCs w:val="22"/>
              </w:rPr>
              <w:t>96.3%</w:t>
            </w:r>
          </w:p>
        </w:tc>
        <w:tc>
          <w:tcPr>
            <w:tcW w:w="1584" w:type="dxa"/>
            <w:tcBorders>
              <w:bottom w:val="nil"/>
            </w:tcBorders>
            <w:vAlign w:val="center"/>
          </w:tcPr>
          <w:p w:rsidR="00CB4CE2" w:rsidRDefault="00F401FC" w:rsidP="00CB4CE2">
            <w:pPr>
              <w:autoSpaceDE w:val="0"/>
              <w:autoSpaceDN w:val="0"/>
              <w:adjustRightInd w:val="0"/>
              <w:jc w:val="center"/>
              <w:rPr>
                <w:sz w:val="22"/>
                <w:szCs w:val="22"/>
              </w:rPr>
            </w:pPr>
            <w:r>
              <w:rPr>
                <w:sz w:val="22"/>
                <w:szCs w:val="22"/>
              </w:rPr>
              <w:t>91.0%</w:t>
            </w:r>
          </w:p>
        </w:tc>
        <w:tc>
          <w:tcPr>
            <w:tcW w:w="1584" w:type="dxa"/>
            <w:tcBorders>
              <w:bottom w:val="nil"/>
            </w:tcBorders>
            <w:vAlign w:val="center"/>
          </w:tcPr>
          <w:p w:rsidR="00CB4CE2" w:rsidRDefault="0089652D" w:rsidP="00CB4CE2">
            <w:pPr>
              <w:autoSpaceDE w:val="0"/>
              <w:autoSpaceDN w:val="0"/>
              <w:adjustRightInd w:val="0"/>
              <w:jc w:val="center"/>
              <w:rPr>
                <w:sz w:val="22"/>
                <w:szCs w:val="22"/>
              </w:rPr>
            </w:pPr>
            <w:r>
              <w:rPr>
                <w:sz w:val="22"/>
                <w:szCs w:val="22"/>
              </w:rPr>
              <w:t>79.12%</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92.8%</w:t>
            </w:r>
          </w:p>
        </w:tc>
      </w:tr>
      <w:tr w:rsidR="00CB4CE2" w:rsidTr="006D4F2B">
        <w:trPr>
          <w:trHeight w:val="360"/>
        </w:trPr>
        <w:tc>
          <w:tcPr>
            <w:tcW w:w="2430" w:type="dxa"/>
            <w:tcBorders>
              <w:top w:val="nil"/>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Survival at 2 years</w:t>
            </w:r>
          </w:p>
        </w:tc>
        <w:tc>
          <w:tcPr>
            <w:tcW w:w="1584" w:type="dxa"/>
            <w:tcBorders>
              <w:top w:val="nil"/>
              <w:bottom w:val="nil"/>
            </w:tcBorders>
            <w:vAlign w:val="center"/>
          </w:tcPr>
          <w:p w:rsidR="00CB4CE2" w:rsidRDefault="00FC06EB" w:rsidP="00CB4CE2">
            <w:pPr>
              <w:autoSpaceDE w:val="0"/>
              <w:autoSpaceDN w:val="0"/>
              <w:adjustRightInd w:val="0"/>
              <w:jc w:val="center"/>
              <w:rPr>
                <w:sz w:val="22"/>
                <w:szCs w:val="22"/>
              </w:rPr>
            </w:pPr>
            <w:r>
              <w:rPr>
                <w:sz w:val="22"/>
                <w:szCs w:val="22"/>
              </w:rPr>
              <w:t>96.5%</w:t>
            </w:r>
          </w:p>
        </w:tc>
        <w:tc>
          <w:tcPr>
            <w:tcW w:w="1584" w:type="dxa"/>
            <w:tcBorders>
              <w:top w:val="nil"/>
              <w:bottom w:val="nil"/>
            </w:tcBorders>
            <w:vAlign w:val="center"/>
          </w:tcPr>
          <w:p w:rsidR="00CB4CE2" w:rsidRDefault="00FC06EB" w:rsidP="00CB4CE2">
            <w:pPr>
              <w:autoSpaceDE w:val="0"/>
              <w:autoSpaceDN w:val="0"/>
              <w:adjustRightInd w:val="0"/>
              <w:jc w:val="center"/>
              <w:rPr>
                <w:sz w:val="22"/>
                <w:szCs w:val="22"/>
              </w:rPr>
            </w:pPr>
            <w:r>
              <w:rPr>
                <w:sz w:val="22"/>
                <w:szCs w:val="22"/>
              </w:rPr>
              <w:t>95.3%</w:t>
            </w:r>
          </w:p>
        </w:tc>
        <w:tc>
          <w:tcPr>
            <w:tcW w:w="1584" w:type="dxa"/>
            <w:tcBorders>
              <w:top w:val="nil"/>
              <w:bottom w:val="nil"/>
            </w:tcBorders>
            <w:vAlign w:val="center"/>
          </w:tcPr>
          <w:p w:rsidR="00CB4CE2" w:rsidRDefault="00F401FC" w:rsidP="00CB4CE2">
            <w:pPr>
              <w:autoSpaceDE w:val="0"/>
              <w:autoSpaceDN w:val="0"/>
              <w:adjustRightInd w:val="0"/>
              <w:jc w:val="center"/>
              <w:rPr>
                <w:sz w:val="22"/>
                <w:szCs w:val="22"/>
              </w:rPr>
            </w:pPr>
            <w:r>
              <w:rPr>
                <w:sz w:val="22"/>
                <w:szCs w:val="22"/>
              </w:rPr>
              <w:t>84.6%</w:t>
            </w:r>
          </w:p>
        </w:tc>
        <w:tc>
          <w:tcPr>
            <w:tcW w:w="1584" w:type="dxa"/>
            <w:tcBorders>
              <w:top w:val="nil"/>
              <w:bottom w:val="nil"/>
            </w:tcBorders>
            <w:vAlign w:val="center"/>
          </w:tcPr>
          <w:p w:rsidR="00CB4CE2" w:rsidRDefault="00AA32F9" w:rsidP="00CB4CE2">
            <w:pPr>
              <w:autoSpaceDE w:val="0"/>
              <w:autoSpaceDN w:val="0"/>
              <w:adjustRightInd w:val="0"/>
              <w:jc w:val="center"/>
              <w:rPr>
                <w:sz w:val="22"/>
                <w:szCs w:val="22"/>
              </w:rPr>
            </w:pPr>
            <w:r>
              <w:rPr>
                <w:sz w:val="22"/>
                <w:szCs w:val="22"/>
              </w:rPr>
              <w:t>69.18%</w:t>
            </w:r>
          </w:p>
        </w:tc>
        <w:tc>
          <w:tcPr>
            <w:tcW w:w="1584" w:type="dxa"/>
            <w:tcBorders>
              <w:top w:val="nil"/>
              <w:bottom w:val="nil"/>
            </w:tcBorders>
            <w:vAlign w:val="center"/>
          </w:tcPr>
          <w:p w:rsidR="00CB4CE2" w:rsidRDefault="00CB4CE2" w:rsidP="00CB4CE2">
            <w:pPr>
              <w:autoSpaceDE w:val="0"/>
              <w:autoSpaceDN w:val="0"/>
              <w:adjustRightInd w:val="0"/>
              <w:jc w:val="center"/>
              <w:rPr>
                <w:sz w:val="22"/>
                <w:szCs w:val="22"/>
              </w:rPr>
            </w:pPr>
            <w:r>
              <w:rPr>
                <w:sz w:val="22"/>
                <w:szCs w:val="22"/>
              </w:rPr>
              <w:t>88.8%</w:t>
            </w:r>
          </w:p>
        </w:tc>
      </w:tr>
      <w:tr w:rsidR="00CB4CE2" w:rsidTr="006D4F2B">
        <w:trPr>
          <w:trHeight w:val="360"/>
        </w:trPr>
        <w:tc>
          <w:tcPr>
            <w:tcW w:w="2430" w:type="dxa"/>
            <w:tcBorders>
              <w:top w:val="nil"/>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Survival at 5 years</w:t>
            </w:r>
          </w:p>
        </w:tc>
        <w:tc>
          <w:tcPr>
            <w:tcW w:w="1584" w:type="dxa"/>
            <w:tcBorders>
              <w:top w:val="nil"/>
              <w:bottom w:val="nil"/>
            </w:tcBorders>
            <w:vAlign w:val="center"/>
          </w:tcPr>
          <w:p w:rsidR="00CB4CE2" w:rsidRDefault="00FC06EB" w:rsidP="00CB4CE2">
            <w:pPr>
              <w:autoSpaceDE w:val="0"/>
              <w:autoSpaceDN w:val="0"/>
              <w:adjustRightInd w:val="0"/>
              <w:jc w:val="center"/>
              <w:rPr>
                <w:sz w:val="22"/>
                <w:szCs w:val="22"/>
              </w:rPr>
            </w:pPr>
            <w:r>
              <w:rPr>
                <w:sz w:val="22"/>
                <w:szCs w:val="22"/>
              </w:rPr>
              <w:t>93.1%</w:t>
            </w:r>
          </w:p>
        </w:tc>
        <w:tc>
          <w:tcPr>
            <w:tcW w:w="1584" w:type="dxa"/>
            <w:tcBorders>
              <w:top w:val="nil"/>
              <w:bottom w:val="nil"/>
            </w:tcBorders>
            <w:vAlign w:val="center"/>
          </w:tcPr>
          <w:p w:rsidR="00CB4CE2" w:rsidRDefault="00FC06EB" w:rsidP="00CB4CE2">
            <w:pPr>
              <w:autoSpaceDE w:val="0"/>
              <w:autoSpaceDN w:val="0"/>
              <w:adjustRightInd w:val="0"/>
              <w:jc w:val="center"/>
              <w:rPr>
                <w:sz w:val="22"/>
                <w:szCs w:val="22"/>
              </w:rPr>
            </w:pPr>
            <w:r>
              <w:rPr>
                <w:sz w:val="22"/>
                <w:szCs w:val="22"/>
              </w:rPr>
              <w:t>87.1%</w:t>
            </w:r>
          </w:p>
        </w:tc>
        <w:tc>
          <w:tcPr>
            <w:tcW w:w="1584" w:type="dxa"/>
            <w:tcBorders>
              <w:top w:val="nil"/>
              <w:bottom w:val="nil"/>
            </w:tcBorders>
            <w:vAlign w:val="center"/>
          </w:tcPr>
          <w:p w:rsidR="00CB4CE2" w:rsidRDefault="00F401FC" w:rsidP="00CB4CE2">
            <w:pPr>
              <w:autoSpaceDE w:val="0"/>
              <w:autoSpaceDN w:val="0"/>
              <w:adjustRightInd w:val="0"/>
              <w:jc w:val="center"/>
              <w:rPr>
                <w:sz w:val="22"/>
                <w:szCs w:val="22"/>
              </w:rPr>
            </w:pPr>
            <w:r>
              <w:rPr>
                <w:sz w:val="22"/>
                <w:szCs w:val="22"/>
              </w:rPr>
              <w:t>52.5%</w:t>
            </w:r>
          </w:p>
        </w:tc>
        <w:tc>
          <w:tcPr>
            <w:tcW w:w="1584" w:type="dxa"/>
            <w:tcBorders>
              <w:top w:val="nil"/>
              <w:bottom w:val="nil"/>
            </w:tcBorders>
            <w:vAlign w:val="center"/>
          </w:tcPr>
          <w:p w:rsidR="00CB4CE2" w:rsidRDefault="00AA32F9" w:rsidP="00CB4CE2">
            <w:pPr>
              <w:autoSpaceDE w:val="0"/>
              <w:autoSpaceDN w:val="0"/>
              <w:adjustRightInd w:val="0"/>
              <w:jc w:val="center"/>
              <w:rPr>
                <w:sz w:val="22"/>
                <w:szCs w:val="22"/>
              </w:rPr>
            </w:pPr>
            <w:r>
              <w:rPr>
                <w:sz w:val="22"/>
                <w:szCs w:val="22"/>
              </w:rPr>
              <w:t>24.77%</w:t>
            </w:r>
          </w:p>
        </w:tc>
        <w:tc>
          <w:tcPr>
            <w:tcW w:w="1584" w:type="dxa"/>
            <w:tcBorders>
              <w:top w:val="nil"/>
              <w:bottom w:val="nil"/>
            </w:tcBorders>
            <w:vAlign w:val="center"/>
          </w:tcPr>
          <w:p w:rsidR="00CB4CE2" w:rsidRDefault="00CB4CE2" w:rsidP="00CB4CE2">
            <w:pPr>
              <w:autoSpaceDE w:val="0"/>
              <w:autoSpaceDN w:val="0"/>
              <w:adjustRightInd w:val="0"/>
              <w:jc w:val="center"/>
              <w:rPr>
                <w:sz w:val="22"/>
                <w:szCs w:val="22"/>
              </w:rPr>
            </w:pPr>
            <w:r>
              <w:rPr>
                <w:sz w:val="22"/>
                <w:szCs w:val="22"/>
              </w:rPr>
              <w:t>69.9%</w:t>
            </w:r>
          </w:p>
        </w:tc>
      </w:tr>
      <w:tr w:rsidR="00CB4CE2" w:rsidTr="006D4F2B">
        <w:trPr>
          <w:trHeight w:val="360"/>
        </w:trPr>
        <w:tc>
          <w:tcPr>
            <w:tcW w:w="2430" w:type="dxa"/>
            <w:tcBorders>
              <w:top w:val="nil"/>
              <w:bottom w:val="single" w:sz="4" w:space="0" w:color="auto"/>
            </w:tcBorders>
            <w:vAlign w:val="center"/>
          </w:tcPr>
          <w:p w:rsidR="00CB4CE2" w:rsidRPr="00D213B1" w:rsidRDefault="00CB4CE2" w:rsidP="00CB4CE2">
            <w:pPr>
              <w:autoSpaceDE w:val="0"/>
              <w:autoSpaceDN w:val="0"/>
              <w:adjustRightInd w:val="0"/>
              <w:rPr>
                <w:b/>
                <w:sz w:val="22"/>
                <w:szCs w:val="22"/>
              </w:rPr>
            </w:pPr>
            <w:r w:rsidRPr="00D213B1">
              <w:rPr>
                <w:b/>
                <w:sz w:val="22"/>
                <w:szCs w:val="22"/>
              </w:rPr>
              <w:t>Survival at 10 years</w:t>
            </w:r>
          </w:p>
        </w:tc>
        <w:tc>
          <w:tcPr>
            <w:tcW w:w="1584" w:type="dxa"/>
            <w:tcBorders>
              <w:top w:val="nil"/>
              <w:bottom w:val="single" w:sz="4" w:space="0" w:color="auto"/>
            </w:tcBorders>
            <w:vAlign w:val="center"/>
          </w:tcPr>
          <w:p w:rsidR="00CB4CE2" w:rsidRDefault="00FC06EB" w:rsidP="00CB4CE2">
            <w:pPr>
              <w:autoSpaceDE w:val="0"/>
              <w:autoSpaceDN w:val="0"/>
              <w:adjustRightInd w:val="0"/>
              <w:jc w:val="center"/>
              <w:rPr>
                <w:sz w:val="22"/>
                <w:szCs w:val="22"/>
              </w:rPr>
            </w:pPr>
            <w:r>
              <w:rPr>
                <w:sz w:val="22"/>
                <w:szCs w:val="22"/>
              </w:rPr>
              <w:t>76.3%</w:t>
            </w:r>
          </w:p>
        </w:tc>
        <w:tc>
          <w:tcPr>
            <w:tcW w:w="1584" w:type="dxa"/>
            <w:tcBorders>
              <w:top w:val="nil"/>
              <w:bottom w:val="single" w:sz="4" w:space="0" w:color="auto"/>
            </w:tcBorders>
            <w:vAlign w:val="center"/>
          </w:tcPr>
          <w:p w:rsidR="00CB4CE2" w:rsidRDefault="00FC06EB" w:rsidP="00CB4CE2">
            <w:pPr>
              <w:autoSpaceDE w:val="0"/>
              <w:autoSpaceDN w:val="0"/>
              <w:adjustRightInd w:val="0"/>
              <w:jc w:val="center"/>
              <w:rPr>
                <w:sz w:val="22"/>
                <w:szCs w:val="22"/>
              </w:rPr>
            </w:pPr>
            <w:r>
              <w:rPr>
                <w:sz w:val="22"/>
                <w:szCs w:val="22"/>
              </w:rPr>
              <w:t>53.9%</w:t>
            </w:r>
          </w:p>
        </w:tc>
        <w:tc>
          <w:tcPr>
            <w:tcW w:w="1584" w:type="dxa"/>
            <w:tcBorders>
              <w:top w:val="nil"/>
              <w:bottom w:val="single" w:sz="4" w:space="0" w:color="auto"/>
            </w:tcBorders>
            <w:vAlign w:val="center"/>
          </w:tcPr>
          <w:p w:rsidR="00CB4CE2" w:rsidRDefault="00F401FC" w:rsidP="00CB4CE2">
            <w:pPr>
              <w:autoSpaceDE w:val="0"/>
              <w:autoSpaceDN w:val="0"/>
              <w:adjustRightInd w:val="0"/>
              <w:jc w:val="center"/>
              <w:rPr>
                <w:sz w:val="22"/>
                <w:szCs w:val="22"/>
              </w:rPr>
            </w:pPr>
            <w:r>
              <w:rPr>
                <w:sz w:val="22"/>
                <w:szCs w:val="22"/>
              </w:rPr>
              <w:t>9.5%</w:t>
            </w:r>
          </w:p>
        </w:tc>
        <w:tc>
          <w:tcPr>
            <w:tcW w:w="1584" w:type="dxa"/>
            <w:tcBorders>
              <w:top w:val="nil"/>
              <w:bottom w:val="single" w:sz="4" w:space="0" w:color="auto"/>
            </w:tcBorders>
            <w:vAlign w:val="center"/>
          </w:tcPr>
          <w:p w:rsidR="00CB4CE2" w:rsidRDefault="00AA32F9" w:rsidP="00CB4CE2">
            <w:pPr>
              <w:autoSpaceDE w:val="0"/>
              <w:autoSpaceDN w:val="0"/>
              <w:adjustRightInd w:val="0"/>
              <w:jc w:val="center"/>
              <w:rPr>
                <w:sz w:val="22"/>
                <w:szCs w:val="22"/>
              </w:rPr>
            </w:pPr>
            <w:r>
              <w:rPr>
                <w:sz w:val="22"/>
                <w:szCs w:val="22"/>
              </w:rPr>
              <w:t>6.55%</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44.2%</w:t>
            </w:r>
          </w:p>
        </w:tc>
      </w:tr>
      <w:tr w:rsidR="00CB4CE2" w:rsidTr="006D4F2B">
        <w:trPr>
          <w:trHeight w:val="360"/>
        </w:trPr>
        <w:tc>
          <w:tcPr>
            <w:tcW w:w="2430" w:type="dxa"/>
            <w:tcBorders>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25</w:t>
            </w:r>
            <w:r w:rsidRPr="00D213B1">
              <w:rPr>
                <w:b/>
                <w:sz w:val="22"/>
                <w:szCs w:val="22"/>
                <w:vertAlign w:val="superscript"/>
              </w:rPr>
              <w:t>th</w:t>
            </w:r>
            <w:r w:rsidRPr="00D213B1">
              <w:rPr>
                <w:b/>
                <w:sz w:val="22"/>
                <w:szCs w:val="22"/>
              </w:rPr>
              <w:t xml:space="preserve"> pct of survival</w:t>
            </w:r>
            <w:r w:rsidRPr="00D213B1">
              <w:rPr>
                <w:b/>
                <w:sz w:val="22"/>
                <w:szCs w:val="22"/>
                <w:vertAlign w:val="superscript"/>
              </w:rPr>
              <w:t>[2]</w:t>
            </w:r>
          </w:p>
        </w:tc>
        <w:tc>
          <w:tcPr>
            <w:tcW w:w="1584" w:type="dxa"/>
            <w:tcBorders>
              <w:bottom w:val="nil"/>
            </w:tcBorders>
            <w:vAlign w:val="center"/>
          </w:tcPr>
          <w:p w:rsidR="00CB4CE2" w:rsidRDefault="00FC06EB" w:rsidP="00CB4CE2">
            <w:pPr>
              <w:autoSpaceDE w:val="0"/>
              <w:autoSpaceDN w:val="0"/>
              <w:adjustRightInd w:val="0"/>
              <w:jc w:val="center"/>
              <w:rPr>
                <w:sz w:val="22"/>
                <w:szCs w:val="22"/>
              </w:rPr>
            </w:pPr>
            <w:r>
              <w:rPr>
                <w:sz w:val="22"/>
                <w:szCs w:val="22"/>
              </w:rPr>
              <w:t>10.55 yrs</w:t>
            </w:r>
          </w:p>
        </w:tc>
        <w:tc>
          <w:tcPr>
            <w:tcW w:w="1584" w:type="dxa"/>
            <w:tcBorders>
              <w:bottom w:val="nil"/>
            </w:tcBorders>
            <w:vAlign w:val="center"/>
          </w:tcPr>
          <w:p w:rsidR="00CB4CE2" w:rsidRDefault="00FC06EB" w:rsidP="00CB4CE2">
            <w:pPr>
              <w:autoSpaceDE w:val="0"/>
              <w:autoSpaceDN w:val="0"/>
              <w:adjustRightInd w:val="0"/>
              <w:jc w:val="center"/>
              <w:rPr>
                <w:sz w:val="22"/>
                <w:szCs w:val="22"/>
              </w:rPr>
            </w:pPr>
            <w:r>
              <w:rPr>
                <w:sz w:val="22"/>
                <w:szCs w:val="22"/>
              </w:rPr>
              <w:t>7.11 yrs</w:t>
            </w:r>
          </w:p>
        </w:tc>
        <w:tc>
          <w:tcPr>
            <w:tcW w:w="1584" w:type="dxa"/>
            <w:tcBorders>
              <w:bottom w:val="nil"/>
            </w:tcBorders>
            <w:vAlign w:val="center"/>
          </w:tcPr>
          <w:p w:rsidR="00CB4CE2" w:rsidRDefault="005C5F2C" w:rsidP="00CB4CE2">
            <w:pPr>
              <w:autoSpaceDE w:val="0"/>
              <w:autoSpaceDN w:val="0"/>
              <w:adjustRightInd w:val="0"/>
              <w:jc w:val="center"/>
              <w:rPr>
                <w:sz w:val="22"/>
                <w:szCs w:val="22"/>
              </w:rPr>
            </w:pPr>
            <w:r>
              <w:rPr>
                <w:sz w:val="22"/>
                <w:szCs w:val="22"/>
              </w:rPr>
              <w:t>2.74 yrs</w:t>
            </w:r>
          </w:p>
        </w:tc>
        <w:tc>
          <w:tcPr>
            <w:tcW w:w="1584" w:type="dxa"/>
            <w:tcBorders>
              <w:bottom w:val="nil"/>
            </w:tcBorders>
            <w:vAlign w:val="center"/>
          </w:tcPr>
          <w:p w:rsidR="00CB4CE2" w:rsidRDefault="00AA32F9" w:rsidP="00CB4CE2">
            <w:pPr>
              <w:autoSpaceDE w:val="0"/>
              <w:autoSpaceDN w:val="0"/>
              <w:adjustRightInd w:val="0"/>
              <w:jc w:val="center"/>
              <w:rPr>
                <w:sz w:val="22"/>
                <w:szCs w:val="22"/>
              </w:rPr>
            </w:pPr>
            <w:r>
              <w:rPr>
                <w:sz w:val="22"/>
                <w:szCs w:val="22"/>
              </w:rPr>
              <w:t>1.34 yrs</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4.00 yrs</w:t>
            </w:r>
          </w:p>
        </w:tc>
      </w:tr>
      <w:tr w:rsidR="00CB4CE2" w:rsidTr="006D4F2B">
        <w:trPr>
          <w:trHeight w:val="360"/>
        </w:trPr>
        <w:tc>
          <w:tcPr>
            <w:tcW w:w="2430" w:type="dxa"/>
            <w:tcBorders>
              <w:top w:val="nil"/>
              <w:bottom w:val="nil"/>
            </w:tcBorders>
            <w:vAlign w:val="center"/>
          </w:tcPr>
          <w:p w:rsidR="00CB4CE2" w:rsidRPr="00D213B1" w:rsidRDefault="00CB4CE2" w:rsidP="00CB4CE2">
            <w:pPr>
              <w:autoSpaceDE w:val="0"/>
              <w:autoSpaceDN w:val="0"/>
              <w:adjustRightInd w:val="0"/>
              <w:rPr>
                <w:b/>
                <w:sz w:val="22"/>
                <w:szCs w:val="22"/>
                <w:vertAlign w:val="superscript"/>
              </w:rPr>
            </w:pPr>
            <w:r w:rsidRPr="00D213B1">
              <w:rPr>
                <w:b/>
                <w:sz w:val="22"/>
                <w:szCs w:val="22"/>
              </w:rPr>
              <w:t>Median survival</w:t>
            </w:r>
            <w:r w:rsidRPr="00D213B1">
              <w:rPr>
                <w:b/>
                <w:sz w:val="22"/>
                <w:szCs w:val="22"/>
                <w:vertAlign w:val="superscript"/>
              </w:rPr>
              <w:t>[2]</w:t>
            </w:r>
          </w:p>
        </w:tc>
        <w:tc>
          <w:tcPr>
            <w:tcW w:w="1584" w:type="dxa"/>
            <w:tcBorders>
              <w:top w:val="nil"/>
              <w:bottom w:val="nil"/>
            </w:tcBorders>
            <w:vAlign w:val="center"/>
          </w:tcPr>
          <w:p w:rsidR="00CB4CE2" w:rsidRPr="004A122E" w:rsidRDefault="004A122E" w:rsidP="00CB4CE2">
            <w:pPr>
              <w:autoSpaceDE w:val="0"/>
              <w:autoSpaceDN w:val="0"/>
              <w:adjustRightInd w:val="0"/>
              <w:jc w:val="center"/>
              <w:rPr>
                <w:sz w:val="22"/>
                <w:szCs w:val="22"/>
                <w:vertAlign w:val="superscript"/>
              </w:rPr>
            </w:pPr>
            <w:r>
              <w:rPr>
                <w:sz w:val="22"/>
                <w:szCs w:val="22"/>
              </w:rPr>
              <w:t>NA</w:t>
            </w:r>
            <w:r>
              <w:rPr>
                <w:sz w:val="22"/>
                <w:szCs w:val="22"/>
                <w:vertAlign w:val="superscript"/>
              </w:rPr>
              <w:t>[4]</w:t>
            </w:r>
          </w:p>
        </w:tc>
        <w:tc>
          <w:tcPr>
            <w:tcW w:w="1584" w:type="dxa"/>
            <w:tcBorders>
              <w:top w:val="nil"/>
              <w:bottom w:val="nil"/>
            </w:tcBorders>
            <w:vAlign w:val="center"/>
          </w:tcPr>
          <w:p w:rsidR="00CB4CE2" w:rsidRDefault="004A122E" w:rsidP="00CB4CE2">
            <w:pPr>
              <w:autoSpaceDE w:val="0"/>
              <w:autoSpaceDN w:val="0"/>
              <w:adjustRightInd w:val="0"/>
              <w:jc w:val="center"/>
              <w:rPr>
                <w:sz w:val="22"/>
                <w:szCs w:val="22"/>
              </w:rPr>
            </w:pPr>
            <w:r>
              <w:rPr>
                <w:sz w:val="22"/>
                <w:szCs w:val="22"/>
              </w:rPr>
              <w:t>11.47 yrs</w:t>
            </w:r>
          </w:p>
        </w:tc>
        <w:tc>
          <w:tcPr>
            <w:tcW w:w="1584" w:type="dxa"/>
            <w:tcBorders>
              <w:top w:val="nil"/>
              <w:bottom w:val="nil"/>
            </w:tcBorders>
            <w:vAlign w:val="center"/>
          </w:tcPr>
          <w:p w:rsidR="00CB4CE2" w:rsidRDefault="004A122E" w:rsidP="00CB4CE2">
            <w:pPr>
              <w:autoSpaceDE w:val="0"/>
              <w:autoSpaceDN w:val="0"/>
              <w:adjustRightInd w:val="0"/>
              <w:jc w:val="center"/>
              <w:rPr>
                <w:sz w:val="22"/>
                <w:szCs w:val="22"/>
              </w:rPr>
            </w:pPr>
            <w:r>
              <w:rPr>
                <w:sz w:val="22"/>
                <w:szCs w:val="22"/>
              </w:rPr>
              <w:t>5.70 yrs</w:t>
            </w:r>
          </w:p>
        </w:tc>
        <w:tc>
          <w:tcPr>
            <w:tcW w:w="1584" w:type="dxa"/>
            <w:tcBorders>
              <w:top w:val="nil"/>
              <w:bottom w:val="nil"/>
            </w:tcBorders>
            <w:vAlign w:val="center"/>
          </w:tcPr>
          <w:p w:rsidR="00CB4CE2" w:rsidRDefault="004A122E" w:rsidP="00CB4CE2">
            <w:pPr>
              <w:autoSpaceDE w:val="0"/>
              <w:autoSpaceDN w:val="0"/>
              <w:adjustRightInd w:val="0"/>
              <w:jc w:val="center"/>
              <w:rPr>
                <w:sz w:val="22"/>
                <w:szCs w:val="22"/>
              </w:rPr>
            </w:pPr>
            <w:r>
              <w:rPr>
                <w:sz w:val="22"/>
                <w:szCs w:val="22"/>
              </w:rPr>
              <w:t>2.95 yrs</w:t>
            </w:r>
          </w:p>
        </w:tc>
        <w:tc>
          <w:tcPr>
            <w:tcW w:w="1584" w:type="dxa"/>
            <w:tcBorders>
              <w:top w:val="nil"/>
              <w:bottom w:val="nil"/>
            </w:tcBorders>
            <w:vAlign w:val="center"/>
          </w:tcPr>
          <w:p w:rsidR="00CB4CE2" w:rsidRDefault="00CB4CE2" w:rsidP="00CB4CE2">
            <w:pPr>
              <w:autoSpaceDE w:val="0"/>
              <w:autoSpaceDN w:val="0"/>
              <w:adjustRightInd w:val="0"/>
              <w:jc w:val="center"/>
              <w:rPr>
                <w:sz w:val="22"/>
                <w:szCs w:val="22"/>
              </w:rPr>
            </w:pPr>
            <w:r>
              <w:rPr>
                <w:sz w:val="22"/>
                <w:szCs w:val="22"/>
              </w:rPr>
              <w:t>9.30 yrs</w:t>
            </w:r>
          </w:p>
        </w:tc>
      </w:tr>
      <w:tr w:rsidR="00CB4CE2" w:rsidTr="006D4F2B">
        <w:trPr>
          <w:trHeight w:val="360"/>
        </w:trPr>
        <w:tc>
          <w:tcPr>
            <w:tcW w:w="2430" w:type="dxa"/>
            <w:tcBorders>
              <w:top w:val="nil"/>
            </w:tcBorders>
            <w:vAlign w:val="center"/>
          </w:tcPr>
          <w:p w:rsidR="00CB4CE2" w:rsidRPr="00D213B1" w:rsidRDefault="00CB4CE2" w:rsidP="00CB4CE2">
            <w:pPr>
              <w:autoSpaceDE w:val="0"/>
              <w:autoSpaceDN w:val="0"/>
              <w:adjustRightInd w:val="0"/>
              <w:rPr>
                <w:b/>
                <w:sz w:val="22"/>
                <w:szCs w:val="22"/>
                <w:vertAlign w:val="superscript"/>
              </w:rPr>
            </w:pPr>
            <w:r w:rsidRPr="00D213B1">
              <w:rPr>
                <w:b/>
                <w:sz w:val="22"/>
                <w:szCs w:val="22"/>
              </w:rPr>
              <w:t>60</w:t>
            </w:r>
            <w:r w:rsidRPr="00D213B1">
              <w:rPr>
                <w:b/>
                <w:sz w:val="22"/>
                <w:szCs w:val="22"/>
                <w:vertAlign w:val="superscript"/>
              </w:rPr>
              <w:t>th</w:t>
            </w:r>
            <w:r w:rsidRPr="00D213B1">
              <w:rPr>
                <w:b/>
                <w:sz w:val="22"/>
                <w:szCs w:val="22"/>
              </w:rPr>
              <w:t xml:space="preserve"> pct of survival</w:t>
            </w:r>
            <w:r w:rsidRPr="00D213B1">
              <w:rPr>
                <w:b/>
                <w:sz w:val="22"/>
                <w:szCs w:val="22"/>
                <w:vertAlign w:val="superscript"/>
              </w:rPr>
              <w:t>[2]</w:t>
            </w:r>
          </w:p>
        </w:tc>
        <w:tc>
          <w:tcPr>
            <w:tcW w:w="1584" w:type="dxa"/>
            <w:tcBorders>
              <w:top w:val="nil"/>
            </w:tcBorders>
            <w:vAlign w:val="center"/>
          </w:tcPr>
          <w:p w:rsidR="00CB4CE2" w:rsidRPr="004A122E" w:rsidRDefault="004A122E" w:rsidP="00CB4CE2">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tcBorders>
            <w:vAlign w:val="center"/>
          </w:tcPr>
          <w:p w:rsidR="00CB4CE2" w:rsidRPr="00FC06EB" w:rsidRDefault="00FC06EB" w:rsidP="00CB4CE2">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tcBorders>
            <w:vAlign w:val="center"/>
          </w:tcPr>
          <w:p w:rsidR="00CB4CE2" w:rsidRDefault="005C5F2C" w:rsidP="00CB4CE2">
            <w:pPr>
              <w:autoSpaceDE w:val="0"/>
              <w:autoSpaceDN w:val="0"/>
              <w:adjustRightInd w:val="0"/>
              <w:jc w:val="center"/>
              <w:rPr>
                <w:sz w:val="22"/>
                <w:szCs w:val="22"/>
              </w:rPr>
            </w:pPr>
            <w:r>
              <w:rPr>
                <w:sz w:val="22"/>
                <w:szCs w:val="22"/>
              </w:rPr>
              <w:t>8.82 yrs</w:t>
            </w:r>
          </w:p>
        </w:tc>
        <w:tc>
          <w:tcPr>
            <w:tcW w:w="1584" w:type="dxa"/>
            <w:tcBorders>
              <w:top w:val="nil"/>
            </w:tcBorders>
            <w:vAlign w:val="center"/>
          </w:tcPr>
          <w:p w:rsidR="00CB4CE2" w:rsidRDefault="00AA32F9" w:rsidP="00CB4CE2">
            <w:pPr>
              <w:autoSpaceDE w:val="0"/>
              <w:autoSpaceDN w:val="0"/>
              <w:adjustRightInd w:val="0"/>
              <w:jc w:val="center"/>
              <w:rPr>
                <w:sz w:val="22"/>
                <w:szCs w:val="22"/>
              </w:rPr>
            </w:pPr>
            <w:r>
              <w:rPr>
                <w:sz w:val="22"/>
                <w:szCs w:val="22"/>
              </w:rPr>
              <w:t>3.55 yrs</w:t>
            </w:r>
          </w:p>
        </w:tc>
        <w:tc>
          <w:tcPr>
            <w:tcW w:w="1584" w:type="dxa"/>
            <w:tcBorders>
              <w:top w:val="nil"/>
            </w:tcBorders>
            <w:vAlign w:val="center"/>
          </w:tcPr>
          <w:p w:rsidR="00CB4CE2" w:rsidRDefault="00CB4CE2" w:rsidP="00CB4CE2">
            <w:pPr>
              <w:autoSpaceDE w:val="0"/>
              <w:autoSpaceDN w:val="0"/>
              <w:adjustRightInd w:val="0"/>
              <w:jc w:val="center"/>
              <w:rPr>
                <w:sz w:val="22"/>
                <w:szCs w:val="22"/>
              </w:rPr>
            </w:pPr>
            <w:r>
              <w:rPr>
                <w:sz w:val="22"/>
                <w:szCs w:val="22"/>
              </w:rPr>
              <w:t>10.55 yrs</w:t>
            </w:r>
          </w:p>
        </w:tc>
      </w:tr>
      <w:tr w:rsidR="00CB4CE2" w:rsidTr="006D4F2B">
        <w:trPr>
          <w:trHeight w:val="360"/>
        </w:trPr>
        <w:tc>
          <w:tcPr>
            <w:tcW w:w="2430" w:type="dxa"/>
            <w:vAlign w:val="center"/>
          </w:tcPr>
          <w:p w:rsidR="00CB4CE2" w:rsidRPr="00D213B1" w:rsidRDefault="00CB4CE2" w:rsidP="00CB4CE2">
            <w:pPr>
              <w:autoSpaceDE w:val="0"/>
              <w:autoSpaceDN w:val="0"/>
              <w:adjustRightInd w:val="0"/>
              <w:rPr>
                <w:b/>
                <w:sz w:val="22"/>
                <w:szCs w:val="22"/>
                <w:vertAlign w:val="superscript"/>
              </w:rPr>
            </w:pPr>
            <w:r>
              <w:rPr>
                <w:b/>
                <w:sz w:val="22"/>
                <w:szCs w:val="22"/>
              </w:rPr>
              <w:t>6-year m</w:t>
            </w:r>
            <w:r w:rsidRPr="00D213B1">
              <w:rPr>
                <w:b/>
                <w:sz w:val="22"/>
                <w:szCs w:val="22"/>
              </w:rPr>
              <w:t>ean survival</w:t>
            </w:r>
            <w:r w:rsidRPr="00D213B1">
              <w:rPr>
                <w:b/>
                <w:sz w:val="22"/>
                <w:szCs w:val="22"/>
                <w:vertAlign w:val="superscript"/>
              </w:rPr>
              <w:t>[3]</w:t>
            </w:r>
          </w:p>
        </w:tc>
        <w:tc>
          <w:tcPr>
            <w:tcW w:w="1584" w:type="dxa"/>
            <w:vAlign w:val="center"/>
          </w:tcPr>
          <w:p w:rsidR="00CB4CE2" w:rsidRDefault="004A122E" w:rsidP="00CB4CE2">
            <w:pPr>
              <w:autoSpaceDE w:val="0"/>
              <w:autoSpaceDN w:val="0"/>
              <w:adjustRightInd w:val="0"/>
              <w:jc w:val="center"/>
              <w:rPr>
                <w:sz w:val="22"/>
                <w:szCs w:val="22"/>
              </w:rPr>
            </w:pPr>
            <w:r>
              <w:rPr>
                <w:sz w:val="22"/>
                <w:szCs w:val="22"/>
              </w:rPr>
              <w:t>5.77 yrs</w:t>
            </w:r>
          </w:p>
        </w:tc>
        <w:tc>
          <w:tcPr>
            <w:tcW w:w="1584" w:type="dxa"/>
            <w:vAlign w:val="center"/>
          </w:tcPr>
          <w:p w:rsidR="00CB4CE2" w:rsidRDefault="004A122E" w:rsidP="00CB4CE2">
            <w:pPr>
              <w:autoSpaceDE w:val="0"/>
              <w:autoSpaceDN w:val="0"/>
              <w:adjustRightInd w:val="0"/>
              <w:jc w:val="center"/>
              <w:rPr>
                <w:sz w:val="22"/>
                <w:szCs w:val="22"/>
              </w:rPr>
            </w:pPr>
            <w:r>
              <w:rPr>
                <w:sz w:val="22"/>
                <w:szCs w:val="22"/>
              </w:rPr>
              <w:t>5.48 yrs</w:t>
            </w:r>
          </w:p>
        </w:tc>
        <w:tc>
          <w:tcPr>
            <w:tcW w:w="1584" w:type="dxa"/>
            <w:vAlign w:val="center"/>
          </w:tcPr>
          <w:p w:rsidR="00CB4CE2" w:rsidRDefault="004A122E" w:rsidP="00CB4CE2">
            <w:pPr>
              <w:autoSpaceDE w:val="0"/>
              <w:autoSpaceDN w:val="0"/>
              <w:adjustRightInd w:val="0"/>
              <w:jc w:val="center"/>
              <w:rPr>
                <w:sz w:val="22"/>
                <w:szCs w:val="22"/>
              </w:rPr>
            </w:pPr>
            <w:r>
              <w:rPr>
                <w:sz w:val="22"/>
                <w:szCs w:val="22"/>
              </w:rPr>
              <w:t>4.45 yrs</w:t>
            </w:r>
          </w:p>
        </w:tc>
        <w:tc>
          <w:tcPr>
            <w:tcW w:w="1584" w:type="dxa"/>
            <w:vAlign w:val="center"/>
          </w:tcPr>
          <w:p w:rsidR="00CB4CE2" w:rsidRDefault="004A122E" w:rsidP="00CB4CE2">
            <w:pPr>
              <w:autoSpaceDE w:val="0"/>
              <w:autoSpaceDN w:val="0"/>
              <w:adjustRightInd w:val="0"/>
              <w:jc w:val="center"/>
              <w:rPr>
                <w:sz w:val="22"/>
                <w:szCs w:val="22"/>
              </w:rPr>
            </w:pPr>
            <w:r>
              <w:rPr>
                <w:sz w:val="22"/>
                <w:szCs w:val="22"/>
              </w:rPr>
              <w:t>3.15 yrs</w:t>
            </w:r>
          </w:p>
        </w:tc>
        <w:tc>
          <w:tcPr>
            <w:tcW w:w="1584" w:type="dxa"/>
            <w:vAlign w:val="center"/>
          </w:tcPr>
          <w:p w:rsidR="00CB4CE2" w:rsidRDefault="00CB4CE2" w:rsidP="00CB4CE2">
            <w:pPr>
              <w:autoSpaceDE w:val="0"/>
              <w:autoSpaceDN w:val="0"/>
              <w:adjustRightInd w:val="0"/>
              <w:jc w:val="center"/>
              <w:rPr>
                <w:sz w:val="22"/>
                <w:szCs w:val="22"/>
              </w:rPr>
            </w:pPr>
            <w:r>
              <w:rPr>
                <w:sz w:val="22"/>
                <w:szCs w:val="22"/>
              </w:rPr>
              <w:t>4.90 yrs</w:t>
            </w:r>
          </w:p>
        </w:tc>
      </w:tr>
    </w:tbl>
    <w:p w:rsidR="00F33BCF" w:rsidRPr="00023F62" w:rsidRDefault="00F33BCF" w:rsidP="00F33BCF">
      <w:pPr>
        <w:autoSpaceDE w:val="0"/>
        <w:autoSpaceDN w:val="0"/>
        <w:adjustRightInd w:val="0"/>
        <w:spacing w:after="80"/>
        <w:rPr>
          <w:i/>
          <w:sz w:val="22"/>
          <w:szCs w:val="22"/>
        </w:rPr>
      </w:pPr>
      <w:r w:rsidRPr="00023F62">
        <w:rPr>
          <w:i/>
          <w:sz w:val="22"/>
          <w:szCs w:val="22"/>
          <w:vertAlign w:val="superscript"/>
        </w:rPr>
        <w:t>[1]</w:t>
      </w:r>
      <w:r w:rsidRPr="00023F62">
        <w:rPr>
          <w:i/>
          <w:sz w:val="22"/>
          <w:szCs w:val="22"/>
        </w:rPr>
        <w:t xml:space="preserve"> None of the observations was missing data on age </w:t>
      </w:r>
    </w:p>
    <w:p w:rsidR="00F33BCF" w:rsidRPr="00023F62" w:rsidRDefault="00F33BCF" w:rsidP="00F33BCF">
      <w:pPr>
        <w:autoSpaceDE w:val="0"/>
        <w:autoSpaceDN w:val="0"/>
        <w:adjustRightInd w:val="0"/>
        <w:spacing w:after="80"/>
        <w:rPr>
          <w:i/>
          <w:sz w:val="22"/>
          <w:szCs w:val="22"/>
        </w:rPr>
      </w:pPr>
      <w:r w:rsidRPr="00023F62">
        <w:rPr>
          <w:i/>
          <w:sz w:val="22"/>
          <w:szCs w:val="22"/>
          <w:vertAlign w:val="superscript"/>
        </w:rPr>
        <w:t>[2]</w:t>
      </w:r>
      <w:r w:rsidRPr="00023F62">
        <w:rPr>
          <w:i/>
          <w:sz w:val="22"/>
          <w:szCs w:val="22"/>
        </w:rPr>
        <w:t xml:space="preserve"> Estimates were approximated and based on the Kaplan-Meier estimat</w:t>
      </w:r>
      <w:r w:rsidR="00023F62" w:rsidRPr="00023F62">
        <w:rPr>
          <w:i/>
          <w:sz w:val="22"/>
          <w:szCs w:val="22"/>
        </w:rPr>
        <w:t>es computed within strata by serum bilirubin level</w:t>
      </w:r>
      <w:r w:rsidRPr="00023F62">
        <w:rPr>
          <w:i/>
          <w:sz w:val="22"/>
          <w:szCs w:val="22"/>
        </w:rPr>
        <w:t xml:space="preserve"> and in the entire sample. Estimates were obtained in years then divided by 365.25</w:t>
      </w:r>
    </w:p>
    <w:p w:rsidR="00F33BCF" w:rsidRPr="00023F62" w:rsidRDefault="00F33BCF" w:rsidP="00F33BCF">
      <w:pPr>
        <w:autoSpaceDE w:val="0"/>
        <w:autoSpaceDN w:val="0"/>
        <w:adjustRightInd w:val="0"/>
        <w:spacing w:after="80"/>
        <w:rPr>
          <w:i/>
          <w:sz w:val="22"/>
          <w:szCs w:val="22"/>
        </w:rPr>
      </w:pPr>
      <w:r w:rsidRPr="00023F62">
        <w:rPr>
          <w:i/>
          <w:sz w:val="22"/>
          <w:szCs w:val="22"/>
          <w:vertAlign w:val="superscript"/>
        </w:rPr>
        <w:t>[3]</w:t>
      </w:r>
      <w:r w:rsidRPr="00023F62">
        <w:rPr>
          <w:i/>
          <w:sz w:val="22"/>
          <w:szCs w:val="22"/>
        </w:rPr>
        <w:t xml:space="preserve"> Average number of years alive during the first 6 years following study enrollment, as computed by the area under Kaplan-Meier survival curves within strata and sample restricted to 6 years </w:t>
      </w:r>
    </w:p>
    <w:p w:rsidR="00F33BCF" w:rsidRDefault="00F33BCF" w:rsidP="00F33BCF">
      <w:pPr>
        <w:autoSpaceDE w:val="0"/>
        <w:autoSpaceDN w:val="0"/>
        <w:adjustRightInd w:val="0"/>
        <w:spacing w:after="120"/>
        <w:rPr>
          <w:sz w:val="22"/>
          <w:szCs w:val="22"/>
        </w:rPr>
      </w:pPr>
      <w:r w:rsidRPr="00023F62">
        <w:rPr>
          <w:i/>
          <w:sz w:val="22"/>
          <w:szCs w:val="22"/>
          <w:vertAlign w:val="superscript"/>
        </w:rPr>
        <w:t>[4]</w:t>
      </w:r>
      <w:r w:rsidRPr="00023F62">
        <w:rPr>
          <w:i/>
          <w:sz w:val="22"/>
          <w:szCs w:val="22"/>
        </w:rPr>
        <w:t xml:space="preserve"> Corresponding percentile cannot be estimated from the available data</w:t>
      </w:r>
    </w:p>
    <w:p w:rsidR="00826CD8" w:rsidRDefault="00826CD8" w:rsidP="00F33BCF">
      <w:pPr>
        <w:autoSpaceDE w:val="0"/>
        <w:autoSpaceDN w:val="0"/>
        <w:adjustRightInd w:val="0"/>
        <w:spacing w:after="120"/>
        <w:rPr>
          <w:sz w:val="22"/>
          <w:szCs w:val="22"/>
        </w:rPr>
      </w:pPr>
    </w:p>
    <w:p w:rsidR="00826CD8" w:rsidRPr="00826CD8" w:rsidRDefault="00826CD8" w:rsidP="00826CD8">
      <w:pPr>
        <w:autoSpaceDE w:val="0"/>
        <w:autoSpaceDN w:val="0"/>
        <w:adjustRightInd w:val="0"/>
        <w:jc w:val="center"/>
        <w:rPr>
          <w:b/>
          <w:sz w:val="22"/>
          <w:szCs w:val="22"/>
        </w:rPr>
      </w:pPr>
      <w:r>
        <w:rPr>
          <w:b/>
          <w:sz w:val="22"/>
          <w:szCs w:val="22"/>
        </w:rPr>
        <w:t>Figure 1. Kaplan-Meier Estimates by Serum Bilirubin Level</w:t>
      </w:r>
    </w:p>
    <w:p w:rsidR="008357B2" w:rsidRDefault="00A2534B" w:rsidP="00426A8B">
      <w:pPr>
        <w:autoSpaceDE w:val="0"/>
        <w:autoSpaceDN w:val="0"/>
        <w:adjustRightInd w:val="0"/>
        <w:spacing w:after="120"/>
        <w:jc w:val="center"/>
        <w:rPr>
          <w:sz w:val="22"/>
          <w:szCs w:val="22"/>
        </w:rPr>
      </w:pPr>
      <w:r>
        <w:rPr>
          <w:noProof/>
          <w:lang w:eastAsia="zh-CN"/>
        </w:rPr>
        <w:drawing>
          <wp:inline distT="0" distB="0" distL="0" distR="0" wp14:anchorId="20829DB8" wp14:editId="4DE954CA">
            <wp:extent cx="4224393" cy="286659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122" r="5062"/>
                    <a:stretch/>
                  </pic:blipFill>
                  <pic:spPr bwMode="auto">
                    <a:xfrm>
                      <a:off x="0" y="0"/>
                      <a:ext cx="4238698" cy="2876303"/>
                    </a:xfrm>
                    <a:prstGeom prst="rect">
                      <a:avLst/>
                    </a:prstGeom>
                    <a:ln>
                      <a:noFill/>
                    </a:ln>
                    <a:extLst>
                      <a:ext uri="{53640926-AAD7-44D8-BBD7-CCE9431645EC}">
                        <a14:shadowObscured xmlns:a14="http://schemas.microsoft.com/office/drawing/2010/main"/>
                      </a:ext>
                    </a:extLst>
                  </pic:spPr>
                </pic:pic>
              </a:graphicData>
            </a:graphic>
          </wp:inline>
        </w:drawing>
      </w:r>
    </w:p>
    <w:p w:rsidR="00516921" w:rsidRDefault="00516921" w:rsidP="00B55FD3">
      <w:pPr>
        <w:autoSpaceDE w:val="0"/>
        <w:autoSpaceDN w:val="0"/>
        <w:adjustRightInd w:val="0"/>
        <w:jc w:val="center"/>
        <w:rPr>
          <w:b/>
          <w:sz w:val="22"/>
          <w:szCs w:val="22"/>
        </w:rPr>
      </w:pPr>
    </w:p>
    <w:p w:rsidR="006D0B75" w:rsidRDefault="006D0B75" w:rsidP="00B55FD3">
      <w:pPr>
        <w:autoSpaceDE w:val="0"/>
        <w:autoSpaceDN w:val="0"/>
        <w:adjustRightInd w:val="0"/>
        <w:jc w:val="center"/>
        <w:rPr>
          <w:b/>
          <w:sz w:val="22"/>
          <w:szCs w:val="22"/>
        </w:rPr>
      </w:pPr>
    </w:p>
    <w:p w:rsidR="006D0B75" w:rsidRDefault="006D0B75" w:rsidP="00B55FD3">
      <w:pPr>
        <w:autoSpaceDE w:val="0"/>
        <w:autoSpaceDN w:val="0"/>
        <w:adjustRightInd w:val="0"/>
        <w:jc w:val="center"/>
        <w:rPr>
          <w:b/>
          <w:sz w:val="22"/>
          <w:szCs w:val="22"/>
        </w:rPr>
      </w:pPr>
    </w:p>
    <w:p w:rsidR="00B55FD3" w:rsidRPr="003E502F" w:rsidRDefault="00B55FD3" w:rsidP="00B55FD3">
      <w:pPr>
        <w:autoSpaceDE w:val="0"/>
        <w:autoSpaceDN w:val="0"/>
        <w:adjustRightInd w:val="0"/>
        <w:jc w:val="center"/>
        <w:rPr>
          <w:b/>
          <w:sz w:val="22"/>
          <w:szCs w:val="22"/>
        </w:rPr>
      </w:pPr>
      <w:r w:rsidRPr="003E502F">
        <w:rPr>
          <w:b/>
          <w:sz w:val="22"/>
          <w:szCs w:val="22"/>
        </w:rPr>
        <w:lastRenderedPageBreak/>
        <w:t>Table 1</w:t>
      </w:r>
      <w:r>
        <w:rPr>
          <w:b/>
          <w:sz w:val="22"/>
          <w:szCs w:val="22"/>
        </w:rPr>
        <w:t>b</w:t>
      </w:r>
      <w:r w:rsidRPr="003E502F">
        <w:rPr>
          <w:b/>
          <w:sz w:val="22"/>
          <w:szCs w:val="22"/>
        </w:rPr>
        <w:t xml:space="preserve">. Descriptive Statistics of </w:t>
      </w:r>
      <w:r>
        <w:rPr>
          <w:b/>
          <w:sz w:val="22"/>
          <w:szCs w:val="22"/>
        </w:rPr>
        <w:t>Age and Sex</w:t>
      </w:r>
      <w:r w:rsidRPr="003E502F">
        <w:rPr>
          <w:b/>
          <w:sz w:val="22"/>
          <w:szCs w:val="22"/>
        </w:rPr>
        <w:t xml:space="preserve"> by </w:t>
      </w:r>
      <w:r>
        <w:rPr>
          <w:b/>
          <w:sz w:val="22"/>
          <w:szCs w:val="22"/>
        </w:rPr>
        <w:t>Serum Bilirubin Level</w:t>
      </w:r>
    </w:p>
    <w:tbl>
      <w:tblPr>
        <w:tblStyle w:val="TableGrid"/>
        <w:tblW w:w="10350" w:type="dxa"/>
        <w:tblInd w:w="-635" w:type="dxa"/>
        <w:tblLook w:val="04A0" w:firstRow="1" w:lastRow="0" w:firstColumn="1" w:lastColumn="0" w:noHBand="0" w:noVBand="1"/>
      </w:tblPr>
      <w:tblGrid>
        <w:gridCol w:w="2430"/>
        <w:gridCol w:w="1584"/>
        <w:gridCol w:w="1584"/>
        <w:gridCol w:w="1584"/>
        <w:gridCol w:w="1584"/>
        <w:gridCol w:w="1584"/>
      </w:tblGrid>
      <w:tr w:rsidR="00B55FD3" w:rsidTr="006D4F2B">
        <w:trPr>
          <w:trHeight w:val="360"/>
        </w:trPr>
        <w:tc>
          <w:tcPr>
            <w:tcW w:w="2430" w:type="dxa"/>
            <w:vMerge w:val="restart"/>
            <w:vAlign w:val="center"/>
          </w:tcPr>
          <w:p w:rsidR="00B55FD3" w:rsidRDefault="00B55FD3" w:rsidP="006D4F2B">
            <w:pPr>
              <w:autoSpaceDE w:val="0"/>
              <w:autoSpaceDN w:val="0"/>
              <w:adjustRightInd w:val="0"/>
              <w:rPr>
                <w:sz w:val="22"/>
                <w:szCs w:val="22"/>
              </w:rPr>
            </w:pPr>
          </w:p>
        </w:tc>
        <w:tc>
          <w:tcPr>
            <w:tcW w:w="7920" w:type="dxa"/>
            <w:gridSpan w:val="5"/>
            <w:vAlign w:val="center"/>
          </w:tcPr>
          <w:p w:rsidR="00B55FD3" w:rsidRPr="00D213B1" w:rsidRDefault="00B55FD3" w:rsidP="006D4F2B">
            <w:pPr>
              <w:autoSpaceDE w:val="0"/>
              <w:autoSpaceDN w:val="0"/>
              <w:adjustRightInd w:val="0"/>
              <w:jc w:val="center"/>
              <w:rPr>
                <w:b/>
                <w:sz w:val="22"/>
                <w:szCs w:val="22"/>
                <w:vertAlign w:val="superscript"/>
              </w:rPr>
            </w:pPr>
            <w:r>
              <w:rPr>
                <w:b/>
                <w:sz w:val="22"/>
                <w:szCs w:val="22"/>
              </w:rPr>
              <w:t>Serum Bilirubin Level (mg/dl)</w:t>
            </w:r>
          </w:p>
        </w:tc>
      </w:tr>
      <w:tr w:rsidR="00B55FD3" w:rsidTr="006D4F2B">
        <w:trPr>
          <w:trHeight w:val="360"/>
        </w:trPr>
        <w:tc>
          <w:tcPr>
            <w:tcW w:w="2430" w:type="dxa"/>
            <w:vMerge/>
            <w:tcBorders>
              <w:bottom w:val="single" w:sz="4" w:space="0" w:color="auto"/>
            </w:tcBorders>
            <w:vAlign w:val="center"/>
          </w:tcPr>
          <w:p w:rsidR="00B55FD3" w:rsidRDefault="00B55FD3" w:rsidP="006D4F2B">
            <w:pPr>
              <w:autoSpaceDE w:val="0"/>
              <w:autoSpaceDN w:val="0"/>
              <w:adjustRightInd w:val="0"/>
              <w:rPr>
                <w:sz w:val="22"/>
                <w:szCs w:val="22"/>
              </w:rPr>
            </w:pP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Pr>
                <w:b/>
                <w:sz w:val="22"/>
                <w:szCs w:val="22"/>
              </w:rPr>
              <w:t>Level</w:t>
            </w:r>
            <w:r w:rsidRPr="00D213B1">
              <w:rPr>
                <w:b/>
                <w:sz w:val="22"/>
                <w:szCs w:val="22"/>
              </w:rPr>
              <w:t xml:space="preserve"> </w:t>
            </w:r>
            <w:r w:rsidR="00DA3E14">
              <w:rPr>
                <w:b/>
                <w:sz w:val="22"/>
                <w:szCs w:val="22"/>
              </w:rPr>
              <w:t>&lt;</w:t>
            </w:r>
            <w:r>
              <w:rPr>
                <w:b/>
                <w:sz w:val="22"/>
                <w:szCs w:val="22"/>
              </w:rPr>
              <w:t xml:space="preserve"> 1</w:t>
            </w:r>
          </w:p>
          <w:p w:rsidR="00B55FD3" w:rsidRPr="00D213B1" w:rsidRDefault="00B55FD3" w:rsidP="006D4F2B">
            <w:pPr>
              <w:autoSpaceDE w:val="0"/>
              <w:autoSpaceDN w:val="0"/>
              <w:adjustRightInd w:val="0"/>
              <w:jc w:val="center"/>
              <w:rPr>
                <w:b/>
                <w:sz w:val="22"/>
                <w:szCs w:val="22"/>
              </w:rPr>
            </w:pPr>
            <w:r>
              <w:rPr>
                <w:b/>
                <w:sz w:val="22"/>
                <w:szCs w:val="22"/>
              </w:rPr>
              <w:t>(n = 142)</w:t>
            </w: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Pr>
                <w:b/>
                <w:sz w:val="22"/>
                <w:szCs w:val="22"/>
              </w:rPr>
              <w:t>1</w:t>
            </w:r>
            <w:r w:rsidRPr="00D213B1">
              <w:rPr>
                <w:b/>
                <w:sz w:val="22"/>
                <w:szCs w:val="22"/>
              </w:rPr>
              <w:t xml:space="preserve"> ≤</w:t>
            </w:r>
            <w:r>
              <w:rPr>
                <w:b/>
                <w:sz w:val="22"/>
                <w:szCs w:val="22"/>
              </w:rPr>
              <w:t xml:space="preserve"> Level</w:t>
            </w:r>
            <w:r w:rsidRPr="00D213B1">
              <w:rPr>
                <w:b/>
                <w:sz w:val="22"/>
                <w:szCs w:val="22"/>
              </w:rPr>
              <w:t xml:space="preserve"> &lt; </w:t>
            </w:r>
            <w:r>
              <w:rPr>
                <w:b/>
                <w:sz w:val="22"/>
                <w:szCs w:val="22"/>
              </w:rPr>
              <w:t>2</w:t>
            </w:r>
          </w:p>
          <w:p w:rsidR="00B55FD3" w:rsidRPr="00D213B1" w:rsidRDefault="00B55FD3" w:rsidP="006D4F2B">
            <w:pPr>
              <w:autoSpaceDE w:val="0"/>
              <w:autoSpaceDN w:val="0"/>
              <w:adjustRightInd w:val="0"/>
              <w:jc w:val="center"/>
              <w:rPr>
                <w:b/>
                <w:sz w:val="22"/>
                <w:szCs w:val="22"/>
              </w:rPr>
            </w:pPr>
            <w:r>
              <w:rPr>
                <w:b/>
                <w:sz w:val="22"/>
                <w:szCs w:val="22"/>
              </w:rPr>
              <w:t>(n = 107)</w:t>
            </w: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Pr>
                <w:b/>
                <w:sz w:val="22"/>
                <w:szCs w:val="22"/>
              </w:rPr>
              <w:t>2</w:t>
            </w:r>
            <w:r w:rsidRPr="00D213B1">
              <w:rPr>
                <w:b/>
                <w:sz w:val="22"/>
                <w:szCs w:val="22"/>
              </w:rPr>
              <w:t xml:space="preserve"> ≤</w:t>
            </w:r>
            <w:r>
              <w:rPr>
                <w:b/>
                <w:sz w:val="22"/>
                <w:szCs w:val="22"/>
              </w:rPr>
              <w:t xml:space="preserve"> Level</w:t>
            </w:r>
            <w:r w:rsidRPr="00D213B1">
              <w:rPr>
                <w:b/>
                <w:sz w:val="22"/>
                <w:szCs w:val="22"/>
              </w:rPr>
              <w:t xml:space="preserve"> &lt; </w:t>
            </w:r>
            <w:r>
              <w:rPr>
                <w:b/>
                <w:sz w:val="22"/>
                <w:szCs w:val="22"/>
              </w:rPr>
              <w:t>4</w:t>
            </w:r>
          </w:p>
          <w:p w:rsidR="00B55FD3" w:rsidRPr="00D213B1" w:rsidRDefault="00B55FD3" w:rsidP="006D4F2B">
            <w:pPr>
              <w:autoSpaceDE w:val="0"/>
              <w:autoSpaceDN w:val="0"/>
              <w:adjustRightInd w:val="0"/>
              <w:jc w:val="center"/>
              <w:rPr>
                <w:b/>
                <w:sz w:val="22"/>
                <w:szCs w:val="22"/>
              </w:rPr>
            </w:pPr>
            <w:r>
              <w:rPr>
                <w:b/>
                <w:sz w:val="22"/>
                <w:szCs w:val="22"/>
              </w:rPr>
              <w:t>(n = 78)</w:t>
            </w: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Pr>
                <w:b/>
                <w:sz w:val="22"/>
                <w:szCs w:val="22"/>
              </w:rPr>
              <w:t>Level</w:t>
            </w:r>
            <w:r w:rsidRPr="00D213B1">
              <w:rPr>
                <w:b/>
                <w:sz w:val="22"/>
                <w:szCs w:val="22"/>
              </w:rPr>
              <w:t xml:space="preserve"> ≥</w:t>
            </w:r>
            <w:r>
              <w:rPr>
                <w:b/>
                <w:sz w:val="22"/>
                <w:szCs w:val="22"/>
              </w:rPr>
              <w:t xml:space="preserve"> 4</w:t>
            </w:r>
          </w:p>
          <w:p w:rsidR="00B55FD3" w:rsidRPr="00D213B1" w:rsidRDefault="00B55FD3" w:rsidP="006D4F2B">
            <w:pPr>
              <w:autoSpaceDE w:val="0"/>
              <w:autoSpaceDN w:val="0"/>
              <w:adjustRightInd w:val="0"/>
              <w:jc w:val="center"/>
              <w:rPr>
                <w:b/>
                <w:sz w:val="22"/>
                <w:szCs w:val="22"/>
              </w:rPr>
            </w:pPr>
            <w:r>
              <w:rPr>
                <w:b/>
                <w:sz w:val="22"/>
                <w:szCs w:val="22"/>
              </w:rPr>
              <w:t>(n = 91)</w:t>
            </w: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sidRPr="00D213B1">
              <w:rPr>
                <w:b/>
                <w:sz w:val="22"/>
                <w:szCs w:val="22"/>
              </w:rPr>
              <w:t xml:space="preserve">All </w:t>
            </w:r>
            <w:r>
              <w:rPr>
                <w:b/>
                <w:sz w:val="22"/>
                <w:szCs w:val="22"/>
              </w:rPr>
              <w:t>levels</w:t>
            </w:r>
          </w:p>
          <w:p w:rsidR="00B55FD3" w:rsidRPr="00D213B1" w:rsidRDefault="00B55FD3" w:rsidP="006D4F2B">
            <w:pPr>
              <w:autoSpaceDE w:val="0"/>
              <w:autoSpaceDN w:val="0"/>
              <w:adjustRightInd w:val="0"/>
              <w:jc w:val="center"/>
              <w:rPr>
                <w:b/>
                <w:sz w:val="22"/>
                <w:szCs w:val="22"/>
              </w:rPr>
            </w:pPr>
            <w:r>
              <w:rPr>
                <w:b/>
                <w:sz w:val="22"/>
                <w:szCs w:val="22"/>
              </w:rPr>
              <w:t>(n = 418)</w:t>
            </w:r>
          </w:p>
        </w:tc>
      </w:tr>
      <w:tr w:rsidR="00B55FD3" w:rsidTr="006D4F2B">
        <w:trPr>
          <w:trHeight w:val="360"/>
        </w:trPr>
        <w:tc>
          <w:tcPr>
            <w:tcW w:w="2430" w:type="dxa"/>
            <w:tcBorders>
              <w:bottom w:val="nil"/>
            </w:tcBorders>
            <w:vAlign w:val="center"/>
          </w:tcPr>
          <w:p w:rsidR="00B55FD3" w:rsidRPr="00D213B1" w:rsidRDefault="0037442B" w:rsidP="006D4F2B">
            <w:pPr>
              <w:autoSpaceDE w:val="0"/>
              <w:autoSpaceDN w:val="0"/>
              <w:adjustRightInd w:val="0"/>
              <w:rPr>
                <w:b/>
                <w:sz w:val="22"/>
                <w:szCs w:val="22"/>
              </w:rPr>
            </w:pPr>
            <w:r>
              <w:rPr>
                <w:b/>
                <w:sz w:val="22"/>
                <w:szCs w:val="22"/>
              </w:rPr>
              <w:t>Age</w:t>
            </w: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r>
      <w:tr w:rsidR="00B55FD3" w:rsidTr="006D4F2B">
        <w:trPr>
          <w:trHeight w:val="360"/>
        </w:trPr>
        <w:tc>
          <w:tcPr>
            <w:tcW w:w="2430" w:type="dxa"/>
            <w:tcBorders>
              <w:top w:val="nil"/>
              <w:bottom w:val="nil"/>
            </w:tcBorders>
            <w:vAlign w:val="center"/>
          </w:tcPr>
          <w:p w:rsidR="00B55FD3" w:rsidRPr="00D213B1" w:rsidRDefault="0037442B" w:rsidP="0037442B">
            <w:pPr>
              <w:autoSpaceDE w:val="0"/>
              <w:autoSpaceDN w:val="0"/>
              <w:adjustRightInd w:val="0"/>
              <w:ind w:left="342"/>
              <w:rPr>
                <w:b/>
                <w:sz w:val="22"/>
                <w:szCs w:val="22"/>
              </w:rPr>
            </w:pPr>
            <w:r>
              <w:rPr>
                <w:b/>
                <w:sz w:val="22"/>
                <w:szCs w:val="22"/>
              </w:rPr>
              <w:t>N</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142</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106</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78</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91</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418</w:t>
            </w:r>
          </w:p>
        </w:tc>
      </w:tr>
      <w:tr w:rsidR="00B55FD3" w:rsidTr="006D4F2B">
        <w:trPr>
          <w:trHeight w:val="360"/>
        </w:trPr>
        <w:tc>
          <w:tcPr>
            <w:tcW w:w="2430" w:type="dxa"/>
            <w:tcBorders>
              <w:top w:val="nil"/>
              <w:bottom w:val="nil"/>
            </w:tcBorders>
            <w:vAlign w:val="center"/>
          </w:tcPr>
          <w:p w:rsidR="00B55FD3" w:rsidRPr="00D213B1" w:rsidRDefault="0037442B" w:rsidP="0037442B">
            <w:pPr>
              <w:autoSpaceDE w:val="0"/>
              <w:autoSpaceDN w:val="0"/>
              <w:adjustRightInd w:val="0"/>
              <w:ind w:left="342"/>
              <w:rPr>
                <w:b/>
                <w:sz w:val="22"/>
                <w:szCs w:val="22"/>
              </w:rPr>
            </w:pPr>
            <w:r>
              <w:rPr>
                <w:b/>
                <w:sz w:val="22"/>
                <w:szCs w:val="22"/>
              </w:rPr>
              <w:t>Mean (sd)</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51.2 (9.8)</w:t>
            </w:r>
          </w:p>
        </w:tc>
        <w:tc>
          <w:tcPr>
            <w:tcW w:w="1584" w:type="dxa"/>
            <w:tcBorders>
              <w:top w:val="nil"/>
              <w:bottom w:val="nil"/>
            </w:tcBorders>
            <w:vAlign w:val="center"/>
          </w:tcPr>
          <w:p w:rsidR="00B55FD3" w:rsidRDefault="00CD1DEF" w:rsidP="006D4F2B">
            <w:pPr>
              <w:autoSpaceDE w:val="0"/>
              <w:autoSpaceDN w:val="0"/>
              <w:adjustRightInd w:val="0"/>
              <w:jc w:val="center"/>
              <w:rPr>
                <w:sz w:val="22"/>
                <w:szCs w:val="22"/>
              </w:rPr>
            </w:pPr>
            <w:r>
              <w:rPr>
                <w:sz w:val="22"/>
                <w:szCs w:val="22"/>
              </w:rPr>
              <w:t>50.6 (10.8)</w:t>
            </w:r>
          </w:p>
        </w:tc>
        <w:tc>
          <w:tcPr>
            <w:tcW w:w="1584" w:type="dxa"/>
            <w:tcBorders>
              <w:top w:val="nil"/>
              <w:bottom w:val="nil"/>
            </w:tcBorders>
            <w:vAlign w:val="center"/>
          </w:tcPr>
          <w:p w:rsidR="00B55FD3" w:rsidRDefault="00CD1DEF" w:rsidP="006D4F2B">
            <w:pPr>
              <w:autoSpaceDE w:val="0"/>
              <w:autoSpaceDN w:val="0"/>
              <w:adjustRightInd w:val="0"/>
              <w:jc w:val="center"/>
              <w:rPr>
                <w:sz w:val="22"/>
                <w:szCs w:val="22"/>
              </w:rPr>
            </w:pPr>
            <w:r>
              <w:rPr>
                <w:sz w:val="22"/>
                <w:szCs w:val="22"/>
              </w:rPr>
              <w:t>50.2 (11.4)</w:t>
            </w:r>
          </w:p>
        </w:tc>
        <w:tc>
          <w:tcPr>
            <w:tcW w:w="1584" w:type="dxa"/>
            <w:tcBorders>
              <w:top w:val="nil"/>
              <w:bottom w:val="nil"/>
            </w:tcBorders>
            <w:vAlign w:val="center"/>
          </w:tcPr>
          <w:p w:rsidR="00B55FD3" w:rsidRDefault="00CD1DEF" w:rsidP="006D4F2B">
            <w:pPr>
              <w:autoSpaceDE w:val="0"/>
              <w:autoSpaceDN w:val="0"/>
              <w:adjustRightInd w:val="0"/>
              <w:jc w:val="center"/>
              <w:rPr>
                <w:sz w:val="22"/>
                <w:szCs w:val="22"/>
              </w:rPr>
            </w:pPr>
            <w:r>
              <w:rPr>
                <w:sz w:val="22"/>
                <w:szCs w:val="22"/>
              </w:rPr>
              <w:t>50.7 (10.4)</w:t>
            </w:r>
          </w:p>
        </w:tc>
        <w:tc>
          <w:tcPr>
            <w:tcW w:w="1584" w:type="dxa"/>
            <w:tcBorders>
              <w:top w:val="nil"/>
              <w:bottom w:val="nil"/>
            </w:tcBorders>
            <w:vAlign w:val="center"/>
          </w:tcPr>
          <w:p w:rsidR="00B55FD3" w:rsidRDefault="00CD1DEF" w:rsidP="006D4F2B">
            <w:pPr>
              <w:autoSpaceDE w:val="0"/>
              <w:autoSpaceDN w:val="0"/>
              <w:adjustRightInd w:val="0"/>
              <w:jc w:val="center"/>
              <w:rPr>
                <w:sz w:val="22"/>
                <w:szCs w:val="22"/>
              </w:rPr>
            </w:pPr>
            <w:r>
              <w:rPr>
                <w:sz w:val="22"/>
                <w:szCs w:val="22"/>
              </w:rPr>
              <w:t>50.7 (10.4)</w:t>
            </w:r>
          </w:p>
        </w:tc>
      </w:tr>
      <w:tr w:rsidR="00B55FD3" w:rsidTr="006D4F2B">
        <w:trPr>
          <w:trHeight w:val="360"/>
        </w:trPr>
        <w:tc>
          <w:tcPr>
            <w:tcW w:w="2430" w:type="dxa"/>
            <w:tcBorders>
              <w:top w:val="nil"/>
              <w:bottom w:val="single" w:sz="4" w:space="0" w:color="auto"/>
            </w:tcBorders>
            <w:vAlign w:val="center"/>
          </w:tcPr>
          <w:p w:rsidR="00B55FD3" w:rsidRPr="00D213B1" w:rsidRDefault="0037442B" w:rsidP="0037442B">
            <w:pPr>
              <w:autoSpaceDE w:val="0"/>
              <w:autoSpaceDN w:val="0"/>
              <w:adjustRightInd w:val="0"/>
              <w:ind w:left="342"/>
              <w:rPr>
                <w:b/>
                <w:sz w:val="22"/>
                <w:szCs w:val="22"/>
              </w:rPr>
            </w:pPr>
            <w:r>
              <w:rPr>
                <w:b/>
                <w:sz w:val="22"/>
                <w:szCs w:val="22"/>
              </w:rPr>
              <w:t>Min - Max</w:t>
            </w:r>
          </w:p>
        </w:tc>
        <w:tc>
          <w:tcPr>
            <w:tcW w:w="1584" w:type="dxa"/>
            <w:tcBorders>
              <w:top w:val="nil"/>
              <w:bottom w:val="single" w:sz="4" w:space="0" w:color="auto"/>
            </w:tcBorders>
            <w:vAlign w:val="center"/>
          </w:tcPr>
          <w:p w:rsidR="00B55FD3" w:rsidRDefault="0037442B" w:rsidP="006D4F2B">
            <w:pPr>
              <w:autoSpaceDE w:val="0"/>
              <w:autoSpaceDN w:val="0"/>
              <w:adjustRightInd w:val="0"/>
              <w:jc w:val="center"/>
              <w:rPr>
                <w:sz w:val="22"/>
                <w:szCs w:val="22"/>
              </w:rPr>
            </w:pPr>
            <w:r>
              <w:rPr>
                <w:sz w:val="22"/>
                <w:szCs w:val="22"/>
              </w:rPr>
              <w:t>30.6 – 75.0</w:t>
            </w:r>
          </w:p>
        </w:tc>
        <w:tc>
          <w:tcPr>
            <w:tcW w:w="1584" w:type="dxa"/>
            <w:tcBorders>
              <w:top w:val="nil"/>
              <w:bottom w:val="single" w:sz="4" w:space="0" w:color="auto"/>
            </w:tcBorders>
            <w:vAlign w:val="center"/>
          </w:tcPr>
          <w:p w:rsidR="00B55FD3" w:rsidRDefault="00CD1DEF" w:rsidP="006D4F2B">
            <w:pPr>
              <w:autoSpaceDE w:val="0"/>
              <w:autoSpaceDN w:val="0"/>
              <w:adjustRightInd w:val="0"/>
              <w:jc w:val="center"/>
              <w:rPr>
                <w:sz w:val="22"/>
                <w:szCs w:val="22"/>
              </w:rPr>
            </w:pPr>
            <w:r>
              <w:rPr>
                <w:sz w:val="22"/>
                <w:szCs w:val="22"/>
              </w:rPr>
              <w:t>26.3 – 76.7</w:t>
            </w:r>
          </w:p>
        </w:tc>
        <w:tc>
          <w:tcPr>
            <w:tcW w:w="1584" w:type="dxa"/>
            <w:tcBorders>
              <w:top w:val="nil"/>
              <w:bottom w:val="single" w:sz="4" w:space="0" w:color="auto"/>
            </w:tcBorders>
            <w:vAlign w:val="center"/>
          </w:tcPr>
          <w:p w:rsidR="00B55FD3" w:rsidRDefault="00CD1DEF" w:rsidP="006D4F2B">
            <w:pPr>
              <w:autoSpaceDE w:val="0"/>
              <w:autoSpaceDN w:val="0"/>
              <w:adjustRightInd w:val="0"/>
              <w:jc w:val="center"/>
              <w:rPr>
                <w:sz w:val="22"/>
                <w:szCs w:val="22"/>
              </w:rPr>
            </w:pPr>
            <w:r>
              <w:rPr>
                <w:sz w:val="22"/>
                <w:szCs w:val="22"/>
              </w:rPr>
              <w:t>29.6 – 71.9</w:t>
            </w:r>
          </w:p>
        </w:tc>
        <w:tc>
          <w:tcPr>
            <w:tcW w:w="1584" w:type="dxa"/>
            <w:tcBorders>
              <w:top w:val="nil"/>
              <w:bottom w:val="single" w:sz="4" w:space="0" w:color="auto"/>
            </w:tcBorders>
            <w:vAlign w:val="center"/>
          </w:tcPr>
          <w:p w:rsidR="00B55FD3" w:rsidRDefault="00CD1DEF" w:rsidP="006D4F2B">
            <w:pPr>
              <w:autoSpaceDE w:val="0"/>
              <w:autoSpaceDN w:val="0"/>
              <w:adjustRightInd w:val="0"/>
              <w:jc w:val="center"/>
              <w:rPr>
                <w:sz w:val="22"/>
                <w:szCs w:val="22"/>
              </w:rPr>
            </w:pPr>
            <w:r>
              <w:rPr>
                <w:sz w:val="22"/>
                <w:szCs w:val="22"/>
              </w:rPr>
              <w:t>30.9 – 78.4</w:t>
            </w:r>
          </w:p>
        </w:tc>
        <w:tc>
          <w:tcPr>
            <w:tcW w:w="1584" w:type="dxa"/>
            <w:tcBorders>
              <w:top w:val="nil"/>
              <w:bottom w:val="single" w:sz="4" w:space="0" w:color="auto"/>
            </w:tcBorders>
            <w:vAlign w:val="center"/>
          </w:tcPr>
          <w:p w:rsidR="00B55FD3" w:rsidRDefault="00CD1DEF" w:rsidP="006D4F2B">
            <w:pPr>
              <w:autoSpaceDE w:val="0"/>
              <w:autoSpaceDN w:val="0"/>
              <w:adjustRightInd w:val="0"/>
              <w:jc w:val="center"/>
              <w:rPr>
                <w:sz w:val="22"/>
                <w:szCs w:val="22"/>
              </w:rPr>
            </w:pPr>
            <w:r>
              <w:rPr>
                <w:sz w:val="22"/>
                <w:szCs w:val="22"/>
              </w:rPr>
              <w:t>26.3 – 78.4</w:t>
            </w:r>
          </w:p>
        </w:tc>
      </w:tr>
      <w:tr w:rsidR="0037442B" w:rsidTr="006D4F2B">
        <w:trPr>
          <w:trHeight w:val="360"/>
        </w:trPr>
        <w:tc>
          <w:tcPr>
            <w:tcW w:w="2430" w:type="dxa"/>
            <w:tcBorders>
              <w:bottom w:val="nil"/>
            </w:tcBorders>
            <w:vAlign w:val="center"/>
          </w:tcPr>
          <w:p w:rsidR="0037442B" w:rsidRPr="00D213B1" w:rsidRDefault="0037442B" w:rsidP="0037442B">
            <w:pPr>
              <w:autoSpaceDE w:val="0"/>
              <w:autoSpaceDN w:val="0"/>
              <w:adjustRightInd w:val="0"/>
              <w:rPr>
                <w:b/>
                <w:sz w:val="22"/>
                <w:szCs w:val="22"/>
              </w:rPr>
            </w:pPr>
            <w:r>
              <w:rPr>
                <w:b/>
                <w:sz w:val="22"/>
                <w:szCs w:val="22"/>
              </w:rPr>
              <w:t>Sex</w:t>
            </w: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r>
      <w:tr w:rsidR="0037442B" w:rsidTr="006D4F2B">
        <w:trPr>
          <w:trHeight w:val="360"/>
        </w:trPr>
        <w:tc>
          <w:tcPr>
            <w:tcW w:w="2430" w:type="dxa"/>
            <w:tcBorders>
              <w:top w:val="nil"/>
              <w:bottom w:val="nil"/>
            </w:tcBorders>
            <w:vAlign w:val="center"/>
          </w:tcPr>
          <w:p w:rsidR="0037442B" w:rsidRPr="00D213B1" w:rsidRDefault="0037442B" w:rsidP="0037442B">
            <w:pPr>
              <w:autoSpaceDE w:val="0"/>
              <w:autoSpaceDN w:val="0"/>
              <w:adjustRightInd w:val="0"/>
              <w:ind w:left="342"/>
              <w:rPr>
                <w:b/>
                <w:sz w:val="22"/>
                <w:szCs w:val="22"/>
              </w:rPr>
            </w:pPr>
            <w:r>
              <w:rPr>
                <w:b/>
                <w:sz w:val="22"/>
                <w:szCs w:val="22"/>
              </w:rPr>
              <w:t>N</w:t>
            </w:r>
          </w:p>
        </w:tc>
        <w:tc>
          <w:tcPr>
            <w:tcW w:w="1584" w:type="dxa"/>
            <w:tcBorders>
              <w:top w:val="nil"/>
              <w:bottom w:val="nil"/>
            </w:tcBorders>
            <w:vAlign w:val="center"/>
          </w:tcPr>
          <w:p w:rsidR="0037442B" w:rsidRPr="0037442B" w:rsidRDefault="0037442B" w:rsidP="0037442B">
            <w:pPr>
              <w:autoSpaceDE w:val="0"/>
              <w:autoSpaceDN w:val="0"/>
              <w:adjustRightInd w:val="0"/>
              <w:jc w:val="center"/>
              <w:rPr>
                <w:sz w:val="22"/>
                <w:szCs w:val="22"/>
              </w:rPr>
            </w:pPr>
            <w:r>
              <w:rPr>
                <w:sz w:val="22"/>
                <w:szCs w:val="22"/>
              </w:rPr>
              <w:t>104</w:t>
            </w:r>
          </w:p>
        </w:tc>
        <w:tc>
          <w:tcPr>
            <w:tcW w:w="1584" w:type="dxa"/>
            <w:tcBorders>
              <w:top w:val="nil"/>
              <w:bottom w:val="nil"/>
            </w:tcBorders>
            <w:vAlign w:val="center"/>
          </w:tcPr>
          <w:p w:rsidR="0037442B" w:rsidRDefault="0037442B" w:rsidP="0037442B">
            <w:pPr>
              <w:autoSpaceDE w:val="0"/>
              <w:autoSpaceDN w:val="0"/>
              <w:adjustRightInd w:val="0"/>
              <w:jc w:val="center"/>
              <w:rPr>
                <w:sz w:val="22"/>
                <w:szCs w:val="22"/>
              </w:rPr>
            </w:pPr>
            <w:r>
              <w:rPr>
                <w:sz w:val="22"/>
                <w:szCs w:val="22"/>
              </w:rPr>
              <w:t>77</w:t>
            </w:r>
          </w:p>
        </w:tc>
        <w:tc>
          <w:tcPr>
            <w:tcW w:w="1584" w:type="dxa"/>
            <w:tcBorders>
              <w:top w:val="nil"/>
              <w:bottom w:val="nil"/>
            </w:tcBorders>
            <w:vAlign w:val="center"/>
          </w:tcPr>
          <w:p w:rsidR="0037442B" w:rsidRDefault="0037442B" w:rsidP="0037442B">
            <w:pPr>
              <w:autoSpaceDE w:val="0"/>
              <w:autoSpaceDN w:val="0"/>
              <w:adjustRightInd w:val="0"/>
              <w:jc w:val="center"/>
              <w:rPr>
                <w:sz w:val="22"/>
                <w:szCs w:val="22"/>
              </w:rPr>
            </w:pPr>
            <w:r>
              <w:rPr>
                <w:sz w:val="22"/>
                <w:szCs w:val="22"/>
              </w:rPr>
              <w:t>63</w:t>
            </w:r>
          </w:p>
        </w:tc>
        <w:tc>
          <w:tcPr>
            <w:tcW w:w="1584" w:type="dxa"/>
            <w:tcBorders>
              <w:top w:val="nil"/>
              <w:bottom w:val="nil"/>
            </w:tcBorders>
            <w:vAlign w:val="center"/>
          </w:tcPr>
          <w:p w:rsidR="0037442B" w:rsidRDefault="0037442B" w:rsidP="0037442B">
            <w:pPr>
              <w:autoSpaceDE w:val="0"/>
              <w:autoSpaceDN w:val="0"/>
              <w:adjustRightInd w:val="0"/>
              <w:jc w:val="center"/>
              <w:rPr>
                <w:sz w:val="22"/>
                <w:szCs w:val="22"/>
              </w:rPr>
            </w:pPr>
            <w:r>
              <w:rPr>
                <w:sz w:val="22"/>
                <w:szCs w:val="22"/>
              </w:rPr>
              <w:t>68</w:t>
            </w:r>
          </w:p>
        </w:tc>
        <w:tc>
          <w:tcPr>
            <w:tcW w:w="1584" w:type="dxa"/>
            <w:tcBorders>
              <w:top w:val="nil"/>
              <w:bottom w:val="nil"/>
            </w:tcBorders>
            <w:vAlign w:val="center"/>
          </w:tcPr>
          <w:p w:rsidR="0037442B" w:rsidRDefault="0037442B" w:rsidP="0037442B">
            <w:pPr>
              <w:autoSpaceDE w:val="0"/>
              <w:autoSpaceDN w:val="0"/>
              <w:adjustRightInd w:val="0"/>
              <w:jc w:val="center"/>
              <w:rPr>
                <w:sz w:val="22"/>
                <w:szCs w:val="22"/>
              </w:rPr>
            </w:pPr>
            <w:r>
              <w:rPr>
                <w:sz w:val="22"/>
                <w:szCs w:val="22"/>
              </w:rPr>
              <w:t>312</w:t>
            </w:r>
          </w:p>
        </w:tc>
      </w:tr>
      <w:tr w:rsidR="0037442B" w:rsidTr="006D4F2B">
        <w:trPr>
          <w:trHeight w:val="360"/>
        </w:trPr>
        <w:tc>
          <w:tcPr>
            <w:tcW w:w="2430" w:type="dxa"/>
            <w:tcBorders>
              <w:top w:val="nil"/>
            </w:tcBorders>
            <w:vAlign w:val="center"/>
          </w:tcPr>
          <w:p w:rsidR="0037442B" w:rsidRPr="00D213B1" w:rsidRDefault="0037442B" w:rsidP="0037442B">
            <w:pPr>
              <w:autoSpaceDE w:val="0"/>
              <w:autoSpaceDN w:val="0"/>
              <w:adjustRightInd w:val="0"/>
              <w:ind w:left="342"/>
              <w:rPr>
                <w:b/>
                <w:sz w:val="22"/>
                <w:szCs w:val="22"/>
              </w:rPr>
            </w:pPr>
            <w:r>
              <w:rPr>
                <w:b/>
                <w:sz w:val="22"/>
                <w:szCs w:val="22"/>
              </w:rPr>
              <w:t>Female - %</w:t>
            </w:r>
          </w:p>
        </w:tc>
        <w:tc>
          <w:tcPr>
            <w:tcW w:w="1584" w:type="dxa"/>
            <w:tcBorders>
              <w:top w:val="nil"/>
            </w:tcBorders>
            <w:vAlign w:val="center"/>
          </w:tcPr>
          <w:p w:rsidR="0037442B" w:rsidRPr="004A122E" w:rsidRDefault="0037442B" w:rsidP="0037442B">
            <w:pPr>
              <w:autoSpaceDE w:val="0"/>
              <w:autoSpaceDN w:val="0"/>
              <w:adjustRightInd w:val="0"/>
              <w:jc w:val="center"/>
              <w:rPr>
                <w:sz w:val="22"/>
                <w:szCs w:val="22"/>
              </w:rPr>
            </w:pPr>
            <w:r>
              <w:rPr>
                <w:sz w:val="22"/>
                <w:szCs w:val="22"/>
              </w:rPr>
              <w:t>93.27%</w:t>
            </w:r>
          </w:p>
        </w:tc>
        <w:tc>
          <w:tcPr>
            <w:tcW w:w="1584" w:type="dxa"/>
            <w:tcBorders>
              <w:top w:val="nil"/>
            </w:tcBorders>
            <w:vAlign w:val="center"/>
          </w:tcPr>
          <w:p w:rsidR="0037442B" w:rsidRPr="00FC06EB" w:rsidRDefault="0037442B" w:rsidP="0037442B">
            <w:pPr>
              <w:autoSpaceDE w:val="0"/>
              <w:autoSpaceDN w:val="0"/>
              <w:adjustRightInd w:val="0"/>
              <w:jc w:val="center"/>
              <w:rPr>
                <w:sz w:val="22"/>
                <w:szCs w:val="22"/>
              </w:rPr>
            </w:pPr>
            <w:r>
              <w:rPr>
                <w:sz w:val="22"/>
                <w:szCs w:val="22"/>
              </w:rPr>
              <w:t>88.31%</w:t>
            </w:r>
          </w:p>
        </w:tc>
        <w:tc>
          <w:tcPr>
            <w:tcW w:w="1584" w:type="dxa"/>
            <w:tcBorders>
              <w:top w:val="nil"/>
            </w:tcBorders>
            <w:vAlign w:val="center"/>
          </w:tcPr>
          <w:p w:rsidR="0037442B" w:rsidRDefault="0037442B" w:rsidP="0037442B">
            <w:pPr>
              <w:autoSpaceDE w:val="0"/>
              <w:autoSpaceDN w:val="0"/>
              <w:adjustRightInd w:val="0"/>
              <w:jc w:val="center"/>
              <w:rPr>
                <w:sz w:val="22"/>
                <w:szCs w:val="22"/>
              </w:rPr>
            </w:pPr>
            <w:r>
              <w:rPr>
                <w:sz w:val="22"/>
                <w:szCs w:val="22"/>
              </w:rPr>
              <w:t>82.54%</w:t>
            </w:r>
          </w:p>
        </w:tc>
        <w:tc>
          <w:tcPr>
            <w:tcW w:w="1584" w:type="dxa"/>
            <w:tcBorders>
              <w:top w:val="nil"/>
            </w:tcBorders>
            <w:vAlign w:val="center"/>
          </w:tcPr>
          <w:p w:rsidR="0037442B" w:rsidRDefault="0037442B" w:rsidP="0037442B">
            <w:pPr>
              <w:autoSpaceDE w:val="0"/>
              <w:autoSpaceDN w:val="0"/>
              <w:adjustRightInd w:val="0"/>
              <w:jc w:val="center"/>
              <w:rPr>
                <w:sz w:val="22"/>
                <w:szCs w:val="22"/>
              </w:rPr>
            </w:pPr>
            <w:r>
              <w:rPr>
                <w:sz w:val="22"/>
                <w:szCs w:val="22"/>
              </w:rPr>
              <w:t>86.76%</w:t>
            </w:r>
          </w:p>
        </w:tc>
        <w:tc>
          <w:tcPr>
            <w:tcW w:w="1584" w:type="dxa"/>
            <w:tcBorders>
              <w:top w:val="nil"/>
            </w:tcBorders>
            <w:vAlign w:val="center"/>
          </w:tcPr>
          <w:p w:rsidR="0037442B" w:rsidRDefault="0037442B" w:rsidP="0037442B">
            <w:pPr>
              <w:autoSpaceDE w:val="0"/>
              <w:autoSpaceDN w:val="0"/>
              <w:adjustRightInd w:val="0"/>
              <w:jc w:val="center"/>
              <w:rPr>
                <w:sz w:val="22"/>
                <w:szCs w:val="22"/>
              </w:rPr>
            </w:pPr>
            <w:r>
              <w:rPr>
                <w:sz w:val="22"/>
                <w:szCs w:val="22"/>
              </w:rPr>
              <w:t>88.46%</w:t>
            </w:r>
          </w:p>
        </w:tc>
      </w:tr>
    </w:tbl>
    <w:p w:rsidR="008357B2" w:rsidRDefault="008357B2" w:rsidP="00EE21A5">
      <w:pPr>
        <w:autoSpaceDE w:val="0"/>
        <w:autoSpaceDN w:val="0"/>
        <w:adjustRightInd w:val="0"/>
        <w:spacing w:after="120"/>
        <w:rPr>
          <w:sz w:val="22"/>
          <w:szCs w:val="22"/>
        </w:rPr>
      </w:pPr>
    </w:p>
    <w:p w:rsidR="00ED3DE8" w:rsidRPr="003E502F" w:rsidRDefault="008357B2" w:rsidP="008357B2">
      <w:pPr>
        <w:autoSpaceDE w:val="0"/>
        <w:autoSpaceDN w:val="0"/>
        <w:adjustRightInd w:val="0"/>
        <w:jc w:val="center"/>
        <w:rPr>
          <w:b/>
          <w:sz w:val="22"/>
          <w:szCs w:val="22"/>
        </w:rPr>
      </w:pPr>
      <w:r w:rsidRPr="003E502F">
        <w:rPr>
          <w:b/>
          <w:sz w:val="22"/>
          <w:szCs w:val="22"/>
        </w:rPr>
        <w:t>Table 1</w:t>
      </w:r>
      <w:r w:rsidR="0075184F">
        <w:rPr>
          <w:b/>
          <w:sz w:val="22"/>
          <w:szCs w:val="22"/>
        </w:rPr>
        <w:t>c</w:t>
      </w:r>
      <w:r w:rsidRPr="003E502F">
        <w:rPr>
          <w:b/>
          <w:sz w:val="22"/>
          <w:szCs w:val="22"/>
        </w:rPr>
        <w:t xml:space="preserve">. Descriptive Statistics </w:t>
      </w:r>
      <w:r w:rsidR="001662C0" w:rsidRPr="003E502F">
        <w:rPr>
          <w:b/>
          <w:sz w:val="22"/>
          <w:szCs w:val="22"/>
        </w:rPr>
        <w:t xml:space="preserve">of Vital Status by </w:t>
      </w:r>
      <w:r w:rsidRPr="003E502F">
        <w:rPr>
          <w:b/>
          <w:sz w:val="22"/>
          <w:szCs w:val="22"/>
        </w:rPr>
        <w:t>Age</w:t>
      </w:r>
    </w:p>
    <w:tbl>
      <w:tblPr>
        <w:tblStyle w:val="TableGrid"/>
        <w:tblW w:w="10350" w:type="dxa"/>
        <w:tblInd w:w="-635" w:type="dxa"/>
        <w:tblLook w:val="04A0" w:firstRow="1" w:lastRow="0" w:firstColumn="1" w:lastColumn="0" w:noHBand="0" w:noVBand="1"/>
      </w:tblPr>
      <w:tblGrid>
        <w:gridCol w:w="2430"/>
        <w:gridCol w:w="1584"/>
        <w:gridCol w:w="1584"/>
        <w:gridCol w:w="1584"/>
        <w:gridCol w:w="1584"/>
        <w:gridCol w:w="1584"/>
      </w:tblGrid>
      <w:tr w:rsidR="001662C0" w:rsidTr="000449A7">
        <w:trPr>
          <w:trHeight w:val="360"/>
        </w:trPr>
        <w:tc>
          <w:tcPr>
            <w:tcW w:w="2430" w:type="dxa"/>
            <w:vMerge w:val="restart"/>
            <w:vAlign w:val="center"/>
          </w:tcPr>
          <w:p w:rsidR="001662C0" w:rsidRDefault="001662C0" w:rsidP="001662C0">
            <w:pPr>
              <w:autoSpaceDE w:val="0"/>
              <w:autoSpaceDN w:val="0"/>
              <w:adjustRightInd w:val="0"/>
              <w:rPr>
                <w:sz w:val="22"/>
                <w:szCs w:val="22"/>
              </w:rPr>
            </w:pPr>
          </w:p>
        </w:tc>
        <w:tc>
          <w:tcPr>
            <w:tcW w:w="7920" w:type="dxa"/>
            <w:gridSpan w:val="5"/>
            <w:vAlign w:val="center"/>
          </w:tcPr>
          <w:p w:rsidR="001662C0" w:rsidRPr="00D213B1" w:rsidRDefault="00540388" w:rsidP="00540388">
            <w:pPr>
              <w:autoSpaceDE w:val="0"/>
              <w:autoSpaceDN w:val="0"/>
              <w:adjustRightInd w:val="0"/>
              <w:jc w:val="center"/>
              <w:rPr>
                <w:b/>
                <w:sz w:val="22"/>
                <w:szCs w:val="22"/>
                <w:vertAlign w:val="superscript"/>
              </w:rPr>
            </w:pPr>
            <w:r w:rsidRPr="00D213B1">
              <w:rPr>
                <w:b/>
                <w:sz w:val="22"/>
                <w:szCs w:val="22"/>
              </w:rPr>
              <w:t>Age (years)</w:t>
            </w:r>
          </w:p>
        </w:tc>
      </w:tr>
      <w:tr w:rsidR="001662C0" w:rsidTr="00911B02">
        <w:trPr>
          <w:trHeight w:val="360"/>
        </w:trPr>
        <w:tc>
          <w:tcPr>
            <w:tcW w:w="2430" w:type="dxa"/>
            <w:vMerge/>
            <w:tcBorders>
              <w:bottom w:val="single" w:sz="4" w:space="0" w:color="auto"/>
            </w:tcBorders>
            <w:vAlign w:val="center"/>
          </w:tcPr>
          <w:p w:rsidR="001662C0" w:rsidRDefault="001662C0" w:rsidP="001662C0">
            <w:pPr>
              <w:autoSpaceDE w:val="0"/>
              <w:autoSpaceDN w:val="0"/>
              <w:adjustRightInd w:val="0"/>
              <w:rPr>
                <w:sz w:val="22"/>
                <w:szCs w:val="22"/>
              </w:rPr>
            </w:pPr>
          </w:p>
        </w:tc>
        <w:tc>
          <w:tcPr>
            <w:tcW w:w="1584" w:type="dxa"/>
            <w:tcBorders>
              <w:bottom w:val="single" w:sz="4" w:space="0" w:color="auto"/>
            </w:tcBorders>
            <w:vAlign w:val="center"/>
          </w:tcPr>
          <w:p w:rsidR="001662C0" w:rsidRPr="00D213B1" w:rsidRDefault="00540388" w:rsidP="007907CB">
            <w:pPr>
              <w:autoSpaceDE w:val="0"/>
              <w:autoSpaceDN w:val="0"/>
              <w:adjustRightInd w:val="0"/>
              <w:jc w:val="center"/>
              <w:rPr>
                <w:b/>
                <w:sz w:val="22"/>
                <w:szCs w:val="22"/>
              </w:rPr>
            </w:pPr>
            <w:r w:rsidRPr="00D213B1">
              <w:rPr>
                <w:b/>
                <w:sz w:val="22"/>
                <w:szCs w:val="22"/>
              </w:rPr>
              <w:t xml:space="preserve">Age </w:t>
            </w:r>
            <w:r w:rsidR="00DA3E14">
              <w:rPr>
                <w:b/>
                <w:sz w:val="22"/>
                <w:szCs w:val="22"/>
              </w:rPr>
              <w:t xml:space="preserve">&lt; </w:t>
            </w:r>
            <w:r w:rsidRPr="00D213B1">
              <w:rPr>
                <w:b/>
                <w:sz w:val="22"/>
                <w:szCs w:val="22"/>
              </w:rPr>
              <w:t>40</w:t>
            </w:r>
          </w:p>
        </w:tc>
        <w:tc>
          <w:tcPr>
            <w:tcW w:w="1584" w:type="dxa"/>
            <w:tcBorders>
              <w:bottom w:val="single" w:sz="4" w:space="0" w:color="auto"/>
            </w:tcBorders>
            <w:vAlign w:val="center"/>
          </w:tcPr>
          <w:p w:rsidR="001662C0" w:rsidRPr="00D213B1" w:rsidRDefault="00540388" w:rsidP="007907CB">
            <w:pPr>
              <w:autoSpaceDE w:val="0"/>
              <w:autoSpaceDN w:val="0"/>
              <w:adjustRightInd w:val="0"/>
              <w:jc w:val="center"/>
              <w:rPr>
                <w:b/>
                <w:sz w:val="22"/>
                <w:szCs w:val="22"/>
              </w:rPr>
            </w:pPr>
            <w:r w:rsidRPr="00D213B1">
              <w:rPr>
                <w:b/>
                <w:sz w:val="22"/>
                <w:szCs w:val="22"/>
              </w:rPr>
              <w:t>40 ≤ Age &lt; 50</w:t>
            </w:r>
          </w:p>
        </w:tc>
        <w:tc>
          <w:tcPr>
            <w:tcW w:w="1584" w:type="dxa"/>
            <w:tcBorders>
              <w:bottom w:val="single" w:sz="4" w:space="0" w:color="auto"/>
            </w:tcBorders>
            <w:vAlign w:val="center"/>
          </w:tcPr>
          <w:p w:rsidR="001662C0" w:rsidRPr="00D213B1" w:rsidRDefault="00F6252C" w:rsidP="007907CB">
            <w:pPr>
              <w:autoSpaceDE w:val="0"/>
              <w:autoSpaceDN w:val="0"/>
              <w:adjustRightInd w:val="0"/>
              <w:jc w:val="center"/>
              <w:rPr>
                <w:b/>
                <w:sz w:val="22"/>
                <w:szCs w:val="22"/>
              </w:rPr>
            </w:pPr>
            <w:r w:rsidRPr="00D213B1">
              <w:rPr>
                <w:b/>
                <w:sz w:val="22"/>
                <w:szCs w:val="22"/>
              </w:rPr>
              <w:t>50 ≤ Age &lt; 60</w:t>
            </w:r>
          </w:p>
        </w:tc>
        <w:tc>
          <w:tcPr>
            <w:tcW w:w="1584" w:type="dxa"/>
            <w:tcBorders>
              <w:bottom w:val="single" w:sz="4" w:space="0" w:color="auto"/>
            </w:tcBorders>
            <w:vAlign w:val="center"/>
          </w:tcPr>
          <w:p w:rsidR="001662C0" w:rsidRPr="00D213B1" w:rsidRDefault="00F6252C" w:rsidP="007907CB">
            <w:pPr>
              <w:autoSpaceDE w:val="0"/>
              <w:autoSpaceDN w:val="0"/>
              <w:adjustRightInd w:val="0"/>
              <w:jc w:val="center"/>
              <w:rPr>
                <w:b/>
                <w:sz w:val="22"/>
                <w:szCs w:val="22"/>
              </w:rPr>
            </w:pPr>
            <w:r w:rsidRPr="00D213B1">
              <w:rPr>
                <w:b/>
                <w:sz w:val="22"/>
                <w:szCs w:val="22"/>
              </w:rPr>
              <w:t>Age ≥ 60</w:t>
            </w:r>
          </w:p>
        </w:tc>
        <w:tc>
          <w:tcPr>
            <w:tcW w:w="1584" w:type="dxa"/>
            <w:tcBorders>
              <w:bottom w:val="single" w:sz="4" w:space="0" w:color="auto"/>
            </w:tcBorders>
            <w:vAlign w:val="center"/>
          </w:tcPr>
          <w:p w:rsidR="001662C0" w:rsidRPr="00D213B1" w:rsidRDefault="00F6252C" w:rsidP="007907CB">
            <w:pPr>
              <w:autoSpaceDE w:val="0"/>
              <w:autoSpaceDN w:val="0"/>
              <w:adjustRightInd w:val="0"/>
              <w:jc w:val="center"/>
              <w:rPr>
                <w:b/>
                <w:sz w:val="22"/>
                <w:szCs w:val="22"/>
              </w:rPr>
            </w:pPr>
            <w:r w:rsidRPr="00D213B1">
              <w:rPr>
                <w:b/>
                <w:sz w:val="22"/>
                <w:szCs w:val="22"/>
              </w:rPr>
              <w:t>All age groups</w:t>
            </w:r>
          </w:p>
        </w:tc>
      </w:tr>
      <w:tr w:rsidR="00ED3DE8" w:rsidTr="00911B02">
        <w:trPr>
          <w:trHeight w:val="360"/>
        </w:trPr>
        <w:tc>
          <w:tcPr>
            <w:tcW w:w="2430" w:type="dxa"/>
            <w:tcBorders>
              <w:bottom w:val="nil"/>
            </w:tcBorders>
            <w:vAlign w:val="center"/>
          </w:tcPr>
          <w:p w:rsidR="00ED3DE8" w:rsidRPr="00D213B1" w:rsidRDefault="00F6252C" w:rsidP="001662C0">
            <w:pPr>
              <w:autoSpaceDE w:val="0"/>
              <w:autoSpaceDN w:val="0"/>
              <w:adjustRightInd w:val="0"/>
              <w:rPr>
                <w:b/>
                <w:sz w:val="22"/>
                <w:szCs w:val="22"/>
              </w:rPr>
            </w:pPr>
            <w:r w:rsidRPr="00D213B1">
              <w:rPr>
                <w:b/>
                <w:sz w:val="22"/>
                <w:szCs w:val="22"/>
              </w:rPr>
              <w:t>N s</w:t>
            </w:r>
            <w:r w:rsidR="001662C0" w:rsidRPr="00D213B1">
              <w:rPr>
                <w:b/>
                <w:sz w:val="22"/>
                <w:szCs w:val="22"/>
              </w:rPr>
              <w:t>ubjects</w:t>
            </w:r>
            <w:r w:rsidRPr="00D213B1">
              <w:rPr>
                <w:b/>
                <w:sz w:val="22"/>
                <w:szCs w:val="22"/>
                <w:vertAlign w:val="superscript"/>
              </w:rPr>
              <w:t>[1]</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69</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126</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135</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88</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418</w:t>
            </w:r>
          </w:p>
        </w:tc>
      </w:tr>
      <w:tr w:rsidR="00ED3DE8" w:rsidTr="00911B02">
        <w:trPr>
          <w:trHeight w:val="360"/>
        </w:trPr>
        <w:tc>
          <w:tcPr>
            <w:tcW w:w="2430" w:type="dxa"/>
            <w:tcBorders>
              <w:top w:val="nil"/>
              <w:bottom w:val="single" w:sz="4" w:space="0" w:color="auto"/>
            </w:tcBorders>
            <w:vAlign w:val="center"/>
          </w:tcPr>
          <w:p w:rsidR="00ED3DE8" w:rsidRPr="00D213B1" w:rsidRDefault="001662C0" w:rsidP="001662C0">
            <w:pPr>
              <w:autoSpaceDE w:val="0"/>
              <w:autoSpaceDN w:val="0"/>
              <w:adjustRightInd w:val="0"/>
              <w:rPr>
                <w:b/>
                <w:sz w:val="22"/>
                <w:szCs w:val="22"/>
              </w:rPr>
            </w:pPr>
            <w:r w:rsidRPr="00D213B1">
              <w:rPr>
                <w:b/>
                <w:sz w:val="22"/>
                <w:szCs w:val="22"/>
              </w:rPr>
              <w:t xml:space="preserve">N </w:t>
            </w:r>
            <w:r w:rsidR="00F6252C" w:rsidRPr="00D213B1">
              <w:rPr>
                <w:b/>
                <w:sz w:val="22"/>
                <w:szCs w:val="22"/>
              </w:rPr>
              <w:t>d</w:t>
            </w:r>
            <w:r w:rsidRPr="00D213B1">
              <w:rPr>
                <w:b/>
                <w:sz w:val="22"/>
                <w:szCs w:val="22"/>
              </w:rPr>
              <w:t>eaths</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13</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42</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59</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47</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161</w:t>
            </w:r>
          </w:p>
        </w:tc>
      </w:tr>
      <w:tr w:rsidR="00ED3DE8" w:rsidTr="00911B02">
        <w:trPr>
          <w:trHeight w:val="360"/>
        </w:trPr>
        <w:tc>
          <w:tcPr>
            <w:tcW w:w="2430" w:type="dxa"/>
            <w:tcBorders>
              <w:bottom w:val="nil"/>
            </w:tcBorders>
            <w:vAlign w:val="center"/>
          </w:tcPr>
          <w:p w:rsidR="00ED3DE8" w:rsidRPr="00D213B1" w:rsidRDefault="001662C0" w:rsidP="001662C0">
            <w:pPr>
              <w:autoSpaceDE w:val="0"/>
              <w:autoSpaceDN w:val="0"/>
              <w:adjustRightInd w:val="0"/>
              <w:rPr>
                <w:b/>
                <w:sz w:val="22"/>
                <w:szCs w:val="22"/>
              </w:rPr>
            </w:pPr>
            <w:r w:rsidRPr="00D213B1">
              <w:rPr>
                <w:b/>
                <w:sz w:val="22"/>
                <w:szCs w:val="22"/>
              </w:rPr>
              <w:t>Survival at 1 year</w:t>
            </w:r>
          </w:p>
        </w:tc>
        <w:tc>
          <w:tcPr>
            <w:tcW w:w="1584" w:type="dxa"/>
            <w:tcBorders>
              <w:bottom w:val="nil"/>
            </w:tcBorders>
            <w:vAlign w:val="center"/>
          </w:tcPr>
          <w:p w:rsidR="00ED3DE8" w:rsidRDefault="00854690" w:rsidP="003C6E84">
            <w:pPr>
              <w:autoSpaceDE w:val="0"/>
              <w:autoSpaceDN w:val="0"/>
              <w:adjustRightInd w:val="0"/>
              <w:jc w:val="center"/>
              <w:rPr>
                <w:sz w:val="22"/>
                <w:szCs w:val="22"/>
              </w:rPr>
            </w:pPr>
            <w:r>
              <w:rPr>
                <w:sz w:val="22"/>
                <w:szCs w:val="22"/>
              </w:rPr>
              <w:t>98.6%</w:t>
            </w:r>
          </w:p>
        </w:tc>
        <w:tc>
          <w:tcPr>
            <w:tcW w:w="1584" w:type="dxa"/>
            <w:tcBorders>
              <w:bottom w:val="nil"/>
            </w:tcBorders>
            <w:vAlign w:val="center"/>
          </w:tcPr>
          <w:p w:rsidR="00ED3DE8" w:rsidRDefault="007E77F2" w:rsidP="003C6E84">
            <w:pPr>
              <w:autoSpaceDE w:val="0"/>
              <w:autoSpaceDN w:val="0"/>
              <w:adjustRightInd w:val="0"/>
              <w:jc w:val="center"/>
              <w:rPr>
                <w:sz w:val="22"/>
                <w:szCs w:val="22"/>
              </w:rPr>
            </w:pPr>
            <w:r>
              <w:rPr>
                <w:sz w:val="22"/>
                <w:szCs w:val="22"/>
              </w:rPr>
              <w:t>93.7%</w:t>
            </w:r>
          </w:p>
        </w:tc>
        <w:tc>
          <w:tcPr>
            <w:tcW w:w="1584" w:type="dxa"/>
            <w:tcBorders>
              <w:bottom w:val="nil"/>
            </w:tcBorders>
            <w:vAlign w:val="center"/>
          </w:tcPr>
          <w:p w:rsidR="00ED3DE8" w:rsidRDefault="00857E9C" w:rsidP="003C6E84">
            <w:pPr>
              <w:autoSpaceDE w:val="0"/>
              <w:autoSpaceDN w:val="0"/>
              <w:adjustRightInd w:val="0"/>
              <w:jc w:val="center"/>
              <w:rPr>
                <w:sz w:val="22"/>
                <w:szCs w:val="22"/>
              </w:rPr>
            </w:pPr>
            <w:r>
              <w:rPr>
                <w:sz w:val="22"/>
                <w:szCs w:val="22"/>
              </w:rPr>
              <w:t>91.1%</w:t>
            </w:r>
          </w:p>
        </w:tc>
        <w:tc>
          <w:tcPr>
            <w:tcW w:w="1584" w:type="dxa"/>
            <w:tcBorders>
              <w:bottom w:val="nil"/>
            </w:tcBorders>
            <w:vAlign w:val="center"/>
          </w:tcPr>
          <w:p w:rsidR="00ED3DE8" w:rsidRDefault="00EA7742" w:rsidP="003C6E84">
            <w:pPr>
              <w:autoSpaceDE w:val="0"/>
              <w:autoSpaceDN w:val="0"/>
              <w:adjustRightInd w:val="0"/>
              <w:jc w:val="center"/>
              <w:rPr>
                <w:sz w:val="22"/>
                <w:szCs w:val="22"/>
              </w:rPr>
            </w:pPr>
            <w:r>
              <w:rPr>
                <w:sz w:val="22"/>
                <w:szCs w:val="22"/>
              </w:rPr>
              <w:t>89.8%</w:t>
            </w:r>
          </w:p>
        </w:tc>
        <w:tc>
          <w:tcPr>
            <w:tcW w:w="1584" w:type="dxa"/>
            <w:tcBorders>
              <w:bottom w:val="nil"/>
            </w:tcBorders>
            <w:vAlign w:val="center"/>
          </w:tcPr>
          <w:p w:rsidR="00ED3DE8" w:rsidRDefault="00F92D7F" w:rsidP="003C6E84">
            <w:pPr>
              <w:autoSpaceDE w:val="0"/>
              <w:autoSpaceDN w:val="0"/>
              <w:adjustRightInd w:val="0"/>
              <w:jc w:val="center"/>
              <w:rPr>
                <w:sz w:val="22"/>
                <w:szCs w:val="22"/>
              </w:rPr>
            </w:pPr>
            <w:r>
              <w:rPr>
                <w:sz w:val="22"/>
                <w:szCs w:val="22"/>
              </w:rPr>
              <w:t>92.8%</w:t>
            </w:r>
          </w:p>
        </w:tc>
      </w:tr>
      <w:tr w:rsidR="00ED3DE8" w:rsidTr="00911B02">
        <w:trPr>
          <w:trHeight w:val="360"/>
        </w:trPr>
        <w:tc>
          <w:tcPr>
            <w:tcW w:w="2430" w:type="dxa"/>
            <w:tcBorders>
              <w:top w:val="nil"/>
              <w:bottom w:val="nil"/>
            </w:tcBorders>
            <w:vAlign w:val="center"/>
          </w:tcPr>
          <w:p w:rsidR="00ED3DE8" w:rsidRPr="00D213B1" w:rsidRDefault="001662C0" w:rsidP="001662C0">
            <w:pPr>
              <w:autoSpaceDE w:val="0"/>
              <w:autoSpaceDN w:val="0"/>
              <w:adjustRightInd w:val="0"/>
              <w:rPr>
                <w:b/>
                <w:sz w:val="22"/>
                <w:szCs w:val="22"/>
              </w:rPr>
            </w:pPr>
            <w:r w:rsidRPr="00D213B1">
              <w:rPr>
                <w:b/>
                <w:sz w:val="22"/>
                <w:szCs w:val="22"/>
              </w:rPr>
              <w:t>Survival at 2 years</w:t>
            </w:r>
          </w:p>
        </w:tc>
        <w:tc>
          <w:tcPr>
            <w:tcW w:w="1584" w:type="dxa"/>
            <w:tcBorders>
              <w:top w:val="nil"/>
              <w:bottom w:val="nil"/>
            </w:tcBorders>
            <w:vAlign w:val="center"/>
          </w:tcPr>
          <w:p w:rsidR="00ED3DE8" w:rsidRDefault="00854690" w:rsidP="003C6E84">
            <w:pPr>
              <w:autoSpaceDE w:val="0"/>
              <w:autoSpaceDN w:val="0"/>
              <w:adjustRightInd w:val="0"/>
              <w:jc w:val="center"/>
              <w:rPr>
                <w:sz w:val="22"/>
                <w:szCs w:val="22"/>
              </w:rPr>
            </w:pPr>
            <w:r>
              <w:rPr>
                <w:sz w:val="22"/>
                <w:szCs w:val="22"/>
              </w:rPr>
              <w:t>98.6%</w:t>
            </w:r>
          </w:p>
        </w:tc>
        <w:tc>
          <w:tcPr>
            <w:tcW w:w="1584" w:type="dxa"/>
            <w:tcBorders>
              <w:top w:val="nil"/>
              <w:bottom w:val="nil"/>
            </w:tcBorders>
            <w:vAlign w:val="center"/>
          </w:tcPr>
          <w:p w:rsidR="00ED3DE8" w:rsidRDefault="007E77F2" w:rsidP="003C6E84">
            <w:pPr>
              <w:autoSpaceDE w:val="0"/>
              <w:autoSpaceDN w:val="0"/>
              <w:adjustRightInd w:val="0"/>
              <w:jc w:val="center"/>
              <w:rPr>
                <w:sz w:val="22"/>
                <w:szCs w:val="22"/>
              </w:rPr>
            </w:pPr>
            <w:r>
              <w:rPr>
                <w:sz w:val="22"/>
                <w:szCs w:val="22"/>
              </w:rPr>
              <w:t>88.1%</w:t>
            </w:r>
          </w:p>
        </w:tc>
        <w:tc>
          <w:tcPr>
            <w:tcW w:w="1584" w:type="dxa"/>
            <w:tcBorders>
              <w:top w:val="nil"/>
              <w:bottom w:val="nil"/>
            </w:tcBorders>
            <w:vAlign w:val="center"/>
          </w:tcPr>
          <w:p w:rsidR="00ED3DE8" w:rsidRDefault="00857E9C" w:rsidP="003C6E84">
            <w:pPr>
              <w:autoSpaceDE w:val="0"/>
              <w:autoSpaceDN w:val="0"/>
              <w:adjustRightInd w:val="0"/>
              <w:jc w:val="center"/>
              <w:rPr>
                <w:sz w:val="22"/>
                <w:szCs w:val="22"/>
              </w:rPr>
            </w:pPr>
            <w:r>
              <w:rPr>
                <w:sz w:val="22"/>
                <w:szCs w:val="22"/>
              </w:rPr>
              <w:t>86.7%</w:t>
            </w:r>
          </w:p>
        </w:tc>
        <w:tc>
          <w:tcPr>
            <w:tcW w:w="1584" w:type="dxa"/>
            <w:tcBorders>
              <w:top w:val="nil"/>
              <w:bottom w:val="nil"/>
            </w:tcBorders>
            <w:vAlign w:val="center"/>
          </w:tcPr>
          <w:p w:rsidR="00ED3DE8" w:rsidRDefault="00EA7742" w:rsidP="003C6E84">
            <w:pPr>
              <w:autoSpaceDE w:val="0"/>
              <w:autoSpaceDN w:val="0"/>
              <w:adjustRightInd w:val="0"/>
              <w:jc w:val="center"/>
              <w:rPr>
                <w:sz w:val="22"/>
                <w:szCs w:val="22"/>
              </w:rPr>
            </w:pPr>
            <w:r>
              <w:rPr>
                <w:sz w:val="22"/>
                <w:szCs w:val="22"/>
              </w:rPr>
              <w:t>81.8%</w:t>
            </w:r>
          </w:p>
        </w:tc>
        <w:tc>
          <w:tcPr>
            <w:tcW w:w="1584" w:type="dxa"/>
            <w:tcBorders>
              <w:top w:val="nil"/>
              <w:bottom w:val="nil"/>
            </w:tcBorders>
            <w:vAlign w:val="center"/>
          </w:tcPr>
          <w:p w:rsidR="00ED3DE8" w:rsidRDefault="00F92D7F" w:rsidP="003C6E84">
            <w:pPr>
              <w:autoSpaceDE w:val="0"/>
              <w:autoSpaceDN w:val="0"/>
              <w:adjustRightInd w:val="0"/>
              <w:jc w:val="center"/>
              <w:rPr>
                <w:sz w:val="22"/>
                <w:szCs w:val="22"/>
              </w:rPr>
            </w:pPr>
            <w:r>
              <w:rPr>
                <w:sz w:val="22"/>
                <w:szCs w:val="22"/>
              </w:rPr>
              <w:t>88.8%</w:t>
            </w:r>
          </w:p>
        </w:tc>
      </w:tr>
      <w:tr w:rsidR="00ED3DE8" w:rsidTr="00911B02">
        <w:trPr>
          <w:trHeight w:val="360"/>
        </w:trPr>
        <w:tc>
          <w:tcPr>
            <w:tcW w:w="2430" w:type="dxa"/>
            <w:tcBorders>
              <w:top w:val="nil"/>
              <w:bottom w:val="nil"/>
            </w:tcBorders>
            <w:vAlign w:val="center"/>
          </w:tcPr>
          <w:p w:rsidR="00ED3DE8" w:rsidRPr="00D213B1" w:rsidRDefault="001662C0" w:rsidP="001662C0">
            <w:pPr>
              <w:autoSpaceDE w:val="0"/>
              <w:autoSpaceDN w:val="0"/>
              <w:adjustRightInd w:val="0"/>
              <w:rPr>
                <w:b/>
                <w:sz w:val="22"/>
                <w:szCs w:val="22"/>
              </w:rPr>
            </w:pPr>
            <w:r w:rsidRPr="00D213B1">
              <w:rPr>
                <w:b/>
                <w:sz w:val="22"/>
                <w:szCs w:val="22"/>
              </w:rPr>
              <w:t>Survival at 5 years</w:t>
            </w:r>
          </w:p>
        </w:tc>
        <w:tc>
          <w:tcPr>
            <w:tcW w:w="1584" w:type="dxa"/>
            <w:tcBorders>
              <w:top w:val="nil"/>
              <w:bottom w:val="nil"/>
            </w:tcBorders>
            <w:vAlign w:val="center"/>
          </w:tcPr>
          <w:p w:rsidR="00ED3DE8" w:rsidRDefault="00854690" w:rsidP="003C6E84">
            <w:pPr>
              <w:autoSpaceDE w:val="0"/>
              <w:autoSpaceDN w:val="0"/>
              <w:adjustRightInd w:val="0"/>
              <w:jc w:val="center"/>
              <w:rPr>
                <w:sz w:val="22"/>
                <w:szCs w:val="22"/>
              </w:rPr>
            </w:pPr>
            <w:r>
              <w:rPr>
                <w:sz w:val="22"/>
                <w:szCs w:val="22"/>
              </w:rPr>
              <w:t>83.8%</w:t>
            </w:r>
          </w:p>
        </w:tc>
        <w:tc>
          <w:tcPr>
            <w:tcW w:w="1584" w:type="dxa"/>
            <w:tcBorders>
              <w:top w:val="nil"/>
              <w:bottom w:val="nil"/>
            </w:tcBorders>
            <w:vAlign w:val="center"/>
          </w:tcPr>
          <w:p w:rsidR="00ED3DE8" w:rsidRDefault="007E77F2" w:rsidP="003C6E84">
            <w:pPr>
              <w:autoSpaceDE w:val="0"/>
              <w:autoSpaceDN w:val="0"/>
              <w:adjustRightInd w:val="0"/>
              <w:jc w:val="center"/>
              <w:rPr>
                <w:sz w:val="22"/>
                <w:szCs w:val="22"/>
              </w:rPr>
            </w:pPr>
            <w:r>
              <w:rPr>
                <w:sz w:val="22"/>
                <w:szCs w:val="22"/>
              </w:rPr>
              <w:t>73.8%</w:t>
            </w:r>
          </w:p>
        </w:tc>
        <w:tc>
          <w:tcPr>
            <w:tcW w:w="1584" w:type="dxa"/>
            <w:tcBorders>
              <w:top w:val="nil"/>
              <w:bottom w:val="nil"/>
            </w:tcBorders>
            <w:vAlign w:val="center"/>
          </w:tcPr>
          <w:p w:rsidR="00ED3DE8" w:rsidRDefault="00857E9C" w:rsidP="003C6E84">
            <w:pPr>
              <w:autoSpaceDE w:val="0"/>
              <w:autoSpaceDN w:val="0"/>
              <w:adjustRightInd w:val="0"/>
              <w:jc w:val="center"/>
              <w:rPr>
                <w:sz w:val="22"/>
                <w:szCs w:val="22"/>
              </w:rPr>
            </w:pPr>
            <w:r>
              <w:rPr>
                <w:sz w:val="22"/>
                <w:szCs w:val="22"/>
              </w:rPr>
              <w:t>67.2%</w:t>
            </w:r>
          </w:p>
        </w:tc>
        <w:tc>
          <w:tcPr>
            <w:tcW w:w="1584" w:type="dxa"/>
            <w:tcBorders>
              <w:top w:val="nil"/>
              <w:bottom w:val="nil"/>
            </w:tcBorders>
            <w:vAlign w:val="center"/>
          </w:tcPr>
          <w:p w:rsidR="00ED3DE8" w:rsidRDefault="00EA7742" w:rsidP="003C6E84">
            <w:pPr>
              <w:autoSpaceDE w:val="0"/>
              <w:autoSpaceDN w:val="0"/>
              <w:adjustRightInd w:val="0"/>
              <w:jc w:val="center"/>
              <w:rPr>
                <w:sz w:val="22"/>
                <w:szCs w:val="22"/>
              </w:rPr>
            </w:pPr>
            <w:r>
              <w:rPr>
                <w:sz w:val="22"/>
                <w:szCs w:val="22"/>
              </w:rPr>
              <w:t>56.4%</w:t>
            </w:r>
          </w:p>
        </w:tc>
        <w:tc>
          <w:tcPr>
            <w:tcW w:w="1584" w:type="dxa"/>
            <w:tcBorders>
              <w:top w:val="nil"/>
              <w:bottom w:val="nil"/>
            </w:tcBorders>
            <w:vAlign w:val="center"/>
          </w:tcPr>
          <w:p w:rsidR="00ED3DE8" w:rsidRDefault="00F92D7F" w:rsidP="003C6E84">
            <w:pPr>
              <w:autoSpaceDE w:val="0"/>
              <w:autoSpaceDN w:val="0"/>
              <w:adjustRightInd w:val="0"/>
              <w:jc w:val="center"/>
              <w:rPr>
                <w:sz w:val="22"/>
                <w:szCs w:val="22"/>
              </w:rPr>
            </w:pPr>
            <w:r>
              <w:rPr>
                <w:sz w:val="22"/>
                <w:szCs w:val="22"/>
              </w:rPr>
              <w:t>69.9%</w:t>
            </w:r>
          </w:p>
        </w:tc>
      </w:tr>
      <w:tr w:rsidR="00ED3DE8" w:rsidTr="00911B02">
        <w:trPr>
          <w:trHeight w:val="360"/>
        </w:trPr>
        <w:tc>
          <w:tcPr>
            <w:tcW w:w="2430" w:type="dxa"/>
            <w:tcBorders>
              <w:top w:val="nil"/>
              <w:bottom w:val="single" w:sz="4" w:space="0" w:color="auto"/>
            </w:tcBorders>
            <w:vAlign w:val="center"/>
          </w:tcPr>
          <w:p w:rsidR="00ED3DE8" w:rsidRPr="00D213B1" w:rsidRDefault="001662C0" w:rsidP="001662C0">
            <w:pPr>
              <w:autoSpaceDE w:val="0"/>
              <w:autoSpaceDN w:val="0"/>
              <w:adjustRightInd w:val="0"/>
              <w:rPr>
                <w:b/>
                <w:sz w:val="22"/>
                <w:szCs w:val="22"/>
              </w:rPr>
            </w:pPr>
            <w:r w:rsidRPr="00D213B1">
              <w:rPr>
                <w:b/>
                <w:sz w:val="22"/>
                <w:szCs w:val="22"/>
              </w:rPr>
              <w:t>Survival at 10 years</w:t>
            </w:r>
          </w:p>
        </w:tc>
        <w:tc>
          <w:tcPr>
            <w:tcW w:w="1584" w:type="dxa"/>
            <w:tcBorders>
              <w:top w:val="nil"/>
              <w:bottom w:val="single" w:sz="4" w:space="0" w:color="auto"/>
            </w:tcBorders>
            <w:vAlign w:val="center"/>
          </w:tcPr>
          <w:p w:rsidR="00ED3DE8" w:rsidRDefault="00854690" w:rsidP="003C6E84">
            <w:pPr>
              <w:autoSpaceDE w:val="0"/>
              <w:autoSpaceDN w:val="0"/>
              <w:adjustRightInd w:val="0"/>
              <w:jc w:val="center"/>
              <w:rPr>
                <w:sz w:val="22"/>
                <w:szCs w:val="22"/>
              </w:rPr>
            </w:pPr>
            <w:r>
              <w:rPr>
                <w:sz w:val="22"/>
                <w:szCs w:val="22"/>
              </w:rPr>
              <w:t>57.7%</w:t>
            </w:r>
          </w:p>
        </w:tc>
        <w:tc>
          <w:tcPr>
            <w:tcW w:w="1584" w:type="dxa"/>
            <w:tcBorders>
              <w:top w:val="nil"/>
              <w:bottom w:val="single" w:sz="4" w:space="0" w:color="auto"/>
            </w:tcBorders>
            <w:vAlign w:val="center"/>
          </w:tcPr>
          <w:p w:rsidR="00ED3DE8" w:rsidRDefault="007E77F2" w:rsidP="003C6E84">
            <w:pPr>
              <w:autoSpaceDE w:val="0"/>
              <w:autoSpaceDN w:val="0"/>
              <w:adjustRightInd w:val="0"/>
              <w:jc w:val="center"/>
              <w:rPr>
                <w:sz w:val="22"/>
                <w:szCs w:val="22"/>
              </w:rPr>
            </w:pPr>
            <w:r>
              <w:rPr>
                <w:sz w:val="22"/>
                <w:szCs w:val="22"/>
              </w:rPr>
              <w:t>60.3%</w:t>
            </w:r>
          </w:p>
        </w:tc>
        <w:tc>
          <w:tcPr>
            <w:tcW w:w="1584" w:type="dxa"/>
            <w:tcBorders>
              <w:top w:val="nil"/>
              <w:bottom w:val="single" w:sz="4" w:space="0" w:color="auto"/>
            </w:tcBorders>
            <w:vAlign w:val="center"/>
          </w:tcPr>
          <w:p w:rsidR="00ED3DE8" w:rsidRDefault="00857E9C" w:rsidP="003C6E84">
            <w:pPr>
              <w:autoSpaceDE w:val="0"/>
              <w:autoSpaceDN w:val="0"/>
              <w:adjustRightInd w:val="0"/>
              <w:jc w:val="center"/>
              <w:rPr>
                <w:sz w:val="22"/>
                <w:szCs w:val="22"/>
              </w:rPr>
            </w:pPr>
            <w:r>
              <w:rPr>
                <w:sz w:val="22"/>
                <w:szCs w:val="22"/>
              </w:rPr>
              <w:t>38.0%</w:t>
            </w:r>
          </w:p>
        </w:tc>
        <w:tc>
          <w:tcPr>
            <w:tcW w:w="1584" w:type="dxa"/>
            <w:tcBorders>
              <w:top w:val="nil"/>
              <w:bottom w:val="single" w:sz="4" w:space="0" w:color="auto"/>
            </w:tcBorders>
            <w:vAlign w:val="center"/>
          </w:tcPr>
          <w:p w:rsidR="00ED3DE8" w:rsidRDefault="00EA7742" w:rsidP="003C6E84">
            <w:pPr>
              <w:autoSpaceDE w:val="0"/>
              <w:autoSpaceDN w:val="0"/>
              <w:adjustRightInd w:val="0"/>
              <w:jc w:val="center"/>
              <w:rPr>
                <w:sz w:val="22"/>
                <w:szCs w:val="22"/>
              </w:rPr>
            </w:pPr>
            <w:r>
              <w:rPr>
                <w:sz w:val="22"/>
                <w:szCs w:val="22"/>
              </w:rPr>
              <w:t>14.8%</w:t>
            </w:r>
          </w:p>
        </w:tc>
        <w:tc>
          <w:tcPr>
            <w:tcW w:w="1584" w:type="dxa"/>
            <w:tcBorders>
              <w:top w:val="nil"/>
              <w:bottom w:val="single" w:sz="4" w:space="0" w:color="auto"/>
            </w:tcBorders>
            <w:vAlign w:val="center"/>
          </w:tcPr>
          <w:p w:rsidR="00ED3DE8" w:rsidRDefault="00F92D7F" w:rsidP="003C6E84">
            <w:pPr>
              <w:autoSpaceDE w:val="0"/>
              <w:autoSpaceDN w:val="0"/>
              <w:adjustRightInd w:val="0"/>
              <w:jc w:val="center"/>
              <w:rPr>
                <w:sz w:val="22"/>
                <w:szCs w:val="22"/>
              </w:rPr>
            </w:pPr>
            <w:r>
              <w:rPr>
                <w:sz w:val="22"/>
                <w:szCs w:val="22"/>
              </w:rPr>
              <w:t>44.2%</w:t>
            </w:r>
          </w:p>
        </w:tc>
      </w:tr>
      <w:tr w:rsidR="00ED3DE8" w:rsidTr="00911B02">
        <w:trPr>
          <w:trHeight w:val="360"/>
        </w:trPr>
        <w:tc>
          <w:tcPr>
            <w:tcW w:w="2430" w:type="dxa"/>
            <w:tcBorders>
              <w:bottom w:val="nil"/>
            </w:tcBorders>
            <w:vAlign w:val="center"/>
          </w:tcPr>
          <w:p w:rsidR="00ED3DE8" w:rsidRPr="00D213B1" w:rsidRDefault="003C64FB" w:rsidP="001662C0">
            <w:pPr>
              <w:autoSpaceDE w:val="0"/>
              <w:autoSpaceDN w:val="0"/>
              <w:adjustRightInd w:val="0"/>
              <w:rPr>
                <w:b/>
                <w:sz w:val="22"/>
                <w:szCs w:val="22"/>
              </w:rPr>
            </w:pPr>
            <w:r w:rsidRPr="00D213B1">
              <w:rPr>
                <w:b/>
                <w:sz w:val="22"/>
                <w:szCs w:val="22"/>
              </w:rPr>
              <w:t>25</w:t>
            </w:r>
            <w:r w:rsidR="00257A9E" w:rsidRPr="00D213B1">
              <w:rPr>
                <w:b/>
                <w:sz w:val="22"/>
                <w:szCs w:val="22"/>
                <w:vertAlign w:val="superscript"/>
              </w:rPr>
              <w:t>th</w:t>
            </w:r>
            <w:r w:rsidR="00257A9E" w:rsidRPr="00D213B1">
              <w:rPr>
                <w:b/>
                <w:sz w:val="22"/>
                <w:szCs w:val="22"/>
              </w:rPr>
              <w:t xml:space="preserve"> pct of survival</w:t>
            </w:r>
            <w:r w:rsidR="003C6E84" w:rsidRPr="00D213B1">
              <w:rPr>
                <w:b/>
                <w:sz w:val="22"/>
                <w:szCs w:val="22"/>
                <w:vertAlign w:val="superscript"/>
              </w:rPr>
              <w:t>[2]</w:t>
            </w:r>
          </w:p>
        </w:tc>
        <w:tc>
          <w:tcPr>
            <w:tcW w:w="1584" w:type="dxa"/>
            <w:tcBorders>
              <w:bottom w:val="nil"/>
            </w:tcBorders>
            <w:vAlign w:val="center"/>
          </w:tcPr>
          <w:p w:rsidR="00ED3DE8" w:rsidRDefault="00E42DD3" w:rsidP="003C6E84">
            <w:pPr>
              <w:autoSpaceDE w:val="0"/>
              <w:autoSpaceDN w:val="0"/>
              <w:adjustRightInd w:val="0"/>
              <w:jc w:val="center"/>
              <w:rPr>
                <w:sz w:val="22"/>
                <w:szCs w:val="22"/>
              </w:rPr>
            </w:pPr>
            <w:r>
              <w:rPr>
                <w:sz w:val="22"/>
                <w:szCs w:val="22"/>
              </w:rPr>
              <w:t>7.36 yrs</w:t>
            </w:r>
          </w:p>
        </w:tc>
        <w:tc>
          <w:tcPr>
            <w:tcW w:w="1584" w:type="dxa"/>
            <w:tcBorders>
              <w:bottom w:val="nil"/>
            </w:tcBorders>
            <w:vAlign w:val="center"/>
          </w:tcPr>
          <w:p w:rsidR="00ED3DE8" w:rsidRDefault="00827E7B" w:rsidP="003C6E84">
            <w:pPr>
              <w:autoSpaceDE w:val="0"/>
              <w:autoSpaceDN w:val="0"/>
              <w:adjustRightInd w:val="0"/>
              <w:jc w:val="center"/>
              <w:rPr>
                <w:sz w:val="22"/>
                <w:szCs w:val="22"/>
              </w:rPr>
            </w:pPr>
            <w:r>
              <w:rPr>
                <w:sz w:val="22"/>
                <w:szCs w:val="22"/>
              </w:rPr>
              <w:t>4.63 yrs</w:t>
            </w:r>
          </w:p>
        </w:tc>
        <w:tc>
          <w:tcPr>
            <w:tcW w:w="1584" w:type="dxa"/>
            <w:tcBorders>
              <w:bottom w:val="nil"/>
            </w:tcBorders>
            <w:vAlign w:val="center"/>
          </w:tcPr>
          <w:p w:rsidR="00ED3DE8" w:rsidRDefault="00A2551B" w:rsidP="003C6E84">
            <w:pPr>
              <w:autoSpaceDE w:val="0"/>
              <w:autoSpaceDN w:val="0"/>
              <w:adjustRightInd w:val="0"/>
              <w:jc w:val="center"/>
              <w:rPr>
                <w:sz w:val="22"/>
                <w:szCs w:val="22"/>
              </w:rPr>
            </w:pPr>
            <w:r>
              <w:rPr>
                <w:sz w:val="22"/>
                <w:szCs w:val="22"/>
              </w:rPr>
              <w:t>3.33 yrs</w:t>
            </w:r>
          </w:p>
        </w:tc>
        <w:tc>
          <w:tcPr>
            <w:tcW w:w="1584" w:type="dxa"/>
            <w:tcBorders>
              <w:bottom w:val="nil"/>
            </w:tcBorders>
            <w:vAlign w:val="center"/>
          </w:tcPr>
          <w:p w:rsidR="00ED3DE8" w:rsidRDefault="000C3CFA" w:rsidP="003C6E84">
            <w:pPr>
              <w:autoSpaceDE w:val="0"/>
              <w:autoSpaceDN w:val="0"/>
              <w:adjustRightInd w:val="0"/>
              <w:jc w:val="center"/>
              <w:rPr>
                <w:sz w:val="22"/>
                <w:szCs w:val="22"/>
              </w:rPr>
            </w:pPr>
            <w:r>
              <w:rPr>
                <w:sz w:val="22"/>
                <w:szCs w:val="22"/>
              </w:rPr>
              <w:t>2.48 yrs</w:t>
            </w:r>
          </w:p>
        </w:tc>
        <w:tc>
          <w:tcPr>
            <w:tcW w:w="1584" w:type="dxa"/>
            <w:tcBorders>
              <w:bottom w:val="nil"/>
            </w:tcBorders>
            <w:vAlign w:val="center"/>
          </w:tcPr>
          <w:p w:rsidR="00ED3DE8" w:rsidRDefault="0092305A" w:rsidP="003C6E84">
            <w:pPr>
              <w:autoSpaceDE w:val="0"/>
              <w:autoSpaceDN w:val="0"/>
              <w:adjustRightInd w:val="0"/>
              <w:jc w:val="center"/>
              <w:rPr>
                <w:sz w:val="22"/>
                <w:szCs w:val="22"/>
              </w:rPr>
            </w:pPr>
            <w:r>
              <w:rPr>
                <w:sz w:val="22"/>
                <w:szCs w:val="22"/>
              </w:rPr>
              <w:t>4.00 yrs</w:t>
            </w:r>
          </w:p>
        </w:tc>
      </w:tr>
      <w:tr w:rsidR="00ED3DE8" w:rsidTr="00911B02">
        <w:trPr>
          <w:trHeight w:val="360"/>
        </w:trPr>
        <w:tc>
          <w:tcPr>
            <w:tcW w:w="2430" w:type="dxa"/>
            <w:tcBorders>
              <w:top w:val="nil"/>
              <w:bottom w:val="nil"/>
            </w:tcBorders>
            <w:vAlign w:val="center"/>
          </w:tcPr>
          <w:p w:rsidR="00ED3DE8" w:rsidRPr="00D213B1" w:rsidRDefault="00257A9E" w:rsidP="001662C0">
            <w:pPr>
              <w:autoSpaceDE w:val="0"/>
              <w:autoSpaceDN w:val="0"/>
              <w:adjustRightInd w:val="0"/>
              <w:rPr>
                <w:b/>
                <w:sz w:val="22"/>
                <w:szCs w:val="22"/>
                <w:vertAlign w:val="superscript"/>
              </w:rPr>
            </w:pPr>
            <w:r w:rsidRPr="00D213B1">
              <w:rPr>
                <w:b/>
                <w:sz w:val="22"/>
                <w:szCs w:val="22"/>
              </w:rPr>
              <w:t>Median survival</w:t>
            </w:r>
            <w:r w:rsidR="003C6E84" w:rsidRPr="00D213B1">
              <w:rPr>
                <w:b/>
                <w:sz w:val="22"/>
                <w:szCs w:val="22"/>
                <w:vertAlign w:val="superscript"/>
              </w:rPr>
              <w:t>[2]</w:t>
            </w:r>
          </w:p>
        </w:tc>
        <w:tc>
          <w:tcPr>
            <w:tcW w:w="1584" w:type="dxa"/>
            <w:tcBorders>
              <w:top w:val="nil"/>
              <w:bottom w:val="nil"/>
            </w:tcBorders>
            <w:vAlign w:val="center"/>
          </w:tcPr>
          <w:p w:rsidR="00ED3DE8" w:rsidRPr="00E961AB" w:rsidRDefault="00E961AB" w:rsidP="00E961AB">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bottom w:val="nil"/>
            </w:tcBorders>
            <w:vAlign w:val="center"/>
          </w:tcPr>
          <w:p w:rsidR="00ED3DE8" w:rsidRDefault="00E961AB" w:rsidP="003C6E84">
            <w:pPr>
              <w:autoSpaceDE w:val="0"/>
              <w:autoSpaceDN w:val="0"/>
              <w:adjustRightInd w:val="0"/>
              <w:jc w:val="center"/>
              <w:rPr>
                <w:sz w:val="22"/>
                <w:szCs w:val="22"/>
              </w:rPr>
            </w:pPr>
            <w:r>
              <w:rPr>
                <w:sz w:val="22"/>
                <w:szCs w:val="22"/>
              </w:rPr>
              <w:t>11.47 yrs</w:t>
            </w:r>
          </w:p>
        </w:tc>
        <w:tc>
          <w:tcPr>
            <w:tcW w:w="1584" w:type="dxa"/>
            <w:tcBorders>
              <w:top w:val="nil"/>
              <w:bottom w:val="nil"/>
            </w:tcBorders>
            <w:vAlign w:val="center"/>
          </w:tcPr>
          <w:p w:rsidR="00ED3DE8" w:rsidRDefault="00E961AB" w:rsidP="003C6E84">
            <w:pPr>
              <w:autoSpaceDE w:val="0"/>
              <w:autoSpaceDN w:val="0"/>
              <w:adjustRightInd w:val="0"/>
              <w:jc w:val="center"/>
              <w:rPr>
                <w:sz w:val="22"/>
                <w:szCs w:val="22"/>
              </w:rPr>
            </w:pPr>
            <w:r>
              <w:rPr>
                <w:sz w:val="22"/>
                <w:szCs w:val="22"/>
              </w:rPr>
              <w:t>8.68 yrs</w:t>
            </w:r>
          </w:p>
        </w:tc>
        <w:tc>
          <w:tcPr>
            <w:tcW w:w="1584" w:type="dxa"/>
            <w:tcBorders>
              <w:top w:val="nil"/>
              <w:bottom w:val="nil"/>
            </w:tcBorders>
            <w:vAlign w:val="center"/>
          </w:tcPr>
          <w:p w:rsidR="00ED3DE8" w:rsidRDefault="00E961AB" w:rsidP="003C6E84">
            <w:pPr>
              <w:autoSpaceDE w:val="0"/>
              <w:autoSpaceDN w:val="0"/>
              <w:adjustRightInd w:val="0"/>
              <w:jc w:val="center"/>
              <w:rPr>
                <w:sz w:val="22"/>
                <w:szCs w:val="22"/>
              </w:rPr>
            </w:pPr>
            <w:r>
              <w:rPr>
                <w:sz w:val="22"/>
                <w:szCs w:val="22"/>
              </w:rPr>
              <w:t>6.85 yrs</w:t>
            </w:r>
          </w:p>
        </w:tc>
        <w:tc>
          <w:tcPr>
            <w:tcW w:w="1584" w:type="dxa"/>
            <w:tcBorders>
              <w:top w:val="nil"/>
              <w:bottom w:val="nil"/>
            </w:tcBorders>
            <w:vAlign w:val="center"/>
          </w:tcPr>
          <w:p w:rsidR="00ED3DE8" w:rsidRDefault="004358CB" w:rsidP="003C6E84">
            <w:pPr>
              <w:autoSpaceDE w:val="0"/>
              <w:autoSpaceDN w:val="0"/>
              <w:adjustRightInd w:val="0"/>
              <w:jc w:val="center"/>
              <w:rPr>
                <w:sz w:val="22"/>
                <w:szCs w:val="22"/>
              </w:rPr>
            </w:pPr>
            <w:r>
              <w:rPr>
                <w:sz w:val="22"/>
                <w:szCs w:val="22"/>
              </w:rPr>
              <w:t>9.30 yrs</w:t>
            </w:r>
          </w:p>
        </w:tc>
      </w:tr>
      <w:tr w:rsidR="00ED3DE8" w:rsidTr="00911B02">
        <w:trPr>
          <w:trHeight w:val="360"/>
        </w:trPr>
        <w:tc>
          <w:tcPr>
            <w:tcW w:w="2430" w:type="dxa"/>
            <w:tcBorders>
              <w:top w:val="nil"/>
            </w:tcBorders>
            <w:vAlign w:val="center"/>
          </w:tcPr>
          <w:p w:rsidR="00ED3DE8" w:rsidRPr="00D213B1" w:rsidRDefault="00921C0E" w:rsidP="001662C0">
            <w:pPr>
              <w:autoSpaceDE w:val="0"/>
              <w:autoSpaceDN w:val="0"/>
              <w:adjustRightInd w:val="0"/>
              <w:rPr>
                <w:b/>
                <w:sz w:val="22"/>
                <w:szCs w:val="22"/>
                <w:vertAlign w:val="superscript"/>
              </w:rPr>
            </w:pPr>
            <w:r w:rsidRPr="00D213B1">
              <w:rPr>
                <w:b/>
                <w:sz w:val="22"/>
                <w:szCs w:val="22"/>
              </w:rPr>
              <w:t>60</w:t>
            </w:r>
            <w:r w:rsidR="00257A9E" w:rsidRPr="00D213B1">
              <w:rPr>
                <w:b/>
                <w:sz w:val="22"/>
                <w:szCs w:val="22"/>
                <w:vertAlign w:val="superscript"/>
              </w:rPr>
              <w:t>th</w:t>
            </w:r>
            <w:r w:rsidR="00257A9E" w:rsidRPr="00D213B1">
              <w:rPr>
                <w:b/>
                <w:sz w:val="22"/>
                <w:szCs w:val="22"/>
              </w:rPr>
              <w:t xml:space="preserve"> pct of survival</w:t>
            </w:r>
            <w:r w:rsidR="003C6E84" w:rsidRPr="00D213B1">
              <w:rPr>
                <w:b/>
                <w:sz w:val="22"/>
                <w:szCs w:val="22"/>
                <w:vertAlign w:val="superscript"/>
              </w:rPr>
              <w:t>[2]</w:t>
            </w:r>
          </w:p>
        </w:tc>
        <w:tc>
          <w:tcPr>
            <w:tcW w:w="1584" w:type="dxa"/>
            <w:tcBorders>
              <w:top w:val="nil"/>
            </w:tcBorders>
            <w:vAlign w:val="center"/>
          </w:tcPr>
          <w:p w:rsidR="00ED3DE8" w:rsidRDefault="00E42DD3" w:rsidP="003C6E84">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tcBorders>
            <w:vAlign w:val="center"/>
          </w:tcPr>
          <w:p w:rsidR="00ED3DE8" w:rsidRDefault="00827E7B" w:rsidP="003C6E84">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tcBorders>
            <w:vAlign w:val="center"/>
          </w:tcPr>
          <w:p w:rsidR="00ED3DE8" w:rsidRDefault="00921C0E" w:rsidP="003C6E84">
            <w:pPr>
              <w:autoSpaceDE w:val="0"/>
              <w:autoSpaceDN w:val="0"/>
              <w:adjustRightInd w:val="0"/>
              <w:jc w:val="center"/>
              <w:rPr>
                <w:sz w:val="22"/>
                <w:szCs w:val="22"/>
              </w:rPr>
            </w:pPr>
            <w:r>
              <w:rPr>
                <w:sz w:val="22"/>
                <w:szCs w:val="22"/>
              </w:rPr>
              <w:t>9.43 yrs</w:t>
            </w:r>
          </w:p>
        </w:tc>
        <w:tc>
          <w:tcPr>
            <w:tcW w:w="1584" w:type="dxa"/>
            <w:tcBorders>
              <w:top w:val="nil"/>
            </w:tcBorders>
            <w:vAlign w:val="center"/>
          </w:tcPr>
          <w:p w:rsidR="00ED3DE8" w:rsidRDefault="00E31E06" w:rsidP="003C6E84">
            <w:pPr>
              <w:autoSpaceDE w:val="0"/>
              <w:autoSpaceDN w:val="0"/>
              <w:adjustRightInd w:val="0"/>
              <w:jc w:val="center"/>
              <w:rPr>
                <w:sz w:val="22"/>
                <w:szCs w:val="22"/>
              </w:rPr>
            </w:pPr>
            <w:r>
              <w:rPr>
                <w:sz w:val="22"/>
                <w:szCs w:val="22"/>
              </w:rPr>
              <w:t>8.82 yrs</w:t>
            </w:r>
          </w:p>
        </w:tc>
        <w:tc>
          <w:tcPr>
            <w:tcW w:w="1584" w:type="dxa"/>
            <w:tcBorders>
              <w:top w:val="nil"/>
            </w:tcBorders>
            <w:vAlign w:val="center"/>
          </w:tcPr>
          <w:p w:rsidR="00ED3DE8" w:rsidRDefault="0092305A" w:rsidP="003C6E84">
            <w:pPr>
              <w:autoSpaceDE w:val="0"/>
              <w:autoSpaceDN w:val="0"/>
              <w:adjustRightInd w:val="0"/>
              <w:jc w:val="center"/>
              <w:rPr>
                <w:sz w:val="22"/>
                <w:szCs w:val="22"/>
              </w:rPr>
            </w:pPr>
            <w:r>
              <w:rPr>
                <w:sz w:val="22"/>
                <w:szCs w:val="22"/>
              </w:rPr>
              <w:t>10.55 yrs</w:t>
            </w:r>
          </w:p>
        </w:tc>
      </w:tr>
      <w:tr w:rsidR="00ED3DE8" w:rsidTr="00171692">
        <w:trPr>
          <w:trHeight w:val="360"/>
        </w:trPr>
        <w:tc>
          <w:tcPr>
            <w:tcW w:w="2430" w:type="dxa"/>
            <w:vAlign w:val="center"/>
          </w:tcPr>
          <w:p w:rsidR="00ED3DE8" w:rsidRPr="00D213B1" w:rsidRDefault="000449A7" w:rsidP="001662C0">
            <w:pPr>
              <w:autoSpaceDE w:val="0"/>
              <w:autoSpaceDN w:val="0"/>
              <w:adjustRightInd w:val="0"/>
              <w:rPr>
                <w:b/>
                <w:sz w:val="22"/>
                <w:szCs w:val="22"/>
                <w:vertAlign w:val="superscript"/>
              </w:rPr>
            </w:pPr>
            <w:r>
              <w:rPr>
                <w:b/>
                <w:sz w:val="22"/>
                <w:szCs w:val="22"/>
              </w:rPr>
              <w:t>6-year m</w:t>
            </w:r>
            <w:r w:rsidR="003C64FB" w:rsidRPr="00D213B1">
              <w:rPr>
                <w:b/>
                <w:sz w:val="22"/>
                <w:szCs w:val="22"/>
              </w:rPr>
              <w:t>ean survival</w:t>
            </w:r>
            <w:r w:rsidR="003C6E84" w:rsidRPr="00D213B1">
              <w:rPr>
                <w:b/>
                <w:sz w:val="22"/>
                <w:szCs w:val="22"/>
                <w:vertAlign w:val="superscript"/>
              </w:rPr>
              <w:t>[3</w:t>
            </w:r>
            <w:r w:rsidR="003C64FB" w:rsidRPr="00D213B1">
              <w:rPr>
                <w:b/>
                <w:sz w:val="22"/>
                <w:szCs w:val="22"/>
                <w:vertAlign w:val="superscript"/>
              </w:rPr>
              <w:t>]</w:t>
            </w:r>
          </w:p>
        </w:tc>
        <w:tc>
          <w:tcPr>
            <w:tcW w:w="1584" w:type="dxa"/>
            <w:vAlign w:val="center"/>
          </w:tcPr>
          <w:p w:rsidR="00ED3DE8" w:rsidRDefault="000449A7" w:rsidP="003C6E84">
            <w:pPr>
              <w:autoSpaceDE w:val="0"/>
              <w:autoSpaceDN w:val="0"/>
              <w:adjustRightInd w:val="0"/>
              <w:jc w:val="center"/>
              <w:rPr>
                <w:sz w:val="22"/>
                <w:szCs w:val="22"/>
              </w:rPr>
            </w:pPr>
            <w:r>
              <w:rPr>
                <w:sz w:val="22"/>
                <w:szCs w:val="22"/>
              </w:rPr>
              <w:t>5.55</w:t>
            </w:r>
            <w:r w:rsidR="00E961AB">
              <w:rPr>
                <w:sz w:val="22"/>
                <w:szCs w:val="22"/>
              </w:rPr>
              <w:t xml:space="preserve"> yrs</w:t>
            </w:r>
          </w:p>
        </w:tc>
        <w:tc>
          <w:tcPr>
            <w:tcW w:w="1584" w:type="dxa"/>
            <w:vAlign w:val="center"/>
          </w:tcPr>
          <w:p w:rsidR="00ED3DE8" w:rsidRDefault="00A009E7" w:rsidP="003C6E84">
            <w:pPr>
              <w:autoSpaceDE w:val="0"/>
              <w:autoSpaceDN w:val="0"/>
              <w:adjustRightInd w:val="0"/>
              <w:jc w:val="center"/>
              <w:rPr>
                <w:sz w:val="22"/>
                <w:szCs w:val="22"/>
              </w:rPr>
            </w:pPr>
            <w:r>
              <w:rPr>
                <w:sz w:val="22"/>
                <w:szCs w:val="22"/>
              </w:rPr>
              <w:t>5.03 yrs</w:t>
            </w:r>
          </w:p>
        </w:tc>
        <w:tc>
          <w:tcPr>
            <w:tcW w:w="1584" w:type="dxa"/>
            <w:vAlign w:val="center"/>
          </w:tcPr>
          <w:p w:rsidR="00ED3DE8" w:rsidRDefault="00A009E7" w:rsidP="003C6E84">
            <w:pPr>
              <w:autoSpaceDE w:val="0"/>
              <w:autoSpaceDN w:val="0"/>
              <w:adjustRightInd w:val="0"/>
              <w:jc w:val="center"/>
              <w:rPr>
                <w:sz w:val="22"/>
                <w:szCs w:val="22"/>
              </w:rPr>
            </w:pPr>
            <w:r>
              <w:rPr>
                <w:sz w:val="22"/>
                <w:szCs w:val="22"/>
              </w:rPr>
              <w:t>4.77 yrs</w:t>
            </w:r>
          </w:p>
        </w:tc>
        <w:tc>
          <w:tcPr>
            <w:tcW w:w="1584" w:type="dxa"/>
            <w:vAlign w:val="center"/>
          </w:tcPr>
          <w:p w:rsidR="00ED3DE8" w:rsidRDefault="00A009E7" w:rsidP="003C6E84">
            <w:pPr>
              <w:autoSpaceDE w:val="0"/>
              <w:autoSpaceDN w:val="0"/>
              <w:adjustRightInd w:val="0"/>
              <w:jc w:val="center"/>
              <w:rPr>
                <w:sz w:val="22"/>
                <w:szCs w:val="22"/>
              </w:rPr>
            </w:pPr>
            <w:r>
              <w:rPr>
                <w:sz w:val="22"/>
                <w:szCs w:val="22"/>
              </w:rPr>
              <w:t>4.39 yrs</w:t>
            </w:r>
          </w:p>
        </w:tc>
        <w:tc>
          <w:tcPr>
            <w:tcW w:w="1584" w:type="dxa"/>
            <w:vAlign w:val="center"/>
          </w:tcPr>
          <w:p w:rsidR="00ED3DE8" w:rsidRDefault="001D3FAB" w:rsidP="003C6E84">
            <w:pPr>
              <w:autoSpaceDE w:val="0"/>
              <w:autoSpaceDN w:val="0"/>
              <w:adjustRightInd w:val="0"/>
              <w:jc w:val="center"/>
              <w:rPr>
                <w:sz w:val="22"/>
                <w:szCs w:val="22"/>
              </w:rPr>
            </w:pPr>
            <w:r>
              <w:rPr>
                <w:sz w:val="22"/>
                <w:szCs w:val="22"/>
              </w:rPr>
              <w:t>4.90 yrs</w:t>
            </w:r>
          </w:p>
        </w:tc>
      </w:tr>
    </w:tbl>
    <w:p w:rsidR="008433A6" w:rsidRPr="005E7527" w:rsidRDefault="00A462CE" w:rsidP="005E7527">
      <w:pPr>
        <w:autoSpaceDE w:val="0"/>
        <w:autoSpaceDN w:val="0"/>
        <w:adjustRightInd w:val="0"/>
        <w:spacing w:after="80"/>
        <w:rPr>
          <w:i/>
          <w:sz w:val="22"/>
          <w:szCs w:val="22"/>
        </w:rPr>
      </w:pPr>
      <w:r w:rsidRPr="005E7527">
        <w:rPr>
          <w:i/>
          <w:sz w:val="22"/>
          <w:szCs w:val="22"/>
          <w:vertAlign w:val="superscript"/>
        </w:rPr>
        <w:t>[1]</w:t>
      </w:r>
      <w:r w:rsidRPr="005E7527">
        <w:rPr>
          <w:i/>
          <w:sz w:val="22"/>
          <w:szCs w:val="22"/>
        </w:rPr>
        <w:t xml:space="preserve"> None of the observations was missing data on age </w:t>
      </w:r>
    </w:p>
    <w:p w:rsidR="00A462CE" w:rsidRPr="005E7527" w:rsidRDefault="00A462CE" w:rsidP="005E7527">
      <w:pPr>
        <w:autoSpaceDE w:val="0"/>
        <w:autoSpaceDN w:val="0"/>
        <w:adjustRightInd w:val="0"/>
        <w:spacing w:after="80"/>
        <w:rPr>
          <w:i/>
          <w:sz w:val="22"/>
          <w:szCs w:val="22"/>
        </w:rPr>
      </w:pPr>
      <w:r w:rsidRPr="005E7527">
        <w:rPr>
          <w:i/>
          <w:sz w:val="22"/>
          <w:szCs w:val="22"/>
          <w:vertAlign w:val="superscript"/>
        </w:rPr>
        <w:t>[2]</w:t>
      </w:r>
      <w:r w:rsidRPr="005E7527">
        <w:rPr>
          <w:i/>
          <w:sz w:val="22"/>
          <w:szCs w:val="22"/>
        </w:rPr>
        <w:t xml:space="preserve"> Estimates were approximated and based on the Kaplan-Meier estimates computed within strata by age group and in the entire sample.</w:t>
      </w:r>
      <w:r w:rsidR="00646E8B" w:rsidRPr="005E7527">
        <w:rPr>
          <w:i/>
          <w:sz w:val="22"/>
          <w:szCs w:val="22"/>
        </w:rPr>
        <w:t xml:space="preserve"> Estimates were obtained in years then divided by 365.25</w:t>
      </w:r>
    </w:p>
    <w:p w:rsidR="00A462CE" w:rsidRDefault="00A462CE" w:rsidP="007C3DCA">
      <w:pPr>
        <w:autoSpaceDE w:val="0"/>
        <w:autoSpaceDN w:val="0"/>
        <w:adjustRightInd w:val="0"/>
        <w:spacing w:after="80"/>
        <w:rPr>
          <w:i/>
          <w:sz w:val="22"/>
          <w:szCs w:val="22"/>
        </w:rPr>
      </w:pPr>
      <w:r w:rsidRPr="005E7527">
        <w:rPr>
          <w:i/>
          <w:sz w:val="22"/>
          <w:szCs w:val="22"/>
          <w:vertAlign w:val="superscript"/>
        </w:rPr>
        <w:t>[3]</w:t>
      </w:r>
      <w:r w:rsidRPr="005E7527">
        <w:rPr>
          <w:i/>
          <w:sz w:val="22"/>
          <w:szCs w:val="22"/>
        </w:rPr>
        <w:t xml:space="preserve"> </w:t>
      </w:r>
      <w:r w:rsidR="00646E8B" w:rsidRPr="005E7527">
        <w:rPr>
          <w:i/>
          <w:sz w:val="22"/>
          <w:szCs w:val="22"/>
        </w:rPr>
        <w:t xml:space="preserve">Average number of years alive during the first 6 years following study enrollment, as computed by the area under Kaplan-Meier survival curves within strata and sample restricted to 6 years </w:t>
      </w:r>
    </w:p>
    <w:p w:rsidR="007C3DCA" w:rsidRPr="007C3DCA" w:rsidRDefault="007C3DCA" w:rsidP="00EE21A5">
      <w:pPr>
        <w:autoSpaceDE w:val="0"/>
        <w:autoSpaceDN w:val="0"/>
        <w:adjustRightInd w:val="0"/>
        <w:spacing w:after="120"/>
        <w:rPr>
          <w:i/>
          <w:sz w:val="22"/>
          <w:szCs w:val="22"/>
        </w:rPr>
      </w:pPr>
      <w:r>
        <w:rPr>
          <w:i/>
          <w:sz w:val="22"/>
          <w:szCs w:val="22"/>
          <w:vertAlign w:val="superscript"/>
        </w:rPr>
        <w:t>[4]</w:t>
      </w:r>
      <w:r>
        <w:rPr>
          <w:i/>
          <w:sz w:val="22"/>
          <w:szCs w:val="22"/>
        </w:rPr>
        <w:t xml:space="preserve"> Corresponding percentile cannot be estimated from the available data</w:t>
      </w:r>
    </w:p>
    <w:p w:rsidR="005E7527" w:rsidRDefault="005E7527" w:rsidP="00EE21A5">
      <w:pPr>
        <w:autoSpaceDE w:val="0"/>
        <w:autoSpaceDN w:val="0"/>
        <w:adjustRightInd w:val="0"/>
        <w:spacing w:after="120"/>
        <w:rPr>
          <w:sz w:val="22"/>
          <w:szCs w:val="22"/>
        </w:rPr>
      </w:pPr>
    </w:p>
    <w:p w:rsidR="00516921" w:rsidRDefault="00516921" w:rsidP="00EE21A5">
      <w:pPr>
        <w:autoSpaceDE w:val="0"/>
        <w:autoSpaceDN w:val="0"/>
        <w:adjustRightInd w:val="0"/>
        <w:spacing w:after="120"/>
        <w:rPr>
          <w:sz w:val="22"/>
          <w:szCs w:val="22"/>
        </w:rPr>
      </w:pPr>
    </w:p>
    <w:p w:rsidR="00516921" w:rsidRDefault="00516921" w:rsidP="00EE21A5">
      <w:pPr>
        <w:autoSpaceDE w:val="0"/>
        <w:autoSpaceDN w:val="0"/>
        <w:adjustRightInd w:val="0"/>
        <w:spacing w:after="120"/>
        <w:rPr>
          <w:sz w:val="22"/>
          <w:szCs w:val="22"/>
        </w:rPr>
      </w:pPr>
    </w:p>
    <w:p w:rsidR="00516921" w:rsidRDefault="00516921" w:rsidP="00EE21A5">
      <w:pPr>
        <w:autoSpaceDE w:val="0"/>
        <w:autoSpaceDN w:val="0"/>
        <w:adjustRightInd w:val="0"/>
        <w:spacing w:after="120"/>
        <w:rPr>
          <w:sz w:val="22"/>
          <w:szCs w:val="22"/>
        </w:rPr>
      </w:pPr>
    </w:p>
    <w:p w:rsidR="003E502F" w:rsidRDefault="003E502F" w:rsidP="00EE21A5">
      <w:pPr>
        <w:autoSpaceDE w:val="0"/>
        <w:autoSpaceDN w:val="0"/>
        <w:adjustRightInd w:val="0"/>
        <w:spacing w:after="120"/>
        <w:rPr>
          <w:sz w:val="22"/>
          <w:szCs w:val="22"/>
        </w:rPr>
      </w:pPr>
    </w:p>
    <w:p w:rsidR="003E502F" w:rsidRDefault="003E502F" w:rsidP="00EE21A5">
      <w:pPr>
        <w:autoSpaceDE w:val="0"/>
        <w:autoSpaceDN w:val="0"/>
        <w:adjustRightInd w:val="0"/>
        <w:spacing w:after="120"/>
        <w:rPr>
          <w:sz w:val="22"/>
          <w:szCs w:val="22"/>
        </w:rPr>
      </w:pPr>
    </w:p>
    <w:p w:rsidR="003E502F" w:rsidRPr="003E502F" w:rsidRDefault="009F43D5" w:rsidP="003E502F">
      <w:pPr>
        <w:autoSpaceDE w:val="0"/>
        <w:autoSpaceDN w:val="0"/>
        <w:adjustRightInd w:val="0"/>
        <w:jc w:val="center"/>
        <w:rPr>
          <w:b/>
          <w:sz w:val="22"/>
          <w:szCs w:val="22"/>
        </w:rPr>
      </w:pPr>
      <w:r>
        <w:rPr>
          <w:b/>
          <w:sz w:val="22"/>
          <w:szCs w:val="22"/>
        </w:rPr>
        <w:lastRenderedPageBreak/>
        <w:t xml:space="preserve">            </w:t>
      </w:r>
      <w:r w:rsidR="004C7776">
        <w:rPr>
          <w:b/>
          <w:sz w:val="22"/>
          <w:szCs w:val="22"/>
        </w:rPr>
        <w:t>Figure 2</w:t>
      </w:r>
      <w:r>
        <w:rPr>
          <w:b/>
          <w:sz w:val="22"/>
          <w:szCs w:val="22"/>
        </w:rPr>
        <w:t xml:space="preserve">. Kaplan-Meier Estimates </w:t>
      </w:r>
      <w:r w:rsidR="00A2534B">
        <w:rPr>
          <w:b/>
          <w:sz w:val="22"/>
          <w:szCs w:val="22"/>
        </w:rPr>
        <w:t>by Age</w:t>
      </w:r>
    </w:p>
    <w:p w:rsidR="005E7527" w:rsidRDefault="003E502F" w:rsidP="00037C8F">
      <w:pPr>
        <w:autoSpaceDE w:val="0"/>
        <w:autoSpaceDN w:val="0"/>
        <w:adjustRightInd w:val="0"/>
        <w:spacing w:after="120"/>
        <w:jc w:val="center"/>
        <w:rPr>
          <w:sz w:val="22"/>
          <w:szCs w:val="22"/>
        </w:rPr>
      </w:pPr>
      <w:r>
        <w:rPr>
          <w:noProof/>
          <w:lang w:eastAsia="zh-CN"/>
        </w:rPr>
        <w:drawing>
          <wp:inline distT="0" distB="0" distL="0" distR="0" wp14:anchorId="013EF503" wp14:editId="674A2265">
            <wp:extent cx="4332254" cy="299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4474" r="4326"/>
                    <a:stretch/>
                  </pic:blipFill>
                  <pic:spPr bwMode="auto">
                    <a:xfrm>
                      <a:off x="0" y="0"/>
                      <a:ext cx="4347191" cy="3008808"/>
                    </a:xfrm>
                    <a:prstGeom prst="rect">
                      <a:avLst/>
                    </a:prstGeom>
                    <a:ln>
                      <a:noFill/>
                    </a:ln>
                    <a:extLst>
                      <a:ext uri="{53640926-AAD7-44D8-BBD7-CCE9431645EC}">
                        <a14:shadowObscured xmlns:a14="http://schemas.microsoft.com/office/drawing/2010/main"/>
                      </a:ext>
                    </a:extLst>
                  </pic:spPr>
                </pic:pic>
              </a:graphicData>
            </a:graphic>
          </wp:inline>
        </w:drawing>
      </w:r>
    </w:p>
    <w:p w:rsidR="00993354" w:rsidRPr="0075184F" w:rsidRDefault="0075184F" w:rsidP="0075184F">
      <w:pPr>
        <w:autoSpaceDE w:val="0"/>
        <w:autoSpaceDN w:val="0"/>
        <w:adjustRightInd w:val="0"/>
        <w:jc w:val="center"/>
        <w:rPr>
          <w:b/>
          <w:sz w:val="22"/>
          <w:szCs w:val="22"/>
        </w:rPr>
      </w:pPr>
      <w:r w:rsidRPr="003E502F">
        <w:rPr>
          <w:b/>
          <w:sz w:val="22"/>
          <w:szCs w:val="22"/>
        </w:rPr>
        <w:t>Table 1</w:t>
      </w:r>
      <w:r>
        <w:rPr>
          <w:b/>
          <w:sz w:val="22"/>
          <w:szCs w:val="22"/>
        </w:rPr>
        <w:t>d</w:t>
      </w:r>
      <w:r w:rsidRPr="003E502F">
        <w:rPr>
          <w:b/>
          <w:sz w:val="22"/>
          <w:szCs w:val="22"/>
        </w:rPr>
        <w:t xml:space="preserve">. Descriptive Statistics of Vital Status by </w:t>
      </w:r>
      <w:r>
        <w:rPr>
          <w:b/>
          <w:sz w:val="22"/>
          <w:szCs w:val="22"/>
        </w:rPr>
        <w:t>Sex</w:t>
      </w:r>
    </w:p>
    <w:tbl>
      <w:tblPr>
        <w:tblStyle w:val="TableGrid"/>
        <w:tblW w:w="7999" w:type="dxa"/>
        <w:jc w:val="center"/>
        <w:tblLook w:val="04A0" w:firstRow="1" w:lastRow="0" w:firstColumn="1" w:lastColumn="0" w:noHBand="0" w:noVBand="1"/>
      </w:tblPr>
      <w:tblGrid>
        <w:gridCol w:w="2425"/>
        <w:gridCol w:w="1858"/>
        <w:gridCol w:w="1858"/>
        <w:gridCol w:w="1858"/>
      </w:tblGrid>
      <w:tr w:rsidR="004337CF" w:rsidTr="00041684">
        <w:trPr>
          <w:trHeight w:val="360"/>
          <w:jc w:val="center"/>
        </w:trPr>
        <w:tc>
          <w:tcPr>
            <w:tcW w:w="2425" w:type="dxa"/>
            <w:vMerge w:val="restart"/>
            <w:vAlign w:val="center"/>
          </w:tcPr>
          <w:p w:rsidR="004337CF" w:rsidRPr="00D213B1" w:rsidRDefault="004337CF" w:rsidP="006D4F2B">
            <w:pPr>
              <w:autoSpaceDE w:val="0"/>
              <w:autoSpaceDN w:val="0"/>
              <w:adjustRightInd w:val="0"/>
              <w:rPr>
                <w:b/>
                <w:sz w:val="22"/>
                <w:szCs w:val="22"/>
              </w:rPr>
            </w:pPr>
          </w:p>
        </w:tc>
        <w:tc>
          <w:tcPr>
            <w:tcW w:w="5574" w:type="dxa"/>
            <w:gridSpan w:val="3"/>
            <w:vAlign w:val="center"/>
          </w:tcPr>
          <w:p w:rsidR="004337CF" w:rsidRPr="004337CF" w:rsidRDefault="004337CF" w:rsidP="006D4F2B">
            <w:pPr>
              <w:autoSpaceDE w:val="0"/>
              <w:autoSpaceDN w:val="0"/>
              <w:adjustRightInd w:val="0"/>
              <w:jc w:val="center"/>
              <w:rPr>
                <w:b/>
                <w:sz w:val="22"/>
                <w:szCs w:val="22"/>
              </w:rPr>
            </w:pPr>
            <w:r w:rsidRPr="004337CF">
              <w:rPr>
                <w:b/>
                <w:sz w:val="22"/>
                <w:szCs w:val="22"/>
              </w:rPr>
              <w:t>Sex</w:t>
            </w:r>
          </w:p>
        </w:tc>
      </w:tr>
      <w:tr w:rsidR="004337CF" w:rsidTr="00D77E1F">
        <w:trPr>
          <w:trHeight w:val="360"/>
          <w:jc w:val="center"/>
        </w:trPr>
        <w:tc>
          <w:tcPr>
            <w:tcW w:w="2425" w:type="dxa"/>
            <w:vMerge/>
            <w:tcBorders>
              <w:bottom w:val="single" w:sz="4" w:space="0" w:color="auto"/>
            </w:tcBorders>
            <w:vAlign w:val="center"/>
          </w:tcPr>
          <w:p w:rsidR="004337CF" w:rsidRPr="00D213B1" w:rsidRDefault="004337CF" w:rsidP="006D4F2B">
            <w:pPr>
              <w:autoSpaceDE w:val="0"/>
              <w:autoSpaceDN w:val="0"/>
              <w:adjustRightInd w:val="0"/>
              <w:rPr>
                <w:b/>
                <w:sz w:val="22"/>
                <w:szCs w:val="22"/>
              </w:rPr>
            </w:pPr>
          </w:p>
        </w:tc>
        <w:tc>
          <w:tcPr>
            <w:tcW w:w="1858" w:type="dxa"/>
            <w:tcBorders>
              <w:bottom w:val="single" w:sz="4" w:space="0" w:color="auto"/>
            </w:tcBorders>
            <w:vAlign w:val="center"/>
          </w:tcPr>
          <w:p w:rsidR="004337CF" w:rsidRPr="004337CF" w:rsidRDefault="004337CF" w:rsidP="006D4F2B">
            <w:pPr>
              <w:autoSpaceDE w:val="0"/>
              <w:autoSpaceDN w:val="0"/>
              <w:adjustRightInd w:val="0"/>
              <w:jc w:val="center"/>
              <w:rPr>
                <w:b/>
                <w:sz w:val="22"/>
                <w:szCs w:val="22"/>
              </w:rPr>
            </w:pPr>
            <w:r w:rsidRPr="004337CF">
              <w:rPr>
                <w:b/>
                <w:sz w:val="22"/>
                <w:szCs w:val="22"/>
              </w:rPr>
              <w:t>Male</w:t>
            </w:r>
          </w:p>
        </w:tc>
        <w:tc>
          <w:tcPr>
            <w:tcW w:w="1858" w:type="dxa"/>
            <w:tcBorders>
              <w:bottom w:val="single" w:sz="4" w:space="0" w:color="auto"/>
            </w:tcBorders>
            <w:vAlign w:val="center"/>
          </w:tcPr>
          <w:p w:rsidR="004337CF" w:rsidRPr="004337CF" w:rsidRDefault="004337CF" w:rsidP="006D4F2B">
            <w:pPr>
              <w:autoSpaceDE w:val="0"/>
              <w:autoSpaceDN w:val="0"/>
              <w:adjustRightInd w:val="0"/>
              <w:jc w:val="center"/>
              <w:rPr>
                <w:b/>
                <w:sz w:val="22"/>
                <w:szCs w:val="22"/>
              </w:rPr>
            </w:pPr>
            <w:r w:rsidRPr="004337CF">
              <w:rPr>
                <w:b/>
                <w:sz w:val="22"/>
                <w:szCs w:val="22"/>
              </w:rPr>
              <w:t>Female</w:t>
            </w:r>
          </w:p>
        </w:tc>
        <w:tc>
          <w:tcPr>
            <w:tcW w:w="1858" w:type="dxa"/>
            <w:tcBorders>
              <w:bottom w:val="single" w:sz="4" w:space="0" w:color="auto"/>
            </w:tcBorders>
            <w:vAlign w:val="center"/>
          </w:tcPr>
          <w:p w:rsidR="004337CF" w:rsidRPr="004337CF" w:rsidRDefault="004337CF" w:rsidP="004337CF">
            <w:pPr>
              <w:autoSpaceDE w:val="0"/>
              <w:autoSpaceDN w:val="0"/>
              <w:adjustRightInd w:val="0"/>
              <w:jc w:val="center"/>
              <w:rPr>
                <w:b/>
                <w:sz w:val="22"/>
                <w:szCs w:val="22"/>
              </w:rPr>
            </w:pPr>
            <w:r w:rsidRPr="004337CF">
              <w:rPr>
                <w:b/>
                <w:sz w:val="22"/>
                <w:szCs w:val="22"/>
              </w:rPr>
              <w:t>All</w:t>
            </w:r>
          </w:p>
        </w:tc>
      </w:tr>
      <w:tr w:rsidR="004337CF" w:rsidTr="00D77E1F">
        <w:trPr>
          <w:trHeight w:val="360"/>
          <w:jc w:val="center"/>
        </w:trPr>
        <w:tc>
          <w:tcPr>
            <w:tcW w:w="2425" w:type="dxa"/>
            <w:tcBorders>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N subjects</w:t>
            </w:r>
            <w:r w:rsidRPr="00D213B1">
              <w:rPr>
                <w:b/>
                <w:sz w:val="22"/>
                <w:szCs w:val="22"/>
                <w:vertAlign w:val="superscript"/>
              </w:rPr>
              <w:t>[1]</w:t>
            </w:r>
          </w:p>
        </w:tc>
        <w:tc>
          <w:tcPr>
            <w:tcW w:w="1858" w:type="dxa"/>
            <w:tcBorders>
              <w:bottom w:val="nil"/>
            </w:tcBorders>
            <w:vAlign w:val="center"/>
          </w:tcPr>
          <w:p w:rsidR="004337CF" w:rsidRDefault="00976450" w:rsidP="006D4F2B">
            <w:pPr>
              <w:autoSpaceDE w:val="0"/>
              <w:autoSpaceDN w:val="0"/>
              <w:adjustRightInd w:val="0"/>
              <w:jc w:val="center"/>
              <w:rPr>
                <w:sz w:val="22"/>
                <w:szCs w:val="22"/>
              </w:rPr>
            </w:pPr>
            <w:r>
              <w:rPr>
                <w:sz w:val="22"/>
                <w:szCs w:val="22"/>
              </w:rPr>
              <w:t>36</w:t>
            </w:r>
          </w:p>
        </w:tc>
        <w:tc>
          <w:tcPr>
            <w:tcW w:w="1858" w:type="dxa"/>
            <w:tcBorders>
              <w:bottom w:val="nil"/>
            </w:tcBorders>
            <w:vAlign w:val="center"/>
          </w:tcPr>
          <w:p w:rsidR="004337CF" w:rsidRDefault="00976450" w:rsidP="006D4F2B">
            <w:pPr>
              <w:autoSpaceDE w:val="0"/>
              <w:autoSpaceDN w:val="0"/>
              <w:adjustRightInd w:val="0"/>
              <w:jc w:val="center"/>
              <w:rPr>
                <w:sz w:val="22"/>
                <w:szCs w:val="22"/>
              </w:rPr>
            </w:pPr>
            <w:r>
              <w:rPr>
                <w:sz w:val="22"/>
                <w:szCs w:val="22"/>
              </w:rPr>
              <w:t>276</w:t>
            </w:r>
          </w:p>
        </w:tc>
        <w:tc>
          <w:tcPr>
            <w:tcW w:w="1858" w:type="dxa"/>
            <w:tcBorders>
              <w:bottom w:val="nil"/>
            </w:tcBorders>
            <w:vAlign w:val="center"/>
          </w:tcPr>
          <w:p w:rsidR="004337CF" w:rsidRDefault="00976450" w:rsidP="006D4F2B">
            <w:pPr>
              <w:autoSpaceDE w:val="0"/>
              <w:autoSpaceDN w:val="0"/>
              <w:adjustRightInd w:val="0"/>
              <w:jc w:val="center"/>
              <w:rPr>
                <w:sz w:val="22"/>
                <w:szCs w:val="22"/>
              </w:rPr>
            </w:pPr>
            <w:r>
              <w:rPr>
                <w:sz w:val="22"/>
                <w:szCs w:val="22"/>
              </w:rPr>
              <w:t>312</w:t>
            </w:r>
          </w:p>
        </w:tc>
      </w:tr>
      <w:tr w:rsidR="004337CF" w:rsidTr="00D77E1F">
        <w:trPr>
          <w:trHeight w:val="360"/>
          <w:jc w:val="center"/>
        </w:trPr>
        <w:tc>
          <w:tcPr>
            <w:tcW w:w="2425" w:type="dxa"/>
            <w:tcBorders>
              <w:top w:val="nil"/>
              <w:bottom w:val="single" w:sz="4" w:space="0" w:color="auto"/>
            </w:tcBorders>
            <w:vAlign w:val="center"/>
          </w:tcPr>
          <w:p w:rsidR="004337CF" w:rsidRPr="00D213B1" w:rsidRDefault="004337CF" w:rsidP="006D4F2B">
            <w:pPr>
              <w:autoSpaceDE w:val="0"/>
              <w:autoSpaceDN w:val="0"/>
              <w:adjustRightInd w:val="0"/>
              <w:rPr>
                <w:b/>
                <w:sz w:val="22"/>
                <w:szCs w:val="22"/>
              </w:rPr>
            </w:pPr>
            <w:r w:rsidRPr="00D213B1">
              <w:rPr>
                <w:b/>
                <w:sz w:val="22"/>
                <w:szCs w:val="22"/>
              </w:rPr>
              <w:t>N deaths</w:t>
            </w:r>
          </w:p>
        </w:tc>
        <w:tc>
          <w:tcPr>
            <w:tcW w:w="1858" w:type="dxa"/>
            <w:tcBorders>
              <w:top w:val="nil"/>
              <w:bottom w:val="single" w:sz="4" w:space="0" w:color="auto"/>
            </w:tcBorders>
            <w:vAlign w:val="center"/>
          </w:tcPr>
          <w:p w:rsidR="004337CF" w:rsidRDefault="00976450" w:rsidP="006D4F2B">
            <w:pPr>
              <w:autoSpaceDE w:val="0"/>
              <w:autoSpaceDN w:val="0"/>
              <w:adjustRightInd w:val="0"/>
              <w:jc w:val="center"/>
              <w:rPr>
                <w:sz w:val="22"/>
                <w:szCs w:val="22"/>
              </w:rPr>
            </w:pPr>
            <w:r>
              <w:rPr>
                <w:sz w:val="22"/>
                <w:szCs w:val="22"/>
              </w:rPr>
              <w:t>22</w:t>
            </w:r>
          </w:p>
        </w:tc>
        <w:tc>
          <w:tcPr>
            <w:tcW w:w="1858" w:type="dxa"/>
            <w:tcBorders>
              <w:top w:val="nil"/>
              <w:bottom w:val="single" w:sz="4" w:space="0" w:color="auto"/>
            </w:tcBorders>
            <w:vAlign w:val="center"/>
          </w:tcPr>
          <w:p w:rsidR="004337CF" w:rsidRDefault="00976450" w:rsidP="006D4F2B">
            <w:pPr>
              <w:autoSpaceDE w:val="0"/>
              <w:autoSpaceDN w:val="0"/>
              <w:adjustRightInd w:val="0"/>
              <w:jc w:val="center"/>
              <w:rPr>
                <w:sz w:val="22"/>
                <w:szCs w:val="22"/>
              </w:rPr>
            </w:pPr>
            <w:r>
              <w:rPr>
                <w:sz w:val="22"/>
                <w:szCs w:val="22"/>
              </w:rPr>
              <w:t>103</w:t>
            </w:r>
          </w:p>
        </w:tc>
        <w:tc>
          <w:tcPr>
            <w:tcW w:w="1858" w:type="dxa"/>
            <w:tcBorders>
              <w:top w:val="nil"/>
              <w:bottom w:val="single" w:sz="4" w:space="0" w:color="auto"/>
            </w:tcBorders>
            <w:vAlign w:val="center"/>
          </w:tcPr>
          <w:p w:rsidR="004337CF" w:rsidRDefault="00976450" w:rsidP="006D4F2B">
            <w:pPr>
              <w:autoSpaceDE w:val="0"/>
              <w:autoSpaceDN w:val="0"/>
              <w:adjustRightInd w:val="0"/>
              <w:jc w:val="center"/>
              <w:rPr>
                <w:sz w:val="22"/>
                <w:szCs w:val="22"/>
              </w:rPr>
            </w:pPr>
            <w:r>
              <w:rPr>
                <w:sz w:val="22"/>
                <w:szCs w:val="22"/>
              </w:rPr>
              <w:t>125</w:t>
            </w:r>
          </w:p>
        </w:tc>
      </w:tr>
      <w:tr w:rsidR="004337CF" w:rsidTr="00D77E1F">
        <w:trPr>
          <w:trHeight w:val="360"/>
          <w:jc w:val="center"/>
        </w:trPr>
        <w:tc>
          <w:tcPr>
            <w:tcW w:w="2425" w:type="dxa"/>
            <w:tcBorders>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Survival at 1 year</w:t>
            </w:r>
          </w:p>
        </w:tc>
        <w:tc>
          <w:tcPr>
            <w:tcW w:w="1858" w:type="dxa"/>
            <w:tcBorders>
              <w:bottom w:val="nil"/>
            </w:tcBorders>
            <w:vAlign w:val="center"/>
          </w:tcPr>
          <w:p w:rsidR="004337CF" w:rsidRDefault="00894DE4" w:rsidP="006D4F2B">
            <w:pPr>
              <w:autoSpaceDE w:val="0"/>
              <w:autoSpaceDN w:val="0"/>
              <w:adjustRightInd w:val="0"/>
              <w:jc w:val="center"/>
              <w:rPr>
                <w:sz w:val="22"/>
                <w:szCs w:val="22"/>
              </w:rPr>
            </w:pPr>
            <w:r>
              <w:rPr>
                <w:sz w:val="22"/>
                <w:szCs w:val="22"/>
              </w:rPr>
              <w:t>94.4%</w:t>
            </w:r>
          </w:p>
        </w:tc>
        <w:tc>
          <w:tcPr>
            <w:tcW w:w="1858" w:type="dxa"/>
            <w:tcBorders>
              <w:bottom w:val="nil"/>
            </w:tcBorders>
            <w:vAlign w:val="center"/>
          </w:tcPr>
          <w:p w:rsidR="004337CF" w:rsidRDefault="00AB3001" w:rsidP="006D4F2B">
            <w:pPr>
              <w:autoSpaceDE w:val="0"/>
              <w:autoSpaceDN w:val="0"/>
              <w:adjustRightInd w:val="0"/>
              <w:jc w:val="center"/>
              <w:rPr>
                <w:sz w:val="22"/>
                <w:szCs w:val="22"/>
              </w:rPr>
            </w:pPr>
            <w:r>
              <w:rPr>
                <w:sz w:val="22"/>
                <w:szCs w:val="22"/>
              </w:rPr>
              <w:t>92.8%</w:t>
            </w:r>
          </w:p>
        </w:tc>
        <w:tc>
          <w:tcPr>
            <w:tcW w:w="1858" w:type="dxa"/>
            <w:tcBorders>
              <w:bottom w:val="nil"/>
            </w:tcBorders>
            <w:vAlign w:val="center"/>
          </w:tcPr>
          <w:p w:rsidR="004337CF" w:rsidRDefault="00BC63C8" w:rsidP="006D4F2B">
            <w:pPr>
              <w:autoSpaceDE w:val="0"/>
              <w:autoSpaceDN w:val="0"/>
              <w:adjustRightInd w:val="0"/>
              <w:jc w:val="center"/>
              <w:rPr>
                <w:sz w:val="22"/>
                <w:szCs w:val="22"/>
              </w:rPr>
            </w:pPr>
            <w:r>
              <w:rPr>
                <w:sz w:val="22"/>
                <w:szCs w:val="22"/>
              </w:rPr>
              <w:t>92.9%</w:t>
            </w:r>
          </w:p>
        </w:tc>
      </w:tr>
      <w:tr w:rsidR="004337CF" w:rsidTr="00D77E1F">
        <w:trPr>
          <w:trHeight w:val="360"/>
          <w:jc w:val="center"/>
        </w:trPr>
        <w:tc>
          <w:tcPr>
            <w:tcW w:w="2425" w:type="dxa"/>
            <w:tcBorders>
              <w:top w:val="nil"/>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Survival at 2 years</w:t>
            </w:r>
          </w:p>
        </w:tc>
        <w:tc>
          <w:tcPr>
            <w:tcW w:w="1858" w:type="dxa"/>
            <w:tcBorders>
              <w:top w:val="nil"/>
              <w:bottom w:val="nil"/>
            </w:tcBorders>
            <w:vAlign w:val="center"/>
          </w:tcPr>
          <w:p w:rsidR="004337CF" w:rsidRDefault="00F36B1D" w:rsidP="006D4F2B">
            <w:pPr>
              <w:autoSpaceDE w:val="0"/>
              <w:autoSpaceDN w:val="0"/>
              <w:adjustRightInd w:val="0"/>
              <w:jc w:val="center"/>
              <w:rPr>
                <w:sz w:val="22"/>
                <w:szCs w:val="22"/>
              </w:rPr>
            </w:pPr>
            <w:r>
              <w:rPr>
                <w:sz w:val="22"/>
                <w:szCs w:val="22"/>
              </w:rPr>
              <w:t>88.7%</w:t>
            </w:r>
          </w:p>
        </w:tc>
        <w:tc>
          <w:tcPr>
            <w:tcW w:w="1858" w:type="dxa"/>
            <w:tcBorders>
              <w:top w:val="nil"/>
              <w:bottom w:val="nil"/>
            </w:tcBorders>
            <w:vAlign w:val="center"/>
          </w:tcPr>
          <w:p w:rsidR="004337CF" w:rsidRDefault="00AB3001" w:rsidP="006D4F2B">
            <w:pPr>
              <w:autoSpaceDE w:val="0"/>
              <w:autoSpaceDN w:val="0"/>
              <w:adjustRightInd w:val="0"/>
              <w:jc w:val="center"/>
              <w:rPr>
                <w:sz w:val="22"/>
                <w:szCs w:val="22"/>
              </w:rPr>
            </w:pPr>
            <w:r>
              <w:rPr>
                <w:sz w:val="22"/>
                <w:szCs w:val="22"/>
              </w:rPr>
              <w:t>89.5%</w:t>
            </w:r>
          </w:p>
        </w:tc>
        <w:tc>
          <w:tcPr>
            <w:tcW w:w="1858" w:type="dxa"/>
            <w:tcBorders>
              <w:top w:val="nil"/>
              <w:bottom w:val="nil"/>
            </w:tcBorders>
            <w:vAlign w:val="center"/>
          </w:tcPr>
          <w:p w:rsidR="004337CF" w:rsidRDefault="00BC63C8" w:rsidP="006D4F2B">
            <w:pPr>
              <w:autoSpaceDE w:val="0"/>
              <w:autoSpaceDN w:val="0"/>
              <w:adjustRightInd w:val="0"/>
              <w:jc w:val="center"/>
              <w:rPr>
                <w:sz w:val="22"/>
                <w:szCs w:val="22"/>
              </w:rPr>
            </w:pPr>
            <w:r>
              <w:rPr>
                <w:sz w:val="22"/>
                <w:szCs w:val="22"/>
              </w:rPr>
              <w:t>89.4%</w:t>
            </w:r>
          </w:p>
        </w:tc>
      </w:tr>
      <w:tr w:rsidR="004337CF" w:rsidTr="00D77E1F">
        <w:trPr>
          <w:trHeight w:val="360"/>
          <w:jc w:val="center"/>
        </w:trPr>
        <w:tc>
          <w:tcPr>
            <w:tcW w:w="2425" w:type="dxa"/>
            <w:tcBorders>
              <w:top w:val="nil"/>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Survival at 5 years</w:t>
            </w:r>
          </w:p>
        </w:tc>
        <w:tc>
          <w:tcPr>
            <w:tcW w:w="1858" w:type="dxa"/>
            <w:tcBorders>
              <w:top w:val="nil"/>
              <w:bottom w:val="nil"/>
            </w:tcBorders>
            <w:vAlign w:val="center"/>
          </w:tcPr>
          <w:p w:rsidR="004337CF" w:rsidRDefault="00F36B1D" w:rsidP="006D4F2B">
            <w:pPr>
              <w:autoSpaceDE w:val="0"/>
              <w:autoSpaceDN w:val="0"/>
              <w:adjustRightInd w:val="0"/>
              <w:jc w:val="center"/>
              <w:rPr>
                <w:sz w:val="22"/>
                <w:szCs w:val="22"/>
              </w:rPr>
            </w:pPr>
            <w:r>
              <w:rPr>
                <w:sz w:val="22"/>
                <w:szCs w:val="22"/>
              </w:rPr>
              <w:t>52.2%</w:t>
            </w:r>
          </w:p>
        </w:tc>
        <w:tc>
          <w:tcPr>
            <w:tcW w:w="1858" w:type="dxa"/>
            <w:tcBorders>
              <w:top w:val="nil"/>
              <w:bottom w:val="nil"/>
            </w:tcBorders>
            <w:vAlign w:val="center"/>
          </w:tcPr>
          <w:p w:rsidR="004337CF" w:rsidRDefault="00AB3001" w:rsidP="006D4F2B">
            <w:pPr>
              <w:autoSpaceDE w:val="0"/>
              <w:autoSpaceDN w:val="0"/>
              <w:adjustRightInd w:val="0"/>
              <w:jc w:val="center"/>
              <w:rPr>
                <w:sz w:val="22"/>
                <w:szCs w:val="22"/>
              </w:rPr>
            </w:pPr>
            <w:r>
              <w:rPr>
                <w:sz w:val="22"/>
                <w:szCs w:val="22"/>
              </w:rPr>
              <w:t>73.0%</w:t>
            </w:r>
          </w:p>
        </w:tc>
        <w:tc>
          <w:tcPr>
            <w:tcW w:w="1858" w:type="dxa"/>
            <w:tcBorders>
              <w:top w:val="nil"/>
              <w:bottom w:val="nil"/>
            </w:tcBorders>
            <w:vAlign w:val="center"/>
          </w:tcPr>
          <w:p w:rsidR="004337CF" w:rsidRDefault="00BC63C8" w:rsidP="006D4F2B">
            <w:pPr>
              <w:autoSpaceDE w:val="0"/>
              <w:autoSpaceDN w:val="0"/>
              <w:adjustRightInd w:val="0"/>
              <w:jc w:val="center"/>
              <w:rPr>
                <w:sz w:val="22"/>
                <w:szCs w:val="22"/>
              </w:rPr>
            </w:pPr>
            <w:r>
              <w:rPr>
                <w:sz w:val="22"/>
                <w:szCs w:val="22"/>
              </w:rPr>
              <w:t>70.6%</w:t>
            </w:r>
          </w:p>
        </w:tc>
      </w:tr>
      <w:tr w:rsidR="004337CF" w:rsidTr="00D77E1F">
        <w:trPr>
          <w:trHeight w:val="360"/>
          <w:jc w:val="center"/>
        </w:trPr>
        <w:tc>
          <w:tcPr>
            <w:tcW w:w="2425" w:type="dxa"/>
            <w:tcBorders>
              <w:top w:val="nil"/>
              <w:bottom w:val="single" w:sz="4" w:space="0" w:color="auto"/>
            </w:tcBorders>
            <w:vAlign w:val="center"/>
          </w:tcPr>
          <w:p w:rsidR="004337CF" w:rsidRPr="00D213B1" w:rsidRDefault="004337CF" w:rsidP="006D4F2B">
            <w:pPr>
              <w:autoSpaceDE w:val="0"/>
              <w:autoSpaceDN w:val="0"/>
              <w:adjustRightInd w:val="0"/>
              <w:rPr>
                <w:b/>
                <w:sz w:val="22"/>
                <w:szCs w:val="22"/>
              </w:rPr>
            </w:pPr>
            <w:r w:rsidRPr="00D213B1">
              <w:rPr>
                <w:b/>
                <w:sz w:val="22"/>
                <w:szCs w:val="22"/>
              </w:rPr>
              <w:t>Survival at 10 years</w:t>
            </w:r>
          </w:p>
        </w:tc>
        <w:tc>
          <w:tcPr>
            <w:tcW w:w="1858" w:type="dxa"/>
            <w:tcBorders>
              <w:top w:val="nil"/>
              <w:bottom w:val="single" w:sz="4" w:space="0" w:color="auto"/>
            </w:tcBorders>
            <w:vAlign w:val="center"/>
          </w:tcPr>
          <w:p w:rsidR="004337CF" w:rsidRDefault="00F36B1D" w:rsidP="006D4F2B">
            <w:pPr>
              <w:autoSpaceDE w:val="0"/>
              <w:autoSpaceDN w:val="0"/>
              <w:adjustRightInd w:val="0"/>
              <w:jc w:val="center"/>
              <w:rPr>
                <w:sz w:val="22"/>
                <w:szCs w:val="22"/>
              </w:rPr>
            </w:pPr>
            <w:r>
              <w:rPr>
                <w:sz w:val="22"/>
                <w:szCs w:val="22"/>
              </w:rPr>
              <w:t>34.3%</w:t>
            </w:r>
          </w:p>
        </w:tc>
        <w:tc>
          <w:tcPr>
            <w:tcW w:w="1858" w:type="dxa"/>
            <w:tcBorders>
              <w:top w:val="nil"/>
              <w:bottom w:val="single" w:sz="4" w:space="0" w:color="auto"/>
            </w:tcBorders>
            <w:vAlign w:val="center"/>
          </w:tcPr>
          <w:p w:rsidR="004337CF" w:rsidRDefault="00111B8A" w:rsidP="006D4F2B">
            <w:pPr>
              <w:autoSpaceDE w:val="0"/>
              <w:autoSpaceDN w:val="0"/>
              <w:adjustRightInd w:val="0"/>
              <w:jc w:val="center"/>
              <w:rPr>
                <w:sz w:val="22"/>
                <w:szCs w:val="22"/>
              </w:rPr>
            </w:pPr>
            <w:r>
              <w:rPr>
                <w:sz w:val="22"/>
                <w:szCs w:val="22"/>
              </w:rPr>
              <w:t>44.9%</w:t>
            </w:r>
          </w:p>
        </w:tc>
        <w:tc>
          <w:tcPr>
            <w:tcW w:w="1858" w:type="dxa"/>
            <w:tcBorders>
              <w:top w:val="nil"/>
              <w:bottom w:val="single" w:sz="4" w:space="0" w:color="auto"/>
            </w:tcBorders>
            <w:vAlign w:val="center"/>
          </w:tcPr>
          <w:p w:rsidR="004337CF" w:rsidRDefault="002D782C" w:rsidP="006D4F2B">
            <w:pPr>
              <w:autoSpaceDE w:val="0"/>
              <w:autoSpaceDN w:val="0"/>
              <w:adjustRightInd w:val="0"/>
              <w:jc w:val="center"/>
              <w:rPr>
                <w:sz w:val="22"/>
                <w:szCs w:val="22"/>
              </w:rPr>
            </w:pPr>
            <w:r>
              <w:rPr>
                <w:sz w:val="22"/>
                <w:szCs w:val="22"/>
              </w:rPr>
              <w:t>43.9%</w:t>
            </w:r>
          </w:p>
        </w:tc>
      </w:tr>
      <w:tr w:rsidR="004337CF" w:rsidTr="00D77E1F">
        <w:trPr>
          <w:trHeight w:val="360"/>
          <w:jc w:val="center"/>
        </w:trPr>
        <w:tc>
          <w:tcPr>
            <w:tcW w:w="2425" w:type="dxa"/>
            <w:tcBorders>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25</w:t>
            </w:r>
            <w:r w:rsidRPr="00D213B1">
              <w:rPr>
                <w:b/>
                <w:sz w:val="22"/>
                <w:szCs w:val="22"/>
                <w:vertAlign w:val="superscript"/>
              </w:rPr>
              <w:t>th</w:t>
            </w:r>
            <w:r w:rsidRPr="00D213B1">
              <w:rPr>
                <w:b/>
                <w:sz w:val="22"/>
                <w:szCs w:val="22"/>
              </w:rPr>
              <w:t xml:space="preserve"> pct of survival</w:t>
            </w:r>
            <w:r w:rsidRPr="00D213B1">
              <w:rPr>
                <w:b/>
                <w:sz w:val="22"/>
                <w:szCs w:val="22"/>
                <w:vertAlign w:val="superscript"/>
              </w:rPr>
              <w:t>[2]</w:t>
            </w:r>
          </w:p>
        </w:tc>
        <w:tc>
          <w:tcPr>
            <w:tcW w:w="1858" w:type="dxa"/>
            <w:tcBorders>
              <w:bottom w:val="nil"/>
            </w:tcBorders>
            <w:vAlign w:val="center"/>
          </w:tcPr>
          <w:p w:rsidR="004337CF" w:rsidRDefault="003D7BEB" w:rsidP="006D4F2B">
            <w:pPr>
              <w:autoSpaceDE w:val="0"/>
              <w:autoSpaceDN w:val="0"/>
              <w:adjustRightInd w:val="0"/>
              <w:jc w:val="center"/>
              <w:rPr>
                <w:sz w:val="22"/>
                <w:szCs w:val="22"/>
              </w:rPr>
            </w:pPr>
            <w:r>
              <w:rPr>
                <w:sz w:val="22"/>
                <w:szCs w:val="22"/>
              </w:rPr>
              <w:t>2.77 yrs</w:t>
            </w:r>
          </w:p>
        </w:tc>
        <w:tc>
          <w:tcPr>
            <w:tcW w:w="1858" w:type="dxa"/>
            <w:tcBorders>
              <w:bottom w:val="nil"/>
            </w:tcBorders>
            <w:vAlign w:val="center"/>
          </w:tcPr>
          <w:p w:rsidR="004337CF" w:rsidRDefault="00C075DD" w:rsidP="006D4F2B">
            <w:pPr>
              <w:autoSpaceDE w:val="0"/>
              <w:autoSpaceDN w:val="0"/>
              <w:adjustRightInd w:val="0"/>
              <w:jc w:val="center"/>
              <w:rPr>
                <w:sz w:val="22"/>
                <w:szCs w:val="22"/>
              </w:rPr>
            </w:pPr>
            <w:r>
              <w:rPr>
                <w:sz w:val="22"/>
                <w:szCs w:val="22"/>
              </w:rPr>
              <w:t>4.63 yrs</w:t>
            </w:r>
          </w:p>
        </w:tc>
        <w:tc>
          <w:tcPr>
            <w:tcW w:w="1858" w:type="dxa"/>
            <w:tcBorders>
              <w:bottom w:val="nil"/>
            </w:tcBorders>
            <w:vAlign w:val="center"/>
          </w:tcPr>
          <w:p w:rsidR="004337CF" w:rsidRDefault="00D359B4" w:rsidP="006D4F2B">
            <w:pPr>
              <w:autoSpaceDE w:val="0"/>
              <w:autoSpaceDN w:val="0"/>
              <w:adjustRightInd w:val="0"/>
              <w:jc w:val="center"/>
              <w:rPr>
                <w:sz w:val="22"/>
                <w:szCs w:val="22"/>
              </w:rPr>
            </w:pPr>
            <w:r>
              <w:rPr>
                <w:sz w:val="22"/>
                <w:szCs w:val="22"/>
              </w:rPr>
              <w:t>4.07 yrs</w:t>
            </w:r>
          </w:p>
        </w:tc>
      </w:tr>
      <w:tr w:rsidR="004337CF" w:rsidTr="00D77E1F">
        <w:trPr>
          <w:trHeight w:val="360"/>
          <w:jc w:val="center"/>
        </w:trPr>
        <w:tc>
          <w:tcPr>
            <w:tcW w:w="2425" w:type="dxa"/>
            <w:tcBorders>
              <w:top w:val="nil"/>
              <w:bottom w:val="nil"/>
            </w:tcBorders>
            <w:vAlign w:val="center"/>
          </w:tcPr>
          <w:p w:rsidR="004337CF" w:rsidRPr="00D213B1" w:rsidRDefault="004337CF" w:rsidP="006D4F2B">
            <w:pPr>
              <w:autoSpaceDE w:val="0"/>
              <w:autoSpaceDN w:val="0"/>
              <w:adjustRightInd w:val="0"/>
              <w:rPr>
                <w:b/>
                <w:sz w:val="22"/>
                <w:szCs w:val="22"/>
                <w:vertAlign w:val="superscript"/>
              </w:rPr>
            </w:pPr>
            <w:r w:rsidRPr="00D213B1">
              <w:rPr>
                <w:b/>
                <w:sz w:val="22"/>
                <w:szCs w:val="22"/>
              </w:rPr>
              <w:t>Median survival</w:t>
            </w:r>
            <w:r w:rsidRPr="00D213B1">
              <w:rPr>
                <w:b/>
                <w:sz w:val="22"/>
                <w:szCs w:val="22"/>
                <w:vertAlign w:val="superscript"/>
              </w:rPr>
              <w:t>[2]</w:t>
            </w:r>
          </w:p>
        </w:tc>
        <w:tc>
          <w:tcPr>
            <w:tcW w:w="1858" w:type="dxa"/>
            <w:tcBorders>
              <w:top w:val="nil"/>
              <w:bottom w:val="nil"/>
            </w:tcBorders>
            <w:vAlign w:val="center"/>
          </w:tcPr>
          <w:p w:rsidR="004337CF" w:rsidRPr="00E961AB" w:rsidRDefault="001A1C63" w:rsidP="006D4F2B">
            <w:pPr>
              <w:autoSpaceDE w:val="0"/>
              <w:autoSpaceDN w:val="0"/>
              <w:adjustRightInd w:val="0"/>
              <w:jc w:val="center"/>
              <w:rPr>
                <w:sz w:val="22"/>
                <w:szCs w:val="22"/>
              </w:rPr>
            </w:pPr>
            <w:r>
              <w:rPr>
                <w:sz w:val="22"/>
                <w:szCs w:val="22"/>
              </w:rPr>
              <w:t>6.53 yrs</w:t>
            </w:r>
          </w:p>
        </w:tc>
        <w:tc>
          <w:tcPr>
            <w:tcW w:w="1858" w:type="dxa"/>
            <w:tcBorders>
              <w:top w:val="nil"/>
              <w:bottom w:val="nil"/>
            </w:tcBorders>
            <w:vAlign w:val="center"/>
          </w:tcPr>
          <w:p w:rsidR="004337CF" w:rsidRDefault="001A1C63" w:rsidP="006D4F2B">
            <w:pPr>
              <w:autoSpaceDE w:val="0"/>
              <w:autoSpaceDN w:val="0"/>
              <w:adjustRightInd w:val="0"/>
              <w:jc w:val="center"/>
              <w:rPr>
                <w:sz w:val="22"/>
                <w:szCs w:val="22"/>
              </w:rPr>
            </w:pPr>
            <w:r>
              <w:rPr>
                <w:sz w:val="22"/>
                <w:szCs w:val="22"/>
              </w:rPr>
              <w:t>9.39 yrs</w:t>
            </w:r>
          </w:p>
        </w:tc>
        <w:tc>
          <w:tcPr>
            <w:tcW w:w="1858" w:type="dxa"/>
            <w:tcBorders>
              <w:top w:val="nil"/>
              <w:bottom w:val="nil"/>
            </w:tcBorders>
            <w:vAlign w:val="center"/>
          </w:tcPr>
          <w:p w:rsidR="004337CF" w:rsidRDefault="007031FC" w:rsidP="006D4F2B">
            <w:pPr>
              <w:autoSpaceDE w:val="0"/>
              <w:autoSpaceDN w:val="0"/>
              <w:adjustRightInd w:val="0"/>
              <w:jc w:val="center"/>
              <w:rPr>
                <w:sz w:val="22"/>
                <w:szCs w:val="22"/>
              </w:rPr>
            </w:pPr>
            <w:r>
              <w:rPr>
                <w:sz w:val="22"/>
                <w:szCs w:val="22"/>
              </w:rPr>
              <w:t>9.30 yrs</w:t>
            </w:r>
          </w:p>
        </w:tc>
      </w:tr>
      <w:tr w:rsidR="004337CF" w:rsidTr="00D77E1F">
        <w:trPr>
          <w:trHeight w:val="360"/>
          <w:jc w:val="center"/>
        </w:trPr>
        <w:tc>
          <w:tcPr>
            <w:tcW w:w="2425" w:type="dxa"/>
            <w:tcBorders>
              <w:top w:val="nil"/>
            </w:tcBorders>
            <w:vAlign w:val="center"/>
          </w:tcPr>
          <w:p w:rsidR="004337CF" w:rsidRPr="00D213B1" w:rsidRDefault="004337CF" w:rsidP="006D4F2B">
            <w:pPr>
              <w:autoSpaceDE w:val="0"/>
              <w:autoSpaceDN w:val="0"/>
              <w:adjustRightInd w:val="0"/>
              <w:rPr>
                <w:b/>
                <w:sz w:val="22"/>
                <w:szCs w:val="22"/>
                <w:vertAlign w:val="superscript"/>
              </w:rPr>
            </w:pPr>
            <w:r w:rsidRPr="00D213B1">
              <w:rPr>
                <w:b/>
                <w:sz w:val="22"/>
                <w:szCs w:val="22"/>
              </w:rPr>
              <w:t>60</w:t>
            </w:r>
            <w:r w:rsidRPr="00D213B1">
              <w:rPr>
                <w:b/>
                <w:sz w:val="22"/>
                <w:szCs w:val="22"/>
                <w:vertAlign w:val="superscript"/>
              </w:rPr>
              <w:t>th</w:t>
            </w:r>
            <w:r w:rsidRPr="00D213B1">
              <w:rPr>
                <w:b/>
                <w:sz w:val="22"/>
                <w:szCs w:val="22"/>
              </w:rPr>
              <w:t xml:space="preserve"> pct of survival</w:t>
            </w:r>
            <w:r w:rsidRPr="00D213B1">
              <w:rPr>
                <w:b/>
                <w:sz w:val="22"/>
                <w:szCs w:val="22"/>
                <w:vertAlign w:val="superscript"/>
              </w:rPr>
              <w:t>[2]</w:t>
            </w:r>
          </w:p>
        </w:tc>
        <w:tc>
          <w:tcPr>
            <w:tcW w:w="1858" w:type="dxa"/>
            <w:tcBorders>
              <w:top w:val="nil"/>
            </w:tcBorders>
            <w:vAlign w:val="center"/>
          </w:tcPr>
          <w:p w:rsidR="004337CF" w:rsidRDefault="003D7BEB" w:rsidP="006D4F2B">
            <w:pPr>
              <w:autoSpaceDE w:val="0"/>
              <w:autoSpaceDN w:val="0"/>
              <w:adjustRightInd w:val="0"/>
              <w:jc w:val="center"/>
              <w:rPr>
                <w:sz w:val="22"/>
                <w:szCs w:val="22"/>
              </w:rPr>
            </w:pPr>
            <w:r>
              <w:rPr>
                <w:sz w:val="22"/>
                <w:szCs w:val="22"/>
              </w:rPr>
              <w:t>7.66 yrs</w:t>
            </w:r>
          </w:p>
        </w:tc>
        <w:tc>
          <w:tcPr>
            <w:tcW w:w="1858" w:type="dxa"/>
            <w:tcBorders>
              <w:top w:val="nil"/>
            </w:tcBorders>
            <w:vAlign w:val="center"/>
          </w:tcPr>
          <w:p w:rsidR="004337CF" w:rsidRDefault="00500C96" w:rsidP="006D4F2B">
            <w:pPr>
              <w:autoSpaceDE w:val="0"/>
              <w:autoSpaceDN w:val="0"/>
              <w:adjustRightInd w:val="0"/>
              <w:jc w:val="center"/>
              <w:rPr>
                <w:sz w:val="22"/>
                <w:szCs w:val="22"/>
              </w:rPr>
            </w:pPr>
            <w:r>
              <w:rPr>
                <w:sz w:val="22"/>
                <w:szCs w:val="22"/>
              </w:rPr>
              <w:t>10.55 yrs</w:t>
            </w:r>
          </w:p>
        </w:tc>
        <w:tc>
          <w:tcPr>
            <w:tcW w:w="1858" w:type="dxa"/>
            <w:tcBorders>
              <w:top w:val="nil"/>
            </w:tcBorders>
            <w:vAlign w:val="center"/>
          </w:tcPr>
          <w:p w:rsidR="004337CF" w:rsidRDefault="00D359B4" w:rsidP="006D4F2B">
            <w:pPr>
              <w:autoSpaceDE w:val="0"/>
              <w:autoSpaceDN w:val="0"/>
              <w:adjustRightInd w:val="0"/>
              <w:jc w:val="center"/>
              <w:rPr>
                <w:sz w:val="22"/>
                <w:szCs w:val="22"/>
              </w:rPr>
            </w:pPr>
            <w:r>
              <w:rPr>
                <w:sz w:val="22"/>
                <w:szCs w:val="22"/>
              </w:rPr>
              <w:t>10.55 yrs</w:t>
            </w:r>
          </w:p>
        </w:tc>
      </w:tr>
      <w:tr w:rsidR="004337CF" w:rsidTr="004337CF">
        <w:trPr>
          <w:trHeight w:val="360"/>
          <w:jc w:val="center"/>
        </w:trPr>
        <w:tc>
          <w:tcPr>
            <w:tcW w:w="2425" w:type="dxa"/>
            <w:vAlign w:val="center"/>
          </w:tcPr>
          <w:p w:rsidR="004337CF" w:rsidRPr="00D213B1" w:rsidRDefault="004337CF" w:rsidP="006D4F2B">
            <w:pPr>
              <w:autoSpaceDE w:val="0"/>
              <w:autoSpaceDN w:val="0"/>
              <w:adjustRightInd w:val="0"/>
              <w:rPr>
                <w:b/>
                <w:sz w:val="22"/>
                <w:szCs w:val="22"/>
                <w:vertAlign w:val="superscript"/>
              </w:rPr>
            </w:pPr>
            <w:r>
              <w:rPr>
                <w:b/>
                <w:sz w:val="22"/>
                <w:szCs w:val="22"/>
              </w:rPr>
              <w:t>6-year m</w:t>
            </w:r>
            <w:r w:rsidRPr="00D213B1">
              <w:rPr>
                <w:b/>
                <w:sz w:val="22"/>
                <w:szCs w:val="22"/>
              </w:rPr>
              <w:t>ean survival</w:t>
            </w:r>
            <w:r w:rsidRPr="00D213B1">
              <w:rPr>
                <w:b/>
                <w:sz w:val="22"/>
                <w:szCs w:val="22"/>
                <w:vertAlign w:val="superscript"/>
              </w:rPr>
              <w:t>[3]</w:t>
            </w:r>
          </w:p>
        </w:tc>
        <w:tc>
          <w:tcPr>
            <w:tcW w:w="1858" w:type="dxa"/>
            <w:vAlign w:val="center"/>
          </w:tcPr>
          <w:p w:rsidR="004337CF" w:rsidRDefault="001A1C63" w:rsidP="006D4F2B">
            <w:pPr>
              <w:autoSpaceDE w:val="0"/>
              <w:autoSpaceDN w:val="0"/>
              <w:adjustRightInd w:val="0"/>
              <w:jc w:val="center"/>
              <w:rPr>
                <w:sz w:val="22"/>
                <w:szCs w:val="22"/>
              </w:rPr>
            </w:pPr>
            <w:r>
              <w:rPr>
                <w:sz w:val="22"/>
                <w:szCs w:val="22"/>
              </w:rPr>
              <w:t>4.41 yrs</w:t>
            </w:r>
          </w:p>
        </w:tc>
        <w:tc>
          <w:tcPr>
            <w:tcW w:w="1858" w:type="dxa"/>
            <w:vAlign w:val="center"/>
          </w:tcPr>
          <w:p w:rsidR="004337CF" w:rsidRDefault="001A1C63" w:rsidP="006D4F2B">
            <w:pPr>
              <w:autoSpaceDE w:val="0"/>
              <w:autoSpaceDN w:val="0"/>
              <w:adjustRightInd w:val="0"/>
              <w:jc w:val="center"/>
              <w:rPr>
                <w:sz w:val="22"/>
                <w:szCs w:val="22"/>
              </w:rPr>
            </w:pPr>
            <w:r>
              <w:rPr>
                <w:sz w:val="22"/>
                <w:szCs w:val="22"/>
              </w:rPr>
              <w:t>5.00 yrs</w:t>
            </w:r>
          </w:p>
        </w:tc>
        <w:tc>
          <w:tcPr>
            <w:tcW w:w="1858" w:type="dxa"/>
            <w:vAlign w:val="center"/>
          </w:tcPr>
          <w:p w:rsidR="004337CF" w:rsidRDefault="007031FC" w:rsidP="006D4F2B">
            <w:pPr>
              <w:autoSpaceDE w:val="0"/>
              <w:autoSpaceDN w:val="0"/>
              <w:adjustRightInd w:val="0"/>
              <w:jc w:val="center"/>
              <w:rPr>
                <w:sz w:val="22"/>
                <w:szCs w:val="22"/>
              </w:rPr>
            </w:pPr>
            <w:r>
              <w:rPr>
                <w:sz w:val="22"/>
                <w:szCs w:val="22"/>
              </w:rPr>
              <w:t>4.93 yrs</w:t>
            </w:r>
          </w:p>
        </w:tc>
      </w:tr>
    </w:tbl>
    <w:p w:rsidR="00993354" w:rsidRPr="009F1E4C" w:rsidRDefault="00993354" w:rsidP="00993354">
      <w:pPr>
        <w:autoSpaceDE w:val="0"/>
        <w:autoSpaceDN w:val="0"/>
        <w:adjustRightInd w:val="0"/>
        <w:spacing w:after="80"/>
        <w:rPr>
          <w:i/>
          <w:sz w:val="22"/>
          <w:szCs w:val="22"/>
        </w:rPr>
      </w:pPr>
      <w:r w:rsidRPr="009F1E4C">
        <w:rPr>
          <w:i/>
          <w:sz w:val="22"/>
          <w:szCs w:val="22"/>
          <w:vertAlign w:val="superscript"/>
        </w:rPr>
        <w:t>[1]</w:t>
      </w:r>
      <w:r w:rsidRPr="009F1E4C">
        <w:rPr>
          <w:i/>
          <w:sz w:val="22"/>
          <w:szCs w:val="22"/>
        </w:rPr>
        <w:t xml:space="preserve"> </w:t>
      </w:r>
      <w:r w:rsidR="009F1E4C" w:rsidRPr="009F1E4C">
        <w:rPr>
          <w:i/>
          <w:sz w:val="22"/>
          <w:szCs w:val="22"/>
        </w:rPr>
        <w:t>There were 106 observations with missing data on sex, among which 36 died and 70 observations were censored on observed time to death.</w:t>
      </w:r>
      <w:r w:rsidRPr="009F1E4C">
        <w:rPr>
          <w:i/>
          <w:sz w:val="22"/>
          <w:szCs w:val="22"/>
        </w:rPr>
        <w:t xml:space="preserve"> </w:t>
      </w:r>
    </w:p>
    <w:p w:rsidR="00993354" w:rsidRPr="009F1E4C" w:rsidRDefault="00993354" w:rsidP="00993354">
      <w:pPr>
        <w:autoSpaceDE w:val="0"/>
        <w:autoSpaceDN w:val="0"/>
        <w:adjustRightInd w:val="0"/>
        <w:spacing w:after="80"/>
        <w:rPr>
          <w:i/>
          <w:sz w:val="22"/>
          <w:szCs w:val="22"/>
        </w:rPr>
      </w:pPr>
      <w:r w:rsidRPr="009F1E4C">
        <w:rPr>
          <w:i/>
          <w:sz w:val="22"/>
          <w:szCs w:val="22"/>
          <w:vertAlign w:val="superscript"/>
        </w:rPr>
        <w:t>[2]</w:t>
      </w:r>
      <w:r w:rsidRPr="009F1E4C">
        <w:rPr>
          <w:i/>
          <w:sz w:val="22"/>
          <w:szCs w:val="22"/>
        </w:rPr>
        <w:t xml:space="preserve"> Estimates were approximated and based on the Kaplan-Meier estimat</w:t>
      </w:r>
      <w:r w:rsidR="009F1E4C" w:rsidRPr="009F1E4C">
        <w:rPr>
          <w:i/>
          <w:sz w:val="22"/>
          <w:szCs w:val="22"/>
        </w:rPr>
        <w:t>es computed within strata by sex</w:t>
      </w:r>
      <w:r w:rsidR="00023F62">
        <w:rPr>
          <w:i/>
          <w:sz w:val="22"/>
          <w:szCs w:val="22"/>
        </w:rPr>
        <w:t xml:space="preserve"> </w:t>
      </w:r>
      <w:r w:rsidRPr="009F1E4C">
        <w:rPr>
          <w:i/>
          <w:sz w:val="22"/>
          <w:szCs w:val="22"/>
        </w:rPr>
        <w:t>and in the entire sample. Estimates were obtained in years then divided by 365.25</w:t>
      </w:r>
    </w:p>
    <w:p w:rsidR="00993354" w:rsidRDefault="00993354" w:rsidP="00993354">
      <w:pPr>
        <w:autoSpaceDE w:val="0"/>
        <w:autoSpaceDN w:val="0"/>
        <w:adjustRightInd w:val="0"/>
        <w:spacing w:after="120"/>
        <w:rPr>
          <w:sz w:val="22"/>
          <w:szCs w:val="22"/>
        </w:rPr>
      </w:pPr>
      <w:r w:rsidRPr="009F1E4C">
        <w:rPr>
          <w:i/>
          <w:sz w:val="22"/>
          <w:szCs w:val="22"/>
          <w:vertAlign w:val="superscript"/>
        </w:rPr>
        <w:t>[3]</w:t>
      </w:r>
      <w:r w:rsidRPr="009F1E4C">
        <w:rPr>
          <w:i/>
          <w:sz w:val="22"/>
          <w:szCs w:val="22"/>
        </w:rPr>
        <w:t xml:space="preserve"> Average number of years alive during the first 6 years following study enrollment, as computed by the area under Kaplan-Meier survival curves within strata and sample restricted to 6 years</w:t>
      </w:r>
    </w:p>
    <w:p w:rsidR="009F1E4C" w:rsidRDefault="009F1E4C" w:rsidP="00EE21A5">
      <w:pPr>
        <w:autoSpaceDE w:val="0"/>
        <w:autoSpaceDN w:val="0"/>
        <w:adjustRightInd w:val="0"/>
        <w:spacing w:after="120"/>
        <w:rPr>
          <w:sz w:val="22"/>
          <w:szCs w:val="22"/>
        </w:rPr>
      </w:pPr>
    </w:p>
    <w:p w:rsidR="00516921" w:rsidRDefault="00516921" w:rsidP="00EE21A5">
      <w:pPr>
        <w:autoSpaceDE w:val="0"/>
        <w:autoSpaceDN w:val="0"/>
        <w:adjustRightInd w:val="0"/>
        <w:spacing w:after="120"/>
        <w:rPr>
          <w:sz w:val="22"/>
          <w:szCs w:val="22"/>
        </w:rPr>
      </w:pPr>
    </w:p>
    <w:p w:rsidR="004C7776" w:rsidRDefault="004C7776" w:rsidP="00EE21A5">
      <w:pPr>
        <w:autoSpaceDE w:val="0"/>
        <w:autoSpaceDN w:val="0"/>
        <w:adjustRightInd w:val="0"/>
        <w:spacing w:after="120"/>
        <w:rPr>
          <w:sz w:val="22"/>
          <w:szCs w:val="22"/>
        </w:rPr>
      </w:pPr>
    </w:p>
    <w:p w:rsidR="006D0B75" w:rsidRDefault="006D0B75" w:rsidP="004C7776">
      <w:pPr>
        <w:autoSpaceDE w:val="0"/>
        <w:autoSpaceDN w:val="0"/>
        <w:adjustRightInd w:val="0"/>
        <w:jc w:val="center"/>
        <w:rPr>
          <w:b/>
          <w:sz w:val="22"/>
          <w:szCs w:val="22"/>
        </w:rPr>
      </w:pPr>
    </w:p>
    <w:p w:rsidR="004C7776" w:rsidRPr="004C7776" w:rsidRDefault="004C7776" w:rsidP="004C7776">
      <w:pPr>
        <w:autoSpaceDE w:val="0"/>
        <w:autoSpaceDN w:val="0"/>
        <w:adjustRightInd w:val="0"/>
        <w:jc w:val="center"/>
        <w:rPr>
          <w:b/>
          <w:sz w:val="22"/>
          <w:szCs w:val="22"/>
        </w:rPr>
      </w:pPr>
      <w:r>
        <w:rPr>
          <w:b/>
          <w:sz w:val="22"/>
          <w:szCs w:val="22"/>
        </w:rPr>
        <w:lastRenderedPageBreak/>
        <w:t>Figure 3. Kaplan-Meier Estimates by Sex</w:t>
      </w:r>
    </w:p>
    <w:p w:rsidR="008B7C8F" w:rsidRDefault="004C7776" w:rsidP="00516921">
      <w:pPr>
        <w:autoSpaceDE w:val="0"/>
        <w:autoSpaceDN w:val="0"/>
        <w:adjustRightInd w:val="0"/>
        <w:spacing w:after="120"/>
        <w:jc w:val="center"/>
        <w:rPr>
          <w:sz w:val="22"/>
          <w:szCs w:val="22"/>
        </w:rPr>
      </w:pPr>
      <w:r>
        <w:rPr>
          <w:noProof/>
          <w:lang w:eastAsia="zh-CN"/>
        </w:rPr>
        <w:drawing>
          <wp:inline distT="0" distB="0" distL="0" distR="0" wp14:anchorId="7BCC02B1" wp14:editId="5C904885">
            <wp:extent cx="4105275" cy="284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4474" r="4812"/>
                    <a:stretch/>
                  </pic:blipFill>
                  <pic:spPr bwMode="auto">
                    <a:xfrm>
                      <a:off x="0" y="0"/>
                      <a:ext cx="4117869" cy="2855082"/>
                    </a:xfrm>
                    <a:prstGeom prst="rect">
                      <a:avLst/>
                    </a:prstGeom>
                    <a:ln>
                      <a:noFill/>
                    </a:ln>
                    <a:extLst>
                      <a:ext uri="{53640926-AAD7-44D8-BBD7-CCE9431645EC}">
                        <a14:shadowObscured xmlns:a14="http://schemas.microsoft.com/office/drawing/2010/main"/>
                      </a:ext>
                    </a:extLst>
                  </pic:spPr>
                </pic:pic>
              </a:graphicData>
            </a:graphic>
          </wp:inline>
        </w:drawing>
      </w:r>
    </w:p>
    <w:p w:rsidR="00EE21A5" w:rsidRPr="00EE21A5" w:rsidRDefault="00EE21A5" w:rsidP="00EE21A5">
      <w:pPr>
        <w:autoSpaceDE w:val="0"/>
        <w:autoSpaceDN w:val="0"/>
        <w:adjustRightInd w:val="0"/>
        <w:spacing w:after="120"/>
        <w:rPr>
          <w:sz w:val="22"/>
          <w:szCs w:val="22"/>
        </w:rPr>
      </w:pPr>
      <w:commentRangeStart w:id="3"/>
      <w:r w:rsidRPr="008B7C8F">
        <w:rPr>
          <w:color w:val="7F7F7F" w:themeColor="text1" w:themeTint="80"/>
          <w:sz w:val="22"/>
          <w:szCs w:val="22"/>
        </w:rPr>
        <w:t xml:space="preserve">2. </w:t>
      </w:r>
      <w:commentRangeEnd w:id="3"/>
      <w:r w:rsidR="00564E24">
        <w:rPr>
          <w:rStyle w:val="CommentReference"/>
        </w:rPr>
        <w:commentReference w:id="3"/>
      </w:r>
      <w:r w:rsidRPr="008B7C8F">
        <w:rPr>
          <w:color w:val="7F7F7F" w:themeColor="text1" w:themeTint="80"/>
          <w:sz w:val="22"/>
          <w:szCs w:val="22"/>
        </w:rPr>
        <w:t>In prior homeworks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rsidR="00097228" w:rsidRDefault="00097228" w:rsidP="00EE21A5">
      <w:pPr>
        <w:autoSpaceDE w:val="0"/>
        <w:autoSpaceDN w:val="0"/>
        <w:adjustRightInd w:val="0"/>
        <w:spacing w:after="120"/>
        <w:rPr>
          <w:sz w:val="22"/>
          <w:szCs w:val="22"/>
        </w:rPr>
      </w:pPr>
      <w:r>
        <w:rPr>
          <w:b/>
          <w:sz w:val="22"/>
          <w:szCs w:val="22"/>
          <w:u w:val="single"/>
        </w:rPr>
        <w:t>Answer</w:t>
      </w:r>
      <w:r>
        <w:rPr>
          <w:sz w:val="22"/>
          <w:szCs w:val="22"/>
        </w:rPr>
        <w:t xml:space="preserve">: </w:t>
      </w:r>
    </w:p>
    <w:p w:rsidR="00EE21A5" w:rsidRDefault="00097228" w:rsidP="00EE21A5">
      <w:pPr>
        <w:autoSpaceDE w:val="0"/>
        <w:autoSpaceDN w:val="0"/>
        <w:adjustRightInd w:val="0"/>
        <w:spacing w:after="120"/>
        <w:rPr>
          <w:sz w:val="22"/>
          <w:szCs w:val="22"/>
        </w:rPr>
      </w:pPr>
      <w:r>
        <w:rPr>
          <w:sz w:val="22"/>
          <w:szCs w:val="22"/>
        </w:rPr>
        <w:t>In prior homework using the Cardiovascular Health Study datasets, we were able to use logistic regression to investigate associations between mortality and various covariates. It was because we were able to dichotomize the time to death at 4 years and get decent sample size.</w:t>
      </w:r>
    </w:p>
    <w:p w:rsidR="00097228" w:rsidRDefault="00097228" w:rsidP="00EE21A5">
      <w:pPr>
        <w:autoSpaceDE w:val="0"/>
        <w:autoSpaceDN w:val="0"/>
        <w:adjustRightInd w:val="0"/>
        <w:spacing w:after="120"/>
        <w:rPr>
          <w:sz w:val="22"/>
          <w:szCs w:val="22"/>
        </w:rPr>
      </w:pPr>
      <w:r>
        <w:rPr>
          <w:sz w:val="22"/>
          <w:szCs w:val="22"/>
        </w:rPr>
        <w:t xml:space="preserve">Such approach might not seem advisable with these data. The first reason is lack of precision. It is always of interest not to dichotomize over continuous variable, especially those with censored data. In addition, the first censored time appears at approximately 1.5 years. </w:t>
      </w:r>
      <w:commentRangeStart w:id="4"/>
      <w:r>
        <w:rPr>
          <w:sz w:val="22"/>
          <w:szCs w:val="22"/>
        </w:rPr>
        <w:t>Dichotomizing at 1.5 years will give such a small sample size of those who died within 1.5 years</w:t>
      </w:r>
      <w:commentRangeEnd w:id="4"/>
      <w:r w:rsidR="00564E24">
        <w:rPr>
          <w:rStyle w:val="CommentReference"/>
        </w:rPr>
        <w:commentReference w:id="4"/>
      </w:r>
      <w:r>
        <w:rPr>
          <w:sz w:val="22"/>
          <w:szCs w:val="22"/>
        </w:rPr>
        <w:t xml:space="preserve">. We might not have enough information about other covariates within such small sample size. </w:t>
      </w:r>
    </w:p>
    <w:p w:rsidR="00097228" w:rsidRPr="00097228" w:rsidRDefault="00097228" w:rsidP="00EE21A5">
      <w:pPr>
        <w:autoSpaceDE w:val="0"/>
        <w:autoSpaceDN w:val="0"/>
        <w:adjustRightInd w:val="0"/>
        <w:spacing w:after="120"/>
        <w:rPr>
          <w:sz w:val="22"/>
          <w:szCs w:val="22"/>
        </w:rPr>
      </w:pPr>
      <w:r>
        <w:rPr>
          <w:sz w:val="22"/>
          <w:szCs w:val="22"/>
        </w:rPr>
        <w:t xml:space="preserve">The second reason is the potential of confounding. If the probability of dying was systematically associated with the length of observed time in the sample, we would unknowingly create a confounder for our analysis by dichotomizing time to death. </w:t>
      </w:r>
      <w:commentRangeStart w:id="5"/>
      <w:r>
        <w:rPr>
          <w:sz w:val="22"/>
          <w:szCs w:val="22"/>
        </w:rPr>
        <w:t>This could happen if for example, by chance prevalent cases (both old and newly diagnosed cases) were enrolled in the study at the very beginning of the trial, while as the trial was going on, later in the study more incident cases were recruited instead</w:t>
      </w:r>
      <w:commentRangeEnd w:id="5"/>
      <w:r w:rsidR="00564E24">
        <w:rPr>
          <w:rStyle w:val="CommentReference"/>
        </w:rPr>
        <w:commentReference w:id="5"/>
      </w:r>
      <w:r>
        <w:rPr>
          <w:sz w:val="22"/>
          <w:szCs w:val="22"/>
        </w:rPr>
        <w:t xml:space="preserve">. In such case, by defining a time point to dichotomize observed time, a potential confounder was created out of the process. </w:t>
      </w:r>
    </w:p>
    <w:p w:rsidR="008B7C8F" w:rsidRDefault="008B7C8F" w:rsidP="00EE21A5">
      <w:pPr>
        <w:autoSpaceDE w:val="0"/>
        <w:autoSpaceDN w:val="0"/>
        <w:adjustRightInd w:val="0"/>
        <w:spacing w:after="120"/>
        <w:rPr>
          <w:sz w:val="22"/>
          <w:szCs w:val="22"/>
        </w:rPr>
      </w:pPr>
    </w:p>
    <w:p w:rsidR="00EE21A5" w:rsidRPr="008B7C8F" w:rsidRDefault="00EE21A5" w:rsidP="00EE21A5">
      <w:pPr>
        <w:autoSpaceDE w:val="0"/>
        <w:autoSpaceDN w:val="0"/>
        <w:adjustRightInd w:val="0"/>
        <w:spacing w:after="120"/>
        <w:rPr>
          <w:color w:val="7F7F7F" w:themeColor="text1" w:themeTint="80"/>
          <w:sz w:val="22"/>
          <w:szCs w:val="22"/>
        </w:rPr>
      </w:pPr>
      <w:r w:rsidRPr="008B7C8F">
        <w:rPr>
          <w:color w:val="7F7F7F" w:themeColor="text1" w:themeTint="80"/>
          <w:sz w:val="22"/>
          <w:szCs w:val="22"/>
        </w:rPr>
        <w:t xml:space="preserve">3. Perform a statistical regression analysis evaluating an association between serum bilirubin and all-cause mortality by comparing the instantaneous risk (hazard) of death over the entire period of observation across groups defined by serum bilirubin modeled as a continuous variable. </w:t>
      </w:r>
    </w:p>
    <w:p w:rsidR="00EE21A5" w:rsidRPr="008B7C8F" w:rsidRDefault="00EE21A5" w:rsidP="00EE21A5">
      <w:pPr>
        <w:autoSpaceDE w:val="0"/>
        <w:autoSpaceDN w:val="0"/>
        <w:adjustRightInd w:val="0"/>
        <w:spacing w:after="120"/>
        <w:rPr>
          <w:color w:val="7F7F7F" w:themeColor="text1" w:themeTint="80"/>
          <w:sz w:val="22"/>
          <w:szCs w:val="22"/>
        </w:rPr>
      </w:pPr>
      <w:commentRangeStart w:id="6"/>
      <w:r w:rsidRPr="008B7C8F">
        <w:rPr>
          <w:color w:val="7F7F7F" w:themeColor="text1" w:themeTint="80"/>
          <w:sz w:val="22"/>
          <w:szCs w:val="22"/>
        </w:rPr>
        <w:t xml:space="preserve">a. Include </w:t>
      </w:r>
      <w:commentRangeEnd w:id="6"/>
      <w:r w:rsidR="00DF57A4">
        <w:rPr>
          <w:rStyle w:val="CommentReference"/>
        </w:rPr>
        <w:commentReference w:id="6"/>
      </w:r>
      <w:r w:rsidRPr="008B7C8F">
        <w:rPr>
          <w:color w:val="7F7F7F" w:themeColor="text1" w:themeTint="80"/>
          <w:sz w:val="22"/>
          <w:szCs w:val="22"/>
        </w:rPr>
        <w:t>a full report of your inference about the association.</w:t>
      </w:r>
    </w:p>
    <w:p w:rsidR="00EE21A5" w:rsidRDefault="00097228" w:rsidP="00EE21A5">
      <w:pPr>
        <w:autoSpaceDE w:val="0"/>
        <w:autoSpaceDN w:val="0"/>
        <w:adjustRightInd w:val="0"/>
        <w:spacing w:after="120"/>
        <w:rPr>
          <w:b/>
          <w:sz w:val="22"/>
          <w:szCs w:val="22"/>
          <w:u w:val="single"/>
        </w:rPr>
      </w:pPr>
      <w:r>
        <w:rPr>
          <w:b/>
          <w:sz w:val="22"/>
          <w:szCs w:val="22"/>
          <w:u w:val="single"/>
        </w:rPr>
        <w:t>Method:</w:t>
      </w:r>
    </w:p>
    <w:p w:rsidR="00097228" w:rsidRPr="004912C4" w:rsidRDefault="004912C4" w:rsidP="00EE21A5">
      <w:pPr>
        <w:autoSpaceDE w:val="0"/>
        <w:autoSpaceDN w:val="0"/>
        <w:adjustRightInd w:val="0"/>
        <w:spacing w:after="120"/>
        <w:rPr>
          <w:sz w:val="22"/>
          <w:szCs w:val="22"/>
        </w:rPr>
      </w:pPr>
      <w:r>
        <w:rPr>
          <w:sz w:val="22"/>
          <w:szCs w:val="22"/>
        </w:rPr>
        <w:t xml:space="preserve">The instantaneous risks of death over the entire period of observation across groups defined by serum bilirubin were compared using proportional hazards regression modeling serum bilirubin as a continuous </w:t>
      </w:r>
      <w:r>
        <w:rPr>
          <w:sz w:val="22"/>
          <w:szCs w:val="22"/>
        </w:rPr>
        <w:lastRenderedPageBreak/>
        <w:t>variable. The hazard ratios were computed from the outputs of the regression. The 95% confidence interval and two-sided p-values were constructed using Wald statistics based on the Huber-White sandwich estimator. There were no subjects with missing data on serum bilirubin</w:t>
      </w:r>
    </w:p>
    <w:p w:rsidR="00097228" w:rsidRPr="00097228" w:rsidRDefault="00097228" w:rsidP="00EE21A5">
      <w:pPr>
        <w:autoSpaceDE w:val="0"/>
        <w:autoSpaceDN w:val="0"/>
        <w:adjustRightInd w:val="0"/>
        <w:spacing w:after="120"/>
        <w:rPr>
          <w:b/>
          <w:sz w:val="22"/>
          <w:szCs w:val="22"/>
          <w:u w:val="single"/>
        </w:rPr>
      </w:pPr>
      <w:r>
        <w:rPr>
          <w:b/>
          <w:sz w:val="22"/>
          <w:szCs w:val="22"/>
          <w:u w:val="single"/>
        </w:rPr>
        <w:t>Result:</w:t>
      </w:r>
    </w:p>
    <w:p w:rsidR="002B753A" w:rsidRDefault="002B753A" w:rsidP="00EE21A5">
      <w:pPr>
        <w:autoSpaceDE w:val="0"/>
        <w:autoSpaceDN w:val="0"/>
        <w:adjustRightInd w:val="0"/>
        <w:spacing w:after="120"/>
        <w:rPr>
          <w:sz w:val="22"/>
          <w:szCs w:val="22"/>
        </w:rPr>
      </w:pPr>
      <w:r>
        <w:rPr>
          <w:sz w:val="22"/>
          <w:szCs w:val="22"/>
        </w:rPr>
        <w:t>There were 418 observations with no missing data on serum bilirubin level at baseline. From a proportional hazards regression analysis, the instantaneous risk of death is a relative 15.24% higher (hazard ratio of 1.1524)</w:t>
      </w:r>
      <w:r w:rsidR="00B70007">
        <w:rPr>
          <w:sz w:val="22"/>
          <w:szCs w:val="22"/>
        </w:rPr>
        <w:t xml:space="preserve"> for each 1 mg/dl higher in serum bilirubin level at baseline. With 95% confidence, this is consistent with the true instantaneous risk of death being anywhere between 12.1% and 18.5% higher for each 1 mg/dl higher in serum bilirubin level at baseline. This result is statistically significant at the 5% critical threshold with a two-sided p-value of less than 0.0001. As a result, we reject the null hypothesis, in favor of an alternative hypothesis that the higher risk of death from any cause was associated with higher serum bilirubin levels. </w:t>
      </w:r>
    </w:p>
    <w:p w:rsidR="00EE21A5" w:rsidRPr="00AC1DB0" w:rsidRDefault="00EE21A5" w:rsidP="00EE21A5">
      <w:pPr>
        <w:autoSpaceDE w:val="0"/>
        <w:autoSpaceDN w:val="0"/>
        <w:adjustRightInd w:val="0"/>
        <w:spacing w:after="120"/>
        <w:rPr>
          <w:color w:val="7F7F7F" w:themeColor="text1" w:themeTint="80"/>
          <w:sz w:val="22"/>
          <w:szCs w:val="22"/>
        </w:rPr>
      </w:pPr>
      <w:r w:rsidRPr="00097228">
        <w:rPr>
          <w:color w:val="7F7F7F" w:themeColor="text1" w:themeTint="80"/>
          <w:sz w:val="22"/>
          <w:szCs w:val="22"/>
        </w:rPr>
        <w:t xml:space="preserve">b. For each population defined by serum bilirubin value, compute the hazard ratio relative to a group having serum bilirubin of 1 mg/dL. (This will be used in problem 6). </w:t>
      </w:r>
      <w:r w:rsidR="00AC1DB0">
        <w:rPr>
          <w:color w:val="7F7F7F" w:themeColor="text1" w:themeTint="80"/>
          <w:sz w:val="22"/>
          <w:szCs w:val="22"/>
        </w:rPr>
        <w:t xml:space="preserve"> - </w:t>
      </w:r>
      <w:r w:rsidR="00097228">
        <w:rPr>
          <w:sz w:val="22"/>
          <w:szCs w:val="22"/>
        </w:rPr>
        <w:t>See plot in problem 6</w:t>
      </w:r>
    </w:p>
    <w:p w:rsidR="00097228" w:rsidRDefault="00097228" w:rsidP="00EE21A5">
      <w:pPr>
        <w:autoSpaceDE w:val="0"/>
        <w:autoSpaceDN w:val="0"/>
        <w:adjustRightInd w:val="0"/>
        <w:spacing w:after="120"/>
        <w:rPr>
          <w:sz w:val="22"/>
          <w:szCs w:val="22"/>
        </w:rPr>
      </w:pPr>
    </w:p>
    <w:p w:rsidR="00EE21A5" w:rsidRPr="00EE21A5" w:rsidRDefault="00EE21A5" w:rsidP="00EE21A5">
      <w:pPr>
        <w:autoSpaceDE w:val="0"/>
        <w:autoSpaceDN w:val="0"/>
        <w:adjustRightInd w:val="0"/>
        <w:spacing w:after="120"/>
        <w:rPr>
          <w:sz w:val="22"/>
          <w:szCs w:val="22"/>
        </w:rPr>
      </w:pPr>
      <w:r w:rsidRPr="00B70007">
        <w:rPr>
          <w:color w:val="7F7F7F" w:themeColor="text1" w:themeTint="80"/>
          <w:sz w:val="22"/>
          <w:szCs w:val="22"/>
        </w:rPr>
        <w:t xml:space="preserve">4. Perform a statistical regression analysis evaluating an association between serum bilirubin and all-cause mortality by comparing the instantaneous risk (hazard) of death over the entire period of observation across groups defined by serum bilirubin modeled as a continuous logarithmically transformed variable. </w:t>
      </w:r>
    </w:p>
    <w:p w:rsidR="00EE21A5" w:rsidRPr="00B70007" w:rsidRDefault="00B70007" w:rsidP="00B70007">
      <w:pPr>
        <w:autoSpaceDE w:val="0"/>
        <w:autoSpaceDN w:val="0"/>
        <w:adjustRightInd w:val="0"/>
        <w:spacing w:after="120"/>
        <w:rPr>
          <w:iCs/>
          <w:color w:val="7F7F7F" w:themeColor="text1" w:themeTint="80"/>
          <w:sz w:val="22"/>
          <w:szCs w:val="22"/>
        </w:rPr>
      </w:pPr>
      <w:commentRangeStart w:id="7"/>
      <w:r w:rsidRPr="00B70007">
        <w:rPr>
          <w:color w:val="7F7F7F" w:themeColor="text1" w:themeTint="80"/>
          <w:sz w:val="22"/>
          <w:szCs w:val="22"/>
        </w:rPr>
        <w:t xml:space="preserve">a. </w:t>
      </w:r>
      <w:r w:rsidR="00EE21A5" w:rsidRPr="00B70007">
        <w:rPr>
          <w:color w:val="7F7F7F" w:themeColor="text1" w:themeTint="80"/>
          <w:sz w:val="22"/>
          <w:szCs w:val="22"/>
        </w:rPr>
        <w:t xml:space="preserve">Why might </w:t>
      </w:r>
      <w:commentRangeEnd w:id="7"/>
      <w:r w:rsidR="00767C4E">
        <w:rPr>
          <w:rStyle w:val="CommentReference"/>
        </w:rPr>
        <w:commentReference w:id="7"/>
      </w:r>
      <w:r w:rsidR="00EE21A5" w:rsidRPr="00B70007">
        <w:rPr>
          <w:color w:val="7F7F7F" w:themeColor="text1" w:themeTint="80"/>
          <w:sz w:val="22"/>
          <w:szCs w:val="22"/>
        </w:rPr>
        <w:t xml:space="preserve">this analysis be preferred </w:t>
      </w:r>
      <w:r w:rsidR="00EE21A5" w:rsidRPr="00B70007">
        <w:rPr>
          <w:i/>
          <w:iCs/>
          <w:color w:val="7F7F7F" w:themeColor="text1" w:themeTint="80"/>
          <w:sz w:val="22"/>
          <w:szCs w:val="22"/>
        </w:rPr>
        <w:t>a priori?</w:t>
      </w:r>
    </w:p>
    <w:p w:rsidR="00B70007" w:rsidRPr="00B70007" w:rsidRDefault="00B70007" w:rsidP="00B70007">
      <w:pPr>
        <w:autoSpaceDE w:val="0"/>
        <w:autoSpaceDN w:val="0"/>
        <w:adjustRightInd w:val="0"/>
        <w:spacing w:after="120"/>
        <w:rPr>
          <w:sz w:val="22"/>
          <w:szCs w:val="22"/>
        </w:rPr>
      </w:pPr>
      <w:r>
        <w:rPr>
          <w:b/>
          <w:iCs/>
          <w:sz w:val="22"/>
          <w:szCs w:val="22"/>
          <w:u w:val="single"/>
        </w:rPr>
        <w:t>Answer:</w:t>
      </w:r>
    </w:p>
    <w:p w:rsidR="00E13692" w:rsidRDefault="00EA560C" w:rsidP="00E13692">
      <w:pPr>
        <w:autoSpaceDE w:val="0"/>
        <w:autoSpaceDN w:val="0"/>
        <w:adjustRightInd w:val="0"/>
        <w:spacing w:after="120"/>
        <w:rPr>
          <w:sz w:val="22"/>
          <w:szCs w:val="22"/>
        </w:rPr>
      </w:pPr>
      <w:r>
        <w:rPr>
          <w:sz w:val="22"/>
          <w:szCs w:val="22"/>
        </w:rPr>
        <w:t>A priori this analysis might be preferred because the effect of serum bilirubin on all-cause mortality could potentially be on a multiplicative scale instead of an additive</w:t>
      </w:r>
      <w:r w:rsidR="009D7711">
        <w:rPr>
          <w:sz w:val="22"/>
          <w:szCs w:val="22"/>
        </w:rPr>
        <w:t xml:space="preserve"> scale, which is typical in analyzing biological data. In addition, the use of log transformation could potentially reduce heteroscedasticity, </w:t>
      </w:r>
      <w:commentRangeStart w:id="8"/>
      <w:r w:rsidR="009D7711">
        <w:rPr>
          <w:sz w:val="22"/>
          <w:szCs w:val="22"/>
        </w:rPr>
        <w:t xml:space="preserve">reduce the influence of larger measurements at the tails </w:t>
      </w:r>
      <w:commentRangeEnd w:id="8"/>
      <w:r w:rsidR="00767C4E">
        <w:rPr>
          <w:rStyle w:val="CommentReference"/>
        </w:rPr>
        <w:commentReference w:id="8"/>
      </w:r>
      <w:r w:rsidR="009D7711">
        <w:rPr>
          <w:sz w:val="22"/>
          <w:szCs w:val="22"/>
        </w:rPr>
        <w:t>and thus improve statistical precision.</w:t>
      </w:r>
    </w:p>
    <w:p w:rsidR="00EE21A5" w:rsidRPr="009D7711" w:rsidRDefault="00E13692" w:rsidP="00E13692">
      <w:pPr>
        <w:autoSpaceDE w:val="0"/>
        <w:autoSpaceDN w:val="0"/>
        <w:adjustRightInd w:val="0"/>
        <w:spacing w:after="120"/>
        <w:rPr>
          <w:color w:val="7F7F7F" w:themeColor="text1" w:themeTint="80"/>
          <w:sz w:val="22"/>
          <w:szCs w:val="22"/>
        </w:rPr>
      </w:pPr>
      <w:commentRangeStart w:id="9"/>
      <w:r w:rsidRPr="009D7711">
        <w:rPr>
          <w:color w:val="7F7F7F" w:themeColor="text1" w:themeTint="80"/>
          <w:sz w:val="22"/>
          <w:szCs w:val="22"/>
        </w:rPr>
        <w:t xml:space="preserve">b. </w:t>
      </w:r>
      <w:r w:rsidR="00EE21A5" w:rsidRPr="009D7711">
        <w:rPr>
          <w:color w:val="7F7F7F" w:themeColor="text1" w:themeTint="80"/>
          <w:sz w:val="22"/>
          <w:szCs w:val="22"/>
        </w:rPr>
        <w:t xml:space="preserve">Include </w:t>
      </w:r>
      <w:commentRangeEnd w:id="9"/>
      <w:r w:rsidR="001A759E">
        <w:rPr>
          <w:rStyle w:val="CommentReference"/>
        </w:rPr>
        <w:commentReference w:id="9"/>
      </w:r>
      <w:r w:rsidR="00EE21A5" w:rsidRPr="009D7711">
        <w:rPr>
          <w:color w:val="7F7F7F" w:themeColor="text1" w:themeTint="80"/>
          <w:sz w:val="22"/>
          <w:szCs w:val="22"/>
        </w:rPr>
        <w:t>a full report of your inference about the association.</w:t>
      </w:r>
    </w:p>
    <w:p w:rsidR="00E13692" w:rsidRDefault="009D7711" w:rsidP="00E13692">
      <w:pPr>
        <w:autoSpaceDE w:val="0"/>
        <w:autoSpaceDN w:val="0"/>
        <w:adjustRightInd w:val="0"/>
        <w:spacing w:after="120"/>
        <w:rPr>
          <w:b/>
          <w:sz w:val="22"/>
          <w:szCs w:val="22"/>
          <w:u w:val="single"/>
        </w:rPr>
      </w:pPr>
      <w:r>
        <w:rPr>
          <w:b/>
          <w:sz w:val="22"/>
          <w:szCs w:val="22"/>
          <w:u w:val="single"/>
        </w:rPr>
        <w:t>Method:</w:t>
      </w:r>
    </w:p>
    <w:p w:rsidR="009D7711" w:rsidRDefault="002B30FC" w:rsidP="00E13692">
      <w:pPr>
        <w:autoSpaceDE w:val="0"/>
        <w:autoSpaceDN w:val="0"/>
        <w:adjustRightInd w:val="0"/>
        <w:spacing w:after="120"/>
        <w:rPr>
          <w:b/>
          <w:sz w:val="22"/>
          <w:szCs w:val="22"/>
          <w:u w:val="single"/>
        </w:rPr>
      </w:pPr>
      <w:r>
        <w:rPr>
          <w:sz w:val="22"/>
          <w:szCs w:val="22"/>
        </w:rPr>
        <w:t>The instantaneous risks of death over the entire period of observation across groups defined by serum bilirubin were compared using proportional hazards regression modeling serum bilirubin as a continuous logarithmically transformed variable. The hazard ratios were computed from the outputs of the regression. The 95% confidence interval and two-sided p-values were constructed using Wald statistics based on the Huber-White sandwich estimator. There were no subjects with missing data on serum bilirubin</w:t>
      </w:r>
    </w:p>
    <w:p w:rsidR="009D7711" w:rsidRPr="009D7711" w:rsidRDefault="009D7711" w:rsidP="00E13692">
      <w:pPr>
        <w:autoSpaceDE w:val="0"/>
        <w:autoSpaceDN w:val="0"/>
        <w:adjustRightInd w:val="0"/>
        <w:spacing w:after="120"/>
        <w:rPr>
          <w:b/>
          <w:sz w:val="22"/>
          <w:szCs w:val="22"/>
          <w:u w:val="single"/>
        </w:rPr>
      </w:pPr>
      <w:r>
        <w:rPr>
          <w:b/>
          <w:sz w:val="22"/>
          <w:szCs w:val="22"/>
          <w:u w:val="single"/>
        </w:rPr>
        <w:t>Result:</w:t>
      </w:r>
    </w:p>
    <w:p w:rsidR="00007CA8" w:rsidRDefault="00AC1DB0" w:rsidP="00E13692">
      <w:pPr>
        <w:autoSpaceDE w:val="0"/>
        <w:autoSpaceDN w:val="0"/>
        <w:adjustRightInd w:val="0"/>
        <w:spacing w:after="120"/>
        <w:rPr>
          <w:sz w:val="22"/>
          <w:szCs w:val="22"/>
        </w:rPr>
      </w:pPr>
      <w:r w:rsidRPr="00AC1DB0">
        <w:rPr>
          <w:sz w:val="22"/>
          <w:szCs w:val="22"/>
        </w:rPr>
        <w:t>There were 418 observations with no missing data on serum bilirubin level at baseline. From a proportional hazards regression analysis, the instantaneous risk of death is a relative 9.89% higher (hazard ratio of 1.0989) for a 10% increase (1.1-fold) in serum bilirubin level at baseline. With 95% confidence, this is consistent with the true instantaneous risk of death being anywhere between 8.26% and 11.53% higher for a 10% increase in serum bilirubin level at baseline. This result is statistically significant at the 5% critical threshold with a two-sided p-value of less than 0.0001. As a result, we reject the null hypothesis, in favor of an alternative hypothesis that the higher risk of death from any cause was associated with higher serum bilirubin levels.</w:t>
      </w:r>
    </w:p>
    <w:p w:rsidR="00AC1DB0" w:rsidRDefault="00E13692" w:rsidP="00841C33">
      <w:pPr>
        <w:autoSpaceDE w:val="0"/>
        <w:autoSpaceDN w:val="0"/>
        <w:adjustRightInd w:val="0"/>
        <w:spacing w:after="120"/>
        <w:rPr>
          <w:color w:val="7F7F7F" w:themeColor="text1" w:themeTint="80"/>
          <w:sz w:val="22"/>
          <w:szCs w:val="22"/>
        </w:rPr>
      </w:pPr>
      <w:r w:rsidRPr="00841C33">
        <w:rPr>
          <w:color w:val="7F7F7F" w:themeColor="text1" w:themeTint="80"/>
          <w:sz w:val="22"/>
          <w:szCs w:val="22"/>
        </w:rPr>
        <w:t xml:space="preserve">c. </w:t>
      </w:r>
      <w:r w:rsidR="00EE21A5" w:rsidRPr="00841C33">
        <w:rPr>
          <w:color w:val="7F7F7F" w:themeColor="text1" w:themeTint="80"/>
          <w:sz w:val="22"/>
          <w:szCs w:val="22"/>
        </w:rPr>
        <w:t xml:space="preserve">For each population defined by serum bilirubin value, compute the hazard ratio relative to a group having serum LDL of 1 mg/dL. </w:t>
      </w:r>
      <w:r w:rsidR="00AC1DB0">
        <w:rPr>
          <w:color w:val="7F7F7F" w:themeColor="text1" w:themeTint="80"/>
          <w:sz w:val="22"/>
          <w:szCs w:val="22"/>
        </w:rPr>
        <w:t xml:space="preserve">- </w:t>
      </w:r>
      <w:r w:rsidR="00841C33">
        <w:rPr>
          <w:sz w:val="22"/>
          <w:szCs w:val="22"/>
        </w:rPr>
        <w:t>See plot in problem 6</w:t>
      </w:r>
    </w:p>
    <w:p w:rsidR="00AC1DB0" w:rsidRDefault="00AC1DB0" w:rsidP="00841C33">
      <w:pPr>
        <w:autoSpaceDE w:val="0"/>
        <w:autoSpaceDN w:val="0"/>
        <w:adjustRightInd w:val="0"/>
        <w:spacing w:after="120"/>
        <w:rPr>
          <w:color w:val="7F7F7F" w:themeColor="text1" w:themeTint="80"/>
          <w:sz w:val="22"/>
          <w:szCs w:val="22"/>
        </w:rPr>
      </w:pPr>
    </w:p>
    <w:p w:rsidR="00EE21A5" w:rsidRPr="00AC1DB0" w:rsidRDefault="00AC1DB0" w:rsidP="00841C33">
      <w:pPr>
        <w:autoSpaceDE w:val="0"/>
        <w:autoSpaceDN w:val="0"/>
        <w:adjustRightInd w:val="0"/>
        <w:spacing w:after="120"/>
        <w:rPr>
          <w:color w:val="7F7F7F" w:themeColor="text1" w:themeTint="80"/>
          <w:sz w:val="22"/>
          <w:szCs w:val="22"/>
        </w:rPr>
      </w:pPr>
      <w:r w:rsidRPr="00AC1DB0">
        <w:rPr>
          <w:color w:val="7F7F7F" w:themeColor="text1" w:themeTint="80"/>
          <w:sz w:val="22"/>
          <w:szCs w:val="22"/>
        </w:rPr>
        <w:lastRenderedPageBreak/>
        <w:t xml:space="preserve">5. </w:t>
      </w:r>
      <w:r w:rsidR="00EE21A5" w:rsidRPr="00AC1DB0">
        <w:rPr>
          <w:color w:val="7F7F7F" w:themeColor="text1" w:themeTint="80"/>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sidR="00EE21A5" w:rsidRPr="00AC1DB0">
        <w:rPr>
          <w:i/>
          <w:iCs/>
          <w:color w:val="7F7F7F" w:themeColor="text1" w:themeTint="80"/>
          <w:sz w:val="22"/>
          <w:szCs w:val="22"/>
        </w:rPr>
        <w:t xml:space="preserve">a priori </w:t>
      </w:r>
      <w:r w:rsidR="00EE21A5" w:rsidRPr="00AC1DB0">
        <w:rPr>
          <w:color w:val="7F7F7F" w:themeColor="text1" w:themeTint="80"/>
          <w:sz w:val="22"/>
          <w:szCs w:val="22"/>
        </w:rPr>
        <w:t xml:space="preserve">interest in the log bilirubin might drive us to the specified analysis.) </w:t>
      </w:r>
    </w:p>
    <w:p w:rsidR="00EE21A5" w:rsidRPr="00AC1DB0" w:rsidRDefault="00AC1DB0" w:rsidP="00AC1DB0">
      <w:pPr>
        <w:autoSpaceDE w:val="0"/>
        <w:autoSpaceDN w:val="0"/>
        <w:adjustRightInd w:val="0"/>
        <w:spacing w:after="120"/>
        <w:rPr>
          <w:color w:val="7F7F7F" w:themeColor="text1" w:themeTint="80"/>
          <w:sz w:val="22"/>
          <w:szCs w:val="22"/>
        </w:rPr>
      </w:pPr>
      <w:commentRangeStart w:id="10"/>
      <w:r w:rsidRPr="00AC1DB0">
        <w:rPr>
          <w:color w:val="7F7F7F" w:themeColor="text1" w:themeTint="80"/>
          <w:sz w:val="22"/>
          <w:szCs w:val="22"/>
        </w:rPr>
        <w:t xml:space="preserve">a. </w:t>
      </w:r>
      <w:r w:rsidR="00EE21A5" w:rsidRPr="00AC1DB0">
        <w:rPr>
          <w:color w:val="7F7F7F" w:themeColor="text1" w:themeTint="80"/>
          <w:sz w:val="22"/>
          <w:szCs w:val="22"/>
        </w:rPr>
        <w:t xml:space="preserve">Provide </w:t>
      </w:r>
      <w:commentRangeEnd w:id="10"/>
      <w:r w:rsidR="00645EE3">
        <w:rPr>
          <w:rStyle w:val="CommentReference"/>
        </w:rPr>
        <w:commentReference w:id="10"/>
      </w:r>
      <w:r w:rsidR="00EE21A5" w:rsidRPr="00AC1DB0">
        <w:rPr>
          <w:color w:val="7F7F7F" w:themeColor="text1" w:themeTint="80"/>
          <w:sz w:val="22"/>
          <w:szCs w:val="22"/>
        </w:rPr>
        <w:t>full inference related to the question of whether the association is linear.</w:t>
      </w:r>
    </w:p>
    <w:p w:rsidR="00AC1DB0" w:rsidRDefault="00E8437B" w:rsidP="00AC1DB0">
      <w:pPr>
        <w:autoSpaceDE w:val="0"/>
        <w:autoSpaceDN w:val="0"/>
        <w:adjustRightInd w:val="0"/>
        <w:spacing w:after="120"/>
        <w:rPr>
          <w:sz w:val="22"/>
          <w:szCs w:val="22"/>
        </w:rPr>
      </w:pPr>
      <w:r>
        <w:rPr>
          <w:b/>
          <w:sz w:val="22"/>
          <w:szCs w:val="22"/>
          <w:u w:val="single"/>
        </w:rPr>
        <w:t>Method:</w:t>
      </w:r>
    </w:p>
    <w:p w:rsidR="00E8437B" w:rsidRDefault="00E8437B" w:rsidP="00E8437B">
      <w:pPr>
        <w:autoSpaceDE w:val="0"/>
        <w:autoSpaceDN w:val="0"/>
        <w:adjustRightInd w:val="0"/>
        <w:spacing w:after="120"/>
        <w:rPr>
          <w:sz w:val="22"/>
          <w:szCs w:val="22"/>
        </w:rPr>
      </w:pPr>
      <w:r>
        <w:rPr>
          <w:sz w:val="22"/>
          <w:szCs w:val="22"/>
        </w:rPr>
        <w:t>The instantaneous risks of death over the entire period of observation across groups defined by serum bilirubin were compared using proportional hazards regression including both the continuously untransformed and continuously logarithm transformed serum bilirubin level. The 95% confidence intervals for the coefficients and two-sided p-values were constructed using Wald statistics based on the Huber-White sandwich estimator. There were no subjects with missing data on serum bilirubin.</w:t>
      </w:r>
    </w:p>
    <w:p w:rsidR="007D3DB4" w:rsidRDefault="007D3DB4" w:rsidP="00E8437B">
      <w:pPr>
        <w:autoSpaceDE w:val="0"/>
        <w:autoSpaceDN w:val="0"/>
        <w:adjustRightInd w:val="0"/>
        <w:spacing w:after="120"/>
        <w:rPr>
          <w:sz w:val="22"/>
          <w:szCs w:val="22"/>
        </w:rPr>
      </w:pPr>
      <w:r>
        <w:rPr>
          <w:b/>
          <w:sz w:val="22"/>
          <w:szCs w:val="22"/>
          <w:u w:val="single"/>
        </w:rPr>
        <w:t>Result:</w:t>
      </w:r>
    </w:p>
    <w:p w:rsidR="007D3DB4" w:rsidRDefault="007D3DB4" w:rsidP="00E8437B">
      <w:pPr>
        <w:autoSpaceDE w:val="0"/>
        <w:autoSpaceDN w:val="0"/>
        <w:adjustRightInd w:val="0"/>
        <w:spacing w:after="120"/>
        <w:rPr>
          <w:sz w:val="22"/>
          <w:szCs w:val="22"/>
        </w:rPr>
      </w:pPr>
      <w:r>
        <w:rPr>
          <w:sz w:val="22"/>
          <w:szCs w:val="22"/>
        </w:rPr>
        <w:t xml:space="preserve">A test for “linearity” of the bilirubin association with the log hazard ratio was performed by including both the untransformed and the log transformed bilirubin. At the 5% critical threshold, the test on log-transformed term was statistically significant (p-value of less than 0.0001) while the test on the untransformed term was not significant (p-value of 0.148). </w:t>
      </w:r>
      <w:r w:rsidR="00C93E7F">
        <w:rPr>
          <w:sz w:val="22"/>
          <w:szCs w:val="22"/>
        </w:rPr>
        <w:t xml:space="preserve">This result suggests that we have strong evidence that the true association between death from any causes and serum bilirubin </w:t>
      </w:r>
      <w:commentRangeStart w:id="11"/>
      <w:r w:rsidR="00C93E7F">
        <w:rPr>
          <w:sz w:val="22"/>
          <w:szCs w:val="22"/>
        </w:rPr>
        <w:t>was adequately described</w:t>
      </w:r>
      <w:commentRangeEnd w:id="11"/>
      <w:r w:rsidR="00FC38B2">
        <w:rPr>
          <w:rStyle w:val="CommentReference"/>
        </w:rPr>
        <w:commentReference w:id="11"/>
      </w:r>
      <w:r w:rsidR="00C93E7F">
        <w:rPr>
          <w:sz w:val="22"/>
          <w:szCs w:val="22"/>
        </w:rPr>
        <w:t xml:space="preserve"> by a log hazard function that is linear in the log-transformed of serum bilirubin, but not in the </w:t>
      </w:r>
      <w:r w:rsidR="0082494E">
        <w:rPr>
          <w:sz w:val="22"/>
          <w:szCs w:val="22"/>
        </w:rPr>
        <w:t xml:space="preserve">untransformed value of serum bilirubin. </w:t>
      </w:r>
    </w:p>
    <w:p w:rsidR="00EE21A5" w:rsidRPr="00EE21A5" w:rsidRDefault="00AC1DB0" w:rsidP="00AC1DB0">
      <w:pPr>
        <w:autoSpaceDE w:val="0"/>
        <w:autoSpaceDN w:val="0"/>
        <w:adjustRightInd w:val="0"/>
        <w:spacing w:after="120"/>
        <w:rPr>
          <w:sz w:val="22"/>
          <w:szCs w:val="22"/>
        </w:rPr>
      </w:pPr>
      <w:r w:rsidRPr="00F71B5E">
        <w:rPr>
          <w:color w:val="7F7F7F" w:themeColor="text1" w:themeTint="80"/>
          <w:sz w:val="22"/>
          <w:szCs w:val="22"/>
        </w:rPr>
        <w:t xml:space="preserve">b. </w:t>
      </w:r>
      <w:r w:rsidR="00EE21A5" w:rsidRPr="00F71B5E">
        <w:rPr>
          <w:color w:val="7F7F7F" w:themeColor="text1" w:themeTint="80"/>
          <w:sz w:val="22"/>
          <w:szCs w:val="22"/>
        </w:rPr>
        <w:t>Again, save the fitted values from this model by obtaining the estimated HRs relative to a group with bilirubin of 1 mg/dl. (This will be used in problem 6.)</w:t>
      </w:r>
      <w:r w:rsidR="00F71B5E">
        <w:rPr>
          <w:color w:val="7F7F7F" w:themeColor="text1" w:themeTint="80"/>
          <w:sz w:val="22"/>
          <w:szCs w:val="22"/>
        </w:rPr>
        <w:t xml:space="preserve"> - </w:t>
      </w:r>
      <w:r w:rsidR="00F71B5E">
        <w:rPr>
          <w:sz w:val="22"/>
          <w:szCs w:val="22"/>
        </w:rPr>
        <w:t>See plot in problem 6</w:t>
      </w:r>
    </w:p>
    <w:p w:rsidR="00F71B5E" w:rsidRDefault="00F71B5E" w:rsidP="00F71B5E">
      <w:pPr>
        <w:autoSpaceDE w:val="0"/>
        <w:autoSpaceDN w:val="0"/>
        <w:adjustRightInd w:val="0"/>
        <w:spacing w:after="120"/>
        <w:rPr>
          <w:sz w:val="22"/>
          <w:szCs w:val="22"/>
        </w:rPr>
      </w:pPr>
    </w:p>
    <w:p w:rsidR="00EE21A5" w:rsidRPr="00767036" w:rsidRDefault="00F71B5E" w:rsidP="00F71B5E">
      <w:pPr>
        <w:autoSpaceDE w:val="0"/>
        <w:autoSpaceDN w:val="0"/>
        <w:adjustRightInd w:val="0"/>
        <w:spacing w:after="120"/>
        <w:rPr>
          <w:color w:val="7F7F7F" w:themeColor="text1" w:themeTint="80"/>
          <w:sz w:val="22"/>
          <w:szCs w:val="22"/>
        </w:rPr>
      </w:pPr>
      <w:commentRangeStart w:id="12"/>
      <w:r w:rsidRPr="00767036">
        <w:rPr>
          <w:color w:val="7F7F7F" w:themeColor="text1" w:themeTint="80"/>
          <w:sz w:val="22"/>
          <w:szCs w:val="22"/>
        </w:rPr>
        <w:t xml:space="preserve">6. </w:t>
      </w:r>
      <w:commentRangeEnd w:id="12"/>
      <w:r w:rsidR="00650FDD">
        <w:rPr>
          <w:rStyle w:val="CommentReference"/>
        </w:rPr>
        <w:commentReference w:id="12"/>
      </w:r>
      <w:r w:rsidR="00EE21A5" w:rsidRPr="00767036">
        <w:rPr>
          <w:color w:val="7F7F7F" w:themeColor="text1" w:themeTint="80"/>
          <w:sz w:val="22"/>
          <w:szCs w:val="22"/>
        </w:rPr>
        <w:t>Display a graph with the fitted hazard ratios from problems 3 - 5. Comment on any similarities or differences of the fitted values from the three models.</w:t>
      </w:r>
    </w:p>
    <w:p w:rsidR="00B56B7D" w:rsidRDefault="00767036" w:rsidP="00B56B7D">
      <w:pPr>
        <w:autoSpaceDE w:val="0"/>
        <w:autoSpaceDN w:val="0"/>
        <w:adjustRightInd w:val="0"/>
        <w:spacing w:after="120"/>
        <w:rPr>
          <w:sz w:val="22"/>
          <w:szCs w:val="22"/>
        </w:rPr>
      </w:pPr>
      <w:r>
        <w:rPr>
          <w:b/>
          <w:sz w:val="22"/>
          <w:szCs w:val="22"/>
          <w:u w:val="single"/>
        </w:rPr>
        <w:t>Answer:</w:t>
      </w:r>
    </w:p>
    <w:p w:rsidR="00767036" w:rsidRDefault="00B84FFB" w:rsidP="00B56B7D">
      <w:pPr>
        <w:autoSpaceDE w:val="0"/>
        <w:autoSpaceDN w:val="0"/>
        <w:adjustRightInd w:val="0"/>
        <w:spacing w:after="120"/>
        <w:rPr>
          <w:sz w:val="22"/>
          <w:szCs w:val="22"/>
        </w:rPr>
      </w:pPr>
      <w:r>
        <w:rPr>
          <w:sz w:val="22"/>
          <w:szCs w:val="22"/>
        </w:rPr>
        <w:t>Figure 4 presents the fitted hazard ratios from problem 3 to 5. Figure 5 presents the log-</w:t>
      </w:r>
      <w:commentRangeStart w:id="13"/>
      <w:r>
        <w:rPr>
          <w:sz w:val="22"/>
          <w:szCs w:val="22"/>
        </w:rPr>
        <w:t>transformed</w:t>
      </w:r>
      <w:commentRangeEnd w:id="13"/>
      <w:r w:rsidR="00E556FF">
        <w:rPr>
          <w:rStyle w:val="CommentReference"/>
        </w:rPr>
        <w:commentReference w:id="13"/>
      </w:r>
      <w:r>
        <w:rPr>
          <w:sz w:val="22"/>
          <w:szCs w:val="22"/>
        </w:rPr>
        <w:t xml:space="preserve"> of the fitted values. In figure 5, the fitted curve does not differ very much from the proportional hazards regression fits based on log-transformed predictor and the one based on the combination of the log-transformed and untransformed predictors. In figure 4, the fitted curves for those two models are also closely related for bilirubin level of less than 15 mg/dl, which were also where the vast majority of our data falls in. </w:t>
      </w:r>
    </w:p>
    <w:p w:rsidR="00B84FFB" w:rsidRDefault="00B84FFB" w:rsidP="00B56B7D">
      <w:pPr>
        <w:autoSpaceDE w:val="0"/>
        <w:autoSpaceDN w:val="0"/>
        <w:adjustRightInd w:val="0"/>
        <w:spacing w:after="120"/>
        <w:rPr>
          <w:sz w:val="22"/>
          <w:szCs w:val="22"/>
        </w:rPr>
      </w:pPr>
      <w:r>
        <w:rPr>
          <w:sz w:val="22"/>
          <w:szCs w:val="22"/>
        </w:rPr>
        <w:t xml:space="preserve">Because the model of the combination of untransformed and log-transformed predictor were more flexible and it agreed with the model of log-transformed predictor the most, it suggested that the model that using log-transformed predictor should be preferred in this case over the model with untransformed predictor. </w:t>
      </w:r>
    </w:p>
    <w:p w:rsidR="00767036" w:rsidRDefault="0076703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Pr="008F41D6" w:rsidRDefault="008F41D6" w:rsidP="008F41D6">
      <w:pPr>
        <w:autoSpaceDE w:val="0"/>
        <w:autoSpaceDN w:val="0"/>
        <w:adjustRightInd w:val="0"/>
        <w:jc w:val="center"/>
        <w:rPr>
          <w:b/>
          <w:sz w:val="22"/>
          <w:szCs w:val="22"/>
        </w:rPr>
      </w:pPr>
      <w:r>
        <w:rPr>
          <w:b/>
          <w:sz w:val="22"/>
          <w:szCs w:val="22"/>
        </w:rPr>
        <w:t>Figure 4. Relative Hazard Ratio to Group with Serum Bilirubin of 1 mg/dl</w:t>
      </w:r>
    </w:p>
    <w:p w:rsidR="00B56B7D" w:rsidRDefault="00767036" w:rsidP="008F41D6">
      <w:pPr>
        <w:autoSpaceDE w:val="0"/>
        <w:autoSpaceDN w:val="0"/>
        <w:adjustRightInd w:val="0"/>
        <w:spacing w:after="120"/>
        <w:jc w:val="center"/>
        <w:rPr>
          <w:sz w:val="22"/>
          <w:szCs w:val="22"/>
        </w:rPr>
      </w:pPr>
      <w:r>
        <w:rPr>
          <w:noProof/>
          <w:lang w:eastAsia="zh-CN"/>
        </w:rPr>
        <w:drawing>
          <wp:inline distT="0" distB="0" distL="0" distR="0" wp14:anchorId="0D1A9FBA" wp14:editId="516E4D81">
            <wp:extent cx="3914775" cy="2921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640" r="4902"/>
                    <a:stretch/>
                  </pic:blipFill>
                  <pic:spPr bwMode="auto">
                    <a:xfrm>
                      <a:off x="0" y="0"/>
                      <a:ext cx="3923469" cy="2927822"/>
                    </a:xfrm>
                    <a:prstGeom prst="rect">
                      <a:avLst/>
                    </a:prstGeom>
                    <a:ln>
                      <a:noFill/>
                    </a:ln>
                    <a:extLst>
                      <a:ext uri="{53640926-AAD7-44D8-BBD7-CCE9431645EC}">
                        <a14:shadowObscured xmlns:a14="http://schemas.microsoft.com/office/drawing/2010/main"/>
                      </a:ext>
                    </a:extLst>
                  </pic:spPr>
                </pic:pic>
              </a:graphicData>
            </a:graphic>
          </wp:inline>
        </w:drawing>
      </w:r>
    </w:p>
    <w:p w:rsidR="00767036" w:rsidRDefault="002C049C" w:rsidP="002C049C">
      <w:pPr>
        <w:autoSpaceDE w:val="0"/>
        <w:autoSpaceDN w:val="0"/>
        <w:adjustRightInd w:val="0"/>
        <w:spacing w:after="120"/>
        <w:jc w:val="center"/>
        <w:rPr>
          <w:sz w:val="22"/>
          <w:szCs w:val="22"/>
        </w:rPr>
      </w:pPr>
      <w:r>
        <w:rPr>
          <w:b/>
          <w:sz w:val="22"/>
          <w:szCs w:val="22"/>
        </w:rPr>
        <w:t>Figure 5</w:t>
      </w:r>
      <w:r w:rsidR="004D5529">
        <w:rPr>
          <w:b/>
          <w:sz w:val="22"/>
          <w:szCs w:val="22"/>
        </w:rPr>
        <w:t>. Log-Transformed Relative Hazard Ratio to Group with Serum Bilirubin of 1 mg/dl</w:t>
      </w:r>
    </w:p>
    <w:p w:rsidR="00767036" w:rsidRDefault="00767036" w:rsidP="004D5529">
      <w:pPr>
        <w:autoSpaceDE w:val="0"/>
        <w:autoSpaceDN w:val="0"/>
        <w:adjustRightInd w:val="0"/>
        <w:spacing w:after="120"/>
        <w:jc w:val="center"/>
        <w:rPr>
          <w:sz w:val="22"/>
          <w:szCs w:val="22"/>
        </w:rPr>
      </w:pPr>
      <w:r>
        <w:rPr>
          <w:noProof/>
          <w:lang w:eastAsia="zh-CN"/>
        </w:rPr>
        <w:drawing>
          <wp:inline distT="0" distB="0" distL="0" distR="0" wp14:anchorId="247692B9" wp14:editId="73E77A6D">
            <wp:extent cx="3936524" cy="29146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4466" r="5072"/>
                    <a:stretch/>
                  </pic:blipFill>
                  <pic:spPr bwMode="auto">
                    <a:xfrm>
                      <a:off x="0" y="0"/>
                      <a:ext cx="3953017" cy="2926861"/>
                    </a:xfrm>
                    <a:prstGeom prst="rect">
                      <a:avLst/>
                    </a:prstGeom>
                    <a:ln>
                      <a:noFill/>
                    </a:ln>
                    <a:extLst>
                      <a:ext uri="{53640926-AAD7-44D8-BBD7-CCE9431645EC}">
                        <a14:shadowObscured xmlns:a14="http://schemas.microsoft.com/office/drawing/2010/main"/>
                      </a:ext>
                    </a:extLst>
                  </pic:spPr>
                </pic:pic>
              </a:graphicData>
            </a:graphic>
          </wp:inline>
        </w:drawing>
      </w:r>
    </w:p>
    <w:p w:rsidR="00EE21A5" w:rsidRPr="00B84FFB" w:rsidRDefault="00B56B7D" w:rsidP="00B56B7D">
      <w:pPr>
        <w:autoSpaceDE w:val="0"/>
        <w:autoSpaceDN w:val="0"/>
        <w:adjustRightInd w:val="0"/>
        <w:spacing w:after="120"/>
        <w:rPr>
          <w:color w:val="7F7F7F" w:themeColor="text1" w:themeTint="80"/>
          <w:sz w:val="22"/>
          <w:szCs w:val="22"/>
        </w:rPr>
      </w:pPr>
      <w:r w:rsidRPr="00B84FFB">
        <w:rPr>
          <w:color w:val="7F7F7F" w:themeColor="text1" w:themeTint="80"/>
          <w:sz w:val="22"/>
          <w:szCs w:val="22"/>
        </w:rPr>
        <w:t xml:space="preserve">7. </w:t>
      </w:r>
      <w:r w:rsidR="00EE21A5" w:rsidRPr="00B84FFB">
        <w:rPr>
          <w:color w:val="7F7F7F" w:themeColor="text1" w:themeTint="80"/>
          <w:sz w:val="22"/>
          <w:szCs w:val="22"/>
        </w:rPr>
        <w:t>We are interested in considering analyses of the association between all cause mortality and serum bilirubin after adjustment for age and sex.</w:t>
      </w:r>
    </w:p>
    <w:p w:rsidR="00EE21A5" w:rsidRDefault="00B56B7D" w:rsidP="00B56B7D">
      <w:pPr>
        <w:autoSpaceDE w:val="0"/>
        <w:autoSpaceDN w:val="0"/>
        <w:adjustRightInd w:val="0"/>
        <w:spacing w:after="120"/>
        <w:rPr>
          <w:sz w:val="22"/>
          <w:szCs w:val="22"/>
        </w:rPr>
      </w:pPr>
      <w:commentRangeStart w:id="14"/>
      <w:r w:rsidRPr="00B84FFB">
        <w:rPr>
          <w:color w:val="7F7F7F" w:themeColor="text1" w:themeTint="80"/>
          <w:sz w:val="22"/>
          <w:szCs w:val="22"/>
        </w:rPr>
        <w:t xml:space="preserve">a. </w:t>
      </w:r>
      <w:r w:rsidR="00EE21A5" w:rsidRPr="00B84FFB">
        <w:rPr>
          <w:color w:val="7F7F7F" w:themeColor="text1" w:themeTint="80"/>
          <w:sz w:val="22"/>
          <w:szCs w:val="22"/>
        </w:rPr>
        <w:t xml:space="preserve">What evidence </w:t>
      </w:r>
      <w:commentRangeEnd w:id="14"/>
      <w:r w:rsidR="00CA74F4">
        <w:rPr>
          <w:rStyle w:val="CommentReference"/>
        </w:rPr>
        <w:commentReference w:id="14"/>
      </w:r>
      <w:r w:rsidR="00EE21A5" w:rsidRPr="00B84FFB">
        <w:rPr>
          <w:color w:val="7F7F7F" w:themeColor="text1" w:themeTint="80"/>
          <w:sz w:val="22"/>
          <w:szCs w:val="22"/>
        </w:rPr>
        <w:t>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rsidR="00665D83" w:rsidRPr="00665D83" w:rsidRDefault="00665D83" w:rsidP="00B56B7D">
      <w:pPr>
        <w:autoSpaceDE w:val="0"/>
        <w:autoSpaceDN w:val="0"/>
        <w:adjustRightInd w:val="0"/>
        <w:spacing w:after="120"/>
        <w:rPr>
          <w:sz w:val="22"/>
          <w:szCs w:val="22"/>
        </w:rPr>
      </w:pPr>
      <w:r>
        <w:rPr>
          <w:b/>
          <w:sz w:val="22"/>
          <w:szCs w:val="22"/>
          <w:u w:val="single"/>
        </w:rPr>
        <w:t>Answer</w:t>
      </w:r>
      <w:r>
        <w:rPr>
          <w:sz w:val="22"/>
          <w:szCs w:val="22"/>
        </w:rPr>
        <w:t>:</w:t>
      </w:r>
    </w:p>
    <w:p w:rsidR="00B56B7D" w:rsidRDefault="00665D83" w:rsidP="00B56B7D">
      <w:pPr>
        <w:autoSpaceDE w:val="0"/>
        <w:autoSpaceDN w:val="0"/>
        <w:adjustRightInd w:val="0"/>
        <w:spacing w:after="120"/>
        <w:rPr>
          <w:sz w:val="22"/>
          <w:szCs w:val="22"/>
        </w:rPr>
      </w:pPr>
      <w:r>
        <w:rPr>
          <w:sz w:val="22"/>
          <w:szCs w:val="22"/>
        </w:rPr>
        <w:lastRenderedPageBreak/>
        <w:t xml:space="preserve">By common sense and prior knowledge, one could safely assume that sex could be causally associated with all-cause mortality and not in the causal pathway of interest. Indeed, all others being equal, female individuals tend to live longer than their male counterparts. </w:t>
      </w:r>
    </w:p>
    <w:p w:rsidR="00B56B7D" w:rsidRPr="00EE21A5" w:rsidRDefault="00665D83" w:rsidP="00B56B7D">
      <w:pPr>
        <w:autoSpaceDE w:val="0"/>
        <w:autoSpaceDN w:val="0"/>
        <w:adjustRightInd w:val="0"/>
        <w:spacing w:after="120"/>
        <w:rPr>
          <w:sz w:val="22"/>
          <w:szCs w:val="22"/>
        </w:rPr>
      </w:pPr>
      <w:r>
        <w:rPr>
          <w:sz w:val="22"/>
          <w:szCs w:val="22"/>
        </w:rPr>
        <w:t xml:space="preserve">In table 2b, we can see that </w:t>
      </w:r>
      <w:r w:rsidR="00A455BF">
        <w:rPr>
          <w:sz w:val="22"/>
          <w:szCs w:val="22"/>
        </w:rPr>
        <w:t xml:space="preserve">the proportion of female subjects by groups defined by serum bilirubin were different from each other. 93.27% of patients with bilirubin of less than 1 mg/dl were female. These proportions for the remaining groups (between 1 and 2 mg/dl, between 2 and 4 mg/dl, and greater than 4 mg/dl) were 88.31%, 82.54%, and 86.76%, respectively. This suggested that the proportion of female might be associated with serum bilirubin in the sample. As a result, sex might have confounded the association between death and bilirubin. </w:t>
      </w:r>
    </w:p>
    <w:p w:rsidR="00EE21A5" w:rsidRPr="00B34E1D" w:rsidRDefault="00B56B7D" w:rsidP="00B56B7D">
      <w:pPr>
        <w:autoSpaceDE w:val="0"/>
        <w:autoSpaceDN w:val="0"/>
        <w:adjustRightInd w:val="0"/>
        <w:spacing w:after="120"/>
        <w:rPr>
          <w:color w:val="7F7F7F" w:themeColor="text1" w:themeTint="80"/>
          <w:sz w:val="22"/>
          <w:szCs w:val="22"/>
        </w:rPr>
      </w:pPr>
      <w:commentRangeStart w:id="15"/>
      <w:r w:rsidRPr="00B34E1D">
        <w:rPr>
          <w:color w:val="7F7F7F" w:themeColor="text1" w:themeTint="80"/>
          <w:sz w:val="22"/>
          <w:szCs w:val="22"/>
        </w:rPr>
        <w:t>b</w:t>
      </w:r>
      <w:commentRangeEnd w:id="15"/>
      <w:r w:rsidR="00D35BBD">
        <w:rPr>
          <w:rStyle w:val="CommentReference"/>
        </w:rPr>
        <w:commentReference w:id="15"/>
      </w:r>
      <w:r w:rsidRPr="00B34E1D">
        <w:rPr>
          <w:color w:val="7F7F7F" w:themeColor="text1" w:themeTint="80"/>
          <w:sz w:val="22"/>
          <w:szCs w:val="22"/>
        </w:rPr>
        <w:t xml:space="preserve">. </w:t>
      </w:r>
      <w:r w:rsidR="00EE21A5" w:rsidRPr="00B34E1D">
        <w:rPr>
          <w:color w:val="7F7F7F" w:themeColor="text1" w:themeTint="80"/>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rsidR="00B56B7D" w:rsidRPr="00B34E1D" w:rsidRDefault="00B34E1D" w:rsidP="00B56B7D">
      <w:pPr>
        <w:autoSpaceDE w:val="0"/>
        <w:autoSpaceDN w:val="0"/>
        <w:adjustRightInd w:val="0"/>
        <w:spacing w:after="120"/>
        <w:rPr>
          <w:sz w:val="22"/>
          <w:szCs w:val="22"/>
        </w:rPr>
      </w:pPr>
      <w:r>
        <w:rPr>
          <w:b/>
          <w:sz w:val="22"/>
          <w:szCs w:val="22"/>
          <w:u w:val="single"/>
        </w:rPr>
        <w:t>Answer:</w:t>
      </w:r>
    </w:p>
    <w:p w:rsidR="00B56B7D" w:rsidRDefault="00A51C5B" w:rsidP="00B56B7D">
      <w:pPr>
        <w:autoSpaceDE w:val="0"/>
        <w:autoSpaceDN w:val="0"/>
        <w:adjustRightInd w:val="0"/>
        <w:spacing w:after="120"/>
        <w:rPr>
          <w:sz w:val="22"/>
          <w:szCs w:val="22"/>
        </w:rPr>
      </w:pPr>
      <w:r>
        <w:rPr>
          <w:sz w:val="22"/>
          <w:szCs w:val="22"/>
        </w:rPr>
        <w:t>By common sense and prior knowledge, one could safely assume that age could be causally associated with all-cause mortality and not in the causal pathway of interest. Indeed, all others being equal, older people tend to die earlier than younger people.</w:t>
      </w:r>
    </w:p>
    <w:p w:rsidR="00187131" w:rsidRDefault="00187131" w:rsidP="00B56B7D">
      <w:pPr>
        <w:autoSpaceDE w:val="0"/>
        <w:autoSpaceDN w:val="0"/>
        <w:adjustRightInd w:val="0"/>
        <w:spacing w:after="120"/>
        <w:rPr>
          <w:sz w:val="22"/>
          <w:szCs w:val="22"/>
        </w:rPr>
      </w:pPr>
      <w:r>
        <w:rPr>
          <w:sz w:val="22"/>
          <w:szCs w:val="22"/>
        </w:rPr>
        <w:t>In table 2c, we can see that the mean age by groups defined by serum bilirubin were not much different from each other. The mean age for patients with bilirubin of less than 1 mg/dl was 51.2 years. Meanwhile, the mean age for the remaining groups (between 1 and 2 mg/dl, between 2 and 4 mg/dl, and greater than 4 mg/dl) were 51.2, 50.6, and 50.2 years, respectively. This suggested that there was little to no association between age and serum bilirubin in the sample. As a result, including age might have added precision to the analysis of the association between death and bilirubin.</w:t>
      </w:r>
    </w:p>
    <w:p w:rsidR="00EE21A5" w:rsidRPr="00187131" w:rsidRDefault="00B56B7D" w:rsidP="00B56B7D">
      <w:pPr>
        <w:autoSpaceDE w:val="0"/>
        <w:autoSpaceDN w:val="0"/>
        <w:adjustRightInd w:val="0"/>
        <w:spacing w:after="120"/>
        <w:rPr>
          <w:color w:val="7F7F7F" w:themeColor="text1" w:themeTint="80"/>
          <w:sz w:val="22"/>
          <w:szCs w:val="22"/>
        </w:rPr>
      </w:pPr>
      <w:commentRangeStart w:id="16"/>
      <w:r w:rsidRPr="00187131">
        <w:rPr>
          <w:color w:val="7F7F7F" w:themeColor="text1" w:themeTint="80"/>
          <w:sz w:val="22"/>
          <w:szCs w:val="22"/>
        </w:rPr>
        <w:t xml:space="preserve">c. </w:t>
      </w:r>
      <w:commentRangeEnd w:id="16"/>
      <w:r w:rsidR="005119E5">
        <w:rPr>
          <w:rStyle w:val="CommentReference"/>
        </w:rPr>
        <w:commentReference w:id="16"/>
      </w:r>
      <w:r w:rsidR="00EE21A5" w:rsidRPr="00187131">
        <w:rPr>
          <w:color w:val="7F7F7F" w:themeColor="text1" w:themeTint="80"/>
          <w:sz w:val="22"/>
          <w:szCs w:val="22"/>
        </w:rPr>
        <w:t>Provide full inference regarding an association between death and bilirubin after adjustment for sex and age.</w:t>
      </w:r>
    </w:p>
    <w:p w:rsidR="00B56B7D" w:rsidRPr="00187131" w:rsidRDefault="00187131" w:rsidP="00B56B7D">
      <w:pPr>
        <w:autoSpaceDE w:val="0"/>
        <w:autoSpaceDN w:val="0"/>
        <w:adjustRightInd w:val="0"/>
        <w:spacing w:after="120"/>
        <w:rPr>
          <w:sz w:val="22"/>
          <w:szCs w:val="22"/>
        </w:rPr>
      </w:pPr>
      <w:r>
        <w:rPr>
          <w:b/>
          <w:sz w:val="22"/>
          <w:szCs w:val="22"/>
          <w:u w:val="single"/>
        </w:rPr>
        <w:t>Method:</w:t>
      </w:r>
    </w:p>
    <w:p w:rsidR="00B56B7D" w:rsidRPr="00D6083F" w:rsidRDefault="00D6083F" w:rsidP="00B56B7D">
      <w:pPr>
        <w:autoSpaceDE w:val="0"/>
        <w:autoSpaceDN w:val="0"/>
        <w:adjustRightInd w:val="0"/>
        <w:spacing w:after="120"/>
        <w:rPr>
          <w:b/>
          <w:sz w:val="22"/>
          <w:szCs w:val="22"/>
          <w:u w:val="single"/>
        </w:rPr>
      </w:pPr>
      <w:r>
        <w:rPr>
          <w:sz w:val="22"/>
          <w:szCs w:val="22"/>
        </w:rPr>
        <w:t xml:space="preserve">The instantaneous risks of death over the entire period of observation across groups defined by serum bilirubin were compared using proportional hazards regression modeling serum bilirubin as a continuous logarithmically transformed variable. The model also included age as a continuous variable for precision, and sex as a binary variable for adjusting of potential confounder. The hazard ratios were computed from the outputs of the regression. The 95% confidence interval and two-sided p-values were constructed using Wald statistics based on the Huber-White sandwich estimator. 106 observations with missing data on sex at baseline were omitted from this analysis.  </w:t>
      </w:r>
    </w:p>
    <w:p w:rsidR="00B03C86" w:rsidRPr="00B03C86" w:rsidRDefault="00B03C86" w:rsidP="00B56B7D">
      <w:pPr>
        <w:autoSpaceDE w:val="0"/>
        <w:autoSpaceDN w:val="0"/>
        <w:adjustRightInd w:val="0"/>
        <w:spacing w:after="120"/>
        <w:rPr>
          <w:sz w:val="22"/>
          <w:szCs w:val="22"/>
        </w:rPr>
      </w:pPr>
      <w:r>
        <w:rPr>
          <w:b/>
          <w:sz w:val="22"/>
          <w:szCs w:val="22"/>
          <w:u w:val="single"/>
        </w:rPr>
        <w:t>Result:</w:t>
      </w:r>
    </w:p>
    <w:p w:rsidR="00D83533" w:rsidRDefault="00D83533" w:rsidP="00B56B7D">
      <w:pPr>
        <w:autoSpaceDE w:val="0"/>
        <w:autoSpaceDN w:val="0"/>
        <w:adjustRightInd w:val="0"/>
        <w:spacing w:after="120"/>
        <w:rPr>
          <w:sz w:val="22"/>
          <w:szCs w:val="22"/>
        </w:rPr>
      </w:pPr>
      <w:r>
        <w:rPr>
          <w:sz w:val="22"/>
          <w:szCs w:val="22"/>
        </w:rPr>
        <w:t xml:space="preserve">Out of 418 observations, there were 312 patients with complete data on serum bilirubin level, age and sex at baseline. From a proportional hazards regression and analysis, when controlling for </w:t>
      </w:r>
      <w:r w:rsidR="006038C7">
        <w:rPr>
          <w:sz w:val="22"/>
          <w:szCs w:val="22"/>
        </w:rPr>
        <w:t xml:space="preserve">age and sex (i.e. among groups that have the same age and sex), the instantaneous risk of death is a relative 10.80% higher (hazard ratio of 1.1080) for a 10% increase (1.1-fold) in serum bilirubin level at baseline. With 95% confidence, this is consistent with the true instantaneous risk of death being anywhere between 8.75% and 12.90% higher for a 10% increase in serum bilirubin level at baseline, controlling for age and sex. This result is statistically significant at the 5% critical threshold with a two-sided p-value of less </w:t>
      </w:r>
      <w:r w:rsidR="006038C7" w:rsidRPr="006038C7">
        <w:rPr>
          <w:sz w:val="22"/>
          <w:szCs w:val="22"/>
        </w:rPr>
        <w:t>than 0.0001. As a result, we reject the null hypothesis, in favor of an alternative hypothesis that the higher risk of death from any cause was associated with higher serum bilirubin levels when controlling for age and sex.</w:t>
      </w:r>
      <w:r w:rsidR="006038C7">
        <w:rPr>
          <w:sz w:val="22"/>
          <w:szCs w:val="22"/>
        </w:rPr>
        <w:t xml:space="preserve"> </w:t>
      </w:r>
    </w:p>
    <w:p w:rsidR="000E1594" w:rsidRDefault="000E1594" w:rsidP="00B56B7D">
      <w:pPr>
        <w:autoSpaceDE w:val="0"/>
        <w:autoSpaceDN w:val="0"/>
        <w:adjustRightInd w:val="0"/>
        <w:spacing w:after="120"/>
        <w:rPr>
          <w:sz w:val="22"/>
          <w:szCs w:val="22"/>
        </w:rPr>
      </w:pPr>
    </w:p>
    <w:p w:rsidR="00EE21A5" w:rsidRPr="00BA577F" w:rsidRDefault="00B56B7D" w:rsidP="00B56B7D">
      <w:pPr>
        <w:autoSpaceDE w:val="0"/>
        <w:autoSpaceDN w:val="0"/>
        <w:adjustRightInd w:val="0"/>
        <w:spacing w:after="120"/>
        <w:rPr>
          <w:color w:val="7F7F7F" w:themeColor="text1" w:themeTint="80"/>
          <w:sz w:val="22"/>
          <w:szCs w:val="22"/>
        </w:rPr>
      </w:pPr>
      <w:commentRangeStart w:id="17"/>
      <w:r w:rsidRPr="00BA577F">
        <w:rPr>
          <w:color w:val="7F7F7F" w:themeColor="text1" w:themeTint="80"/>
          <w:sz w:val="22"/>
          <w:szCs w:val="22"/>
        </w:rPr>
        <w:t>8</w:t>
      </w:r>
      <w:commentRangeEnd w:id="17"/>
      <w:r w:rsidR="00DF3456">
        <w:rPr>
          <w:rStyle w:val="CommentReference"/>
        </w:rPr>
        <w:commentReference w:id="17"/>
      </w:r>
      <w:r w:rsidRPr="00BA577F">
        <w:rPr>
          <w:color w:val="7F7F7F" w:themeColor="text1" w:themeTint="80"/>
          <w:sz w:val="22"/>
          <w:szCs w:val="22"/>
        </w:rPr>
        <w:t xml:space="preserve">. </w:t>
      </w:r>
      <w:r w:rsidR="00EE21A5" w:rsidRPr="00BA577F">
        <w:rPr>
          <w:color w:val="7F7F7F" w:themeColor="text1" w:themeTint="80"/>
          <w:sz w:val="22"/>
          <w:szCs w:val="22"/>
        </w:rPr>
        <w:t>Note that in the above analyses, we completely ignored the intervention in the RCT? What impact could this have had on our results?</w:t>
      </w:r>
    </w:p>
    <w:p w:rsidR="001A1D13" w:rsidRDefault="00BA577F" w:rsidP="00EE21A5">
      <w:pPr>
        <w:autoSpaceDE w:val="0"/>
        <w:autoSpaceDN w:val="0"/>
        <w:adjustRightInd w:val="0"/>
        <w:spacing w:after="120"/>
        <w:rPr>
          <w:color w:val="000000"/>
          <w:sz w:val="22"/>
          <w:szCs w:val="22"/>
        </w:rPr>
      </w:pPr>
      <w:r>
        <w:rPr>
          <w:b/>
          <w:color w:val="000000"/>
          <w:sz w:val="22"/>
          <w:szCs w:val="22"/>
          <w:u w:val="single"/>
        </w:rPr>
        <w:lastRenderedPageBreak/>
        <w:t>Answer:</w:t>
      </w:r>
    </w:p>
    <w:p w:rsidR="00066300" w:rsidRPr="00BA577F" w:rsidRDefault="0089273D" w:rsidP="00EE21A5">
      <w:pPr>
        <w:autoSpaceDE w:val="0"/>
        <w:autoSpaceDN w:val="0"/>
        <w:adjustRightInd w:val="0"/>
        <w:spacing w:after="120"/>
        <w:rPr>
          <w:color w:val="000000"/>
          <w:sz w:val="22"/>
          <w:szCs w:val="22"/>
        </w:rPr>
      </w:pPr>
      <w:r>
        <w:rPr>
          <w:color w:val="000000"/>
          <w:sz w:val="22"/>
          <w:szCs w:val="22"/>
        </w:rPr>
        <w:t xml:space="preserve">By the design of RCT, </w:t>
      </w:r>
      <w:r w:rsidR="00B34FDC">
        <w:rPr>
          <w:color w:val="000000"/>
          <w:sz w:val="22"/>
          <w:szCs w:val="22"/>
        </w:rPr>
        <w:t xml:space="preserve">patients were randomized to receive either placebo or intervention. Assuming the randomization was done correctly, this design prevent the potential association between serum bilirubin level and the treatment arm in the sample (people with 2 mg/dl serum bilirubin has the same probability to receive placebo as the probability to receive intervention). </w:t>
      </w:r>
      <w:r w:rsidR="00066300">
        <w:rPr>
          <w:color w:val="000000"/>
          <w:sz w:val="22"/>
          <w:szCs w:val="22"/>
        </w:rPr>
        <w:t>On the other hand, treatment arm could potentially be associated with all-cause mortality which would not be in the pathway between serum bilirubin and all-cause mortality. Therefore, by completely ignoring the intervention in the RCT as in the above analysis, our results could have lost some precision. Including treatment arms in the RCT in the model could have improve our precision in investigating the association between serum bilirubin and all-cause mortality.</w:t>
      </w:r>
    </w:p>
    <w:sectPr w:rsidR="00066300" w:rsidRPr="00BA577F" w:rsidSect="001E5158">
      <w:headerReference w:type="defaul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E556FF" w:rsidRDefault="00E556FF">
      <w:pPr>
        <w:pStyle w:val="CommentText"/>
      </w:pPr>
      <w:r>
        <w:rPr>
          <w:rStyle w:val="CommentReference"/>
        </w:rPr>
        <w:annotationRef/>
      </w:r>
      <w:r>
        <w:t>Total Points: 98/105</w:t>
      </w:r>
      <w:bookmarkStart w:id="1" w:name="_GoBack"/>
      <w:bookmarkEnd w:id="1"/>
    </w:p>
  </w:comment>
  <w:comment w:id="2" w:author="Author" w:initials="A">
    <w:p w:rsidR="00032658" w:rsidRDefault="00032658">
      <w:pPr>
        <w:pStyle w:val="CommentText"/>
      </w:pPr>
      <w:r>
        <w:rPr>
          <w:rStyle w:val="CommentReference"/>
        </w:rPr>
        <w:annotationRef/>
      </w:r>
      <w:r>
        <w:t>Points: 10/10</w:t>
      </w:r>
    </w:p>
  </w:comment>
  <w:comment w:id="3" w:author="Author" w:initials="A">
    <w:p w:rsidR="00564E24" w:rsidRDefault="00564E24">
      <w:pPr>
        <w:pStyle w:val="CommentText"/>
      </w:pPr>
      <w:r>
        <w:rPr>
          <w:rStyle w:val="CommentReference"/>
        </w:rPr>
        <w:annotationRef/>
      </w:r>
      <w:r>
        <w:t xml:space="preserve">Points: </w:t>
      </w:r>
      <w:r w:rsidR="00CE5DC5">
        <w:t>9</w:t>
      </w:r>
      <w:r>
        <w:t>/10</w:t>
      </w:r>
    </w:p>
  </w:comment>
  <w:comment w:id="4" w:author="Author" w:initials="A">
    <w:p w:rsidR="00564E24" w:rsidRDefault="00564E24">
      <w:pPr>
        <w:pStyle w:val="CommentText"/>
      </w:pPr>
      <w:r>
        <w:rPr>
          <w:rStyle w:val="CommentReference"/>
        </w:rPr>
        <w:annotationRef/>
      </w:r>
      <w:r>
        <w:t>How small the event size is? Be more specific on the number of deaths within 1.5 years, otherwise, it is hard to be convinced</w:t>
      </w:r>
      <w:r w:rsidR="00E556FF">
        <w:t xml:space="preserve"> that the sample/event size is too small to run the logistic regression</w:t>
      </w:r>
      <w:r>
        <w:t>.  -</w:t>
      </w:r>
      <w:r w:rsidR="00CE5DC5">
        <w:t>1</w:t>
      </w:r>
    </w:p>
  </w:comment>
  <w:comment w:id="5" w:author="Author" w:initials="A">
    <w:p w:rsidR="00564E24" w:rsidRDefault="00564E24">
      <w:pPr>
        <w:pStyle w:val="CommentText"/>
      </w:pPr>
      <w:r>
        <w:rPr>
          <w:rStyle w:val="CommentReference"/>
        </w:rPr>
        <w:annotationRef/>
      </w:r>
      <w:r>
        <w:t>This is irrelevant with this study.</w:t>
      </w:r>
    </w:p>
  </w:comment>
  <w:comment w:id="6" w:author="Author" w:initials="A">
    <w:p w:rsidR="00DF57A4" w:rsidRDefault="00DF57A4">
      <w:pPr>
        <w:pStyle w:val="CommentText"/>
      </w:pPr>
      <w:r>
        <w:rPr>
          <w:rStyle w:val="CommentReference"/>
        </w:rPr>
        <w:annotationRef/>
      </w:r>
      <w:r>
        <w:t>Points: 10/10</w:t>
      </w:r>
    </w:p>
  </w:comment>
  <w:comment w:id="7" w:author="Author" w:initials="A">
    <w:p w:rsidR="00767C4E" w:rsidRDefault="00767C4E">
      <w:pPr>
        <w:pStyle w:val="CommentText"/>
      </w:pPr>
      <w:r>
        <w:rPr>
          <w:rStyle w:val="CommentReference"/>
        </w:rPr>
        <w:annotationRef/>
      </w:r>
      <w:r>
        <w:t>Points: 5/5</w:t>
      </w:r>
    </w:p>
  </w:comment>
  <w:comment w:id="8" w:author="Author" w:initials="A">
    <w:p w:rsidR="00767C4E" w:rsidRDefault="00767C4E">
      <w:pPr>
        <w:pStyle w:val="CommentText"/>
      </w:pPr>
      <w:r>
        <w:rPr>
          <w:rStyle w:val="CommentReference"/>
        </w:rPr>
        <w:annotationRef/>
      </w:r>
      <w:r>
        <w:t>Not clear</w:t>
      </w:r>
    </w:p>
  </w:comment>
  <w:comment w:id="9" w:author="Author" w:initials="A">
    <w:p w:rsidR="001A759E" w:rsidRDefault="001A759E">
      <w:pPr>
        <w:pStyle w:val="CommentText"/>
      </w:pPr>
      <w:r>
        <w:rPr>
          <w:rStyle w:val="CommentReference"/>
        </w:rPr>
        <w:annotationRef/>
      </w:r>
      <w:r>
        <w:t>Points: 10/10</w:t>
      </w:r>
    </w:p>
  </w:comment>
  <w:comment w:id="10" w:author="Author" w:initials="A">
    <w:p w:rsidR="00645EE3" w:rsidRDefault="00645EE3">
      <w:pPr>
        <w:pStyle w:val="CommentText"/>
      </w:pPr>
      <w:r>
        <w:rPr>
          <w:rStyle w:val="CommentReference"/>
        </w:rPr>
        <w:annotationRef/>
      </w:r>
      <w:r w:rsidR="00FC38B2">
        <w:t>Points: 8</w:t>
      </w:r>
      <w:r>
        <w:t>/10</w:t>
      </w:r>
    </w:p>
  </w:comment>
  <w:comment w:id="11" w:author="Author" w:initials="A">
    <w:p w:rsidR="00FC38B2" w:rsidRDefault="00FC38B2">
      <w:pPr>
        <w:pStyle w:val="CommentText"/>
      </w:pPr>
      <w:r>
        <w:rPr>
          <w:rStyle w:val="CommentReference"/>
        </w:rPr>
        <w:annotationRef/>
      </w:r>
      <w:r>
        <w:t>I think it is more accurate to be concluded as “</w:t>
      </w:r>
      <w:r>
        <w:rPr>
          <w:sz w:val="22"/>
          <w:szCs w:val="22"/>
        </w:rPr>
        <w:t xml:space="preserve">we do not have high confidence </w:t>
      </w:r>
      <w:r>
        <w:rPr>
          <w:sz w:val="22"/>
          <w:szCs w:val="22"/>
        </w:rPr>
        <w:t xml:space="preserve">to reject </w:t>
      </w:r>
      <w:r>
        <w:rPr>
          <w:sz w:val="22"/>
          <w:szCs w:val="22"/>
        </w:rPr>
        <w:t xml:space="preserve">that </w:t>
      </w:r>
      <w:r>
        <w:rPr>
          <w:sz w:val="22"/>
          <w:szCs w:val="22"/>
        </w:rPr>
        <w:t>the all-cause mortality is</w:t>
      </w:r>
      <w:r>
        <w:rPr>
          <w:sz w:val="22"/>
          <w:szCs w:val="22"/>
        </w:rPr>
        <w:t xml:space="preserve"> adequately modeled by the log transformed continuous bilirubin level</w:t>
      </w:r>
      <w:r>
        <w:rPr>
          <w:sz w:val="22"/>
          <w:szCs w:val="22"/>
        </w:rPr>
        <w:t>”.  We cannot prove that log bilirubin is adequately to model the risk.    -2</w:t>
      </w:r>
    </w:p>
  </w:comment>
  <w:comment w:id="12" w:author="Author" w:initials="A">
    <w:p w:rsidR="00650FDD" w:rsidRDefault="00650FDD">
      <w:pPr>
        <w:pStyle w:val="CommentText"/>
      </w:pPr>
      <w:r>
        <w:rPr>
          <w:rStyle w:val="CommentReference"/>
        </w:rPr>
        <w:annotationRef/>
      </w:r>
      <w:r>
        <w:t>Points: 10/10</w:t>
      </w:r>
    </w:p>
  </w:comment>
  <w:comment w:id="13" w:author="Author" w:initials="A">
    <w:p w:rsidR="00E556FF" w:rsidRDefault="00E556FF">
      <w:pPr>
        <w:pStyle w:val="CommentText"/>
      </w:pPr>
      <w:r>
        <w:rPr>
          <w:rStyle w:val="CommentReference"/>
        </w:rPr>
        <w:annotationRef/>
      </w:r>
    </w:p>
  </w:comment>
  <w:comment w:id="14" w:author="Author" w:initials="A">
    <w:p w:rsidR="00CA74F4" w:rsidRDefault="00CA74F4">
      <w:pPr>
        <w:pStyle w:val="CommentText"/>
      </w:pPr>
      <w:r>
        <w:rPr>
          <w:rStyle w:val="CommentReference"/>
        </w:rPr>
        <w:annotationRef/>
      </w:r>
      <w:r>
        <w:t>Poin</w:t>
      </w:r>
      <w:r w:rsidR="00D35BBD">
        <w:t>ts: 8/10. 2</w:t>
      </w:r>
      <w:r>
        <w:t xml:space="preserve"> points were taken off for not discussing about age</w:t>
      </w:r>
      <w:r w:rsidR="00D35BBD">
        <w:t xml:space="preserve"> here</w:t>
      </w:r>
      <w:r>
        <w:t>.</w:t>
      </w:r>
      <w:r w:rsidR="00D35BBD">
        <w:t xml:space="preserve"> It is noted that you discussed age in Q7b. However, your answer for Q1a is not sufficient.</w:t>
      </w:r>
    </w:p>
  </w:comment>
  <w:comment w:id="15" w:author="Author" w:initials="A">
    <w:p w:rsidR="00D35BBD" w:rsidRDefault="00D35BBD">
      <w:pPr>
        <w:pStyle w:val="CommentText"/>
      </w:pPr>
      <w:r>
        <w:rPr>
          <w:rStyle w:val="CommentReference"/>
        </w:rPr>
        <w:annotationRef/>
      </w:r>
      <w:r>
        <w:t>Points: 8/10. 2 points were taken off for not discussing whether sex/age is associated with risk of death in PBC patiens.</w:t>
      </w:r>
    </w:p>
  </w:comment>
  <w:comment w:id="16" w:author="Author" w:initials="A">
    <w:p w:rsidR="005119E5" w:rsidRDefault="005119E5">
      <w:pPr>
        <w:pStyle w:val="CommentText"/>
      </w:pPr>
      <w:r>
        <w:rPr>
          <w:rStyle w:val="CommentReference"/>
        </w:rPr>
        <w:annotationRef/>
      </w:r>
      <w:r>
        <w:t>Points: 10/10</w:t>
      </w:r>
    </w:p>
  </w:comment>
  <w:comment w:id="17" w:author="Author" w:initials="A">
    <w:p w:rsidR="00DF3456" w:rsidRDefault="00DF3456">
      <w:pPr>
        <w:pStyle w:val="CommentText"/>
      </w:pPr>
      <w:r>
        <w:rPr>
          <w:rStyle w:val="CommentReference"/>
        </w:rPr>
        <w:annotationRef/>
      </w:r>
      <w:r>
        <w:t>Points: 10/10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4D" w:rsidRDefault="001C224D">
      <w:r>
        <w:separator/>
      </w:r>
    </w:p>
  </w:endnote>
  <w:endnote w:type="continuationSeparator" w:id="0">
    <w:p w:rsidR="001C224D" w:rsidRDefault="001C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4D" w:rsidRDefault="001C224D">
      <w:r>
        <w:separator/>
      </w:r>
    </w:p>
  </w:footnote>
  <w:footnote w:type="continuationSeparator" w:id="0">
    <w:p w:rsidR="001C224D" w:rsidRDefault="001C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BE" w:rsidRDefault="00F55BBE" w:rsidP="00456261">
    <w:pPr>
      <w:pStyle w:val="Header"/>
      <w:tabs>
        <w:tab w:val="clear" w:pos="4320"/>
        <w:tab w:val="clear" w:pos="8640"/>
        <w:tab w:val="center" w:pos="4680"/>
        <w:tab w:val="right" w:pos="9360"/>
      </w:tabs>
    </w:pPr>
    <w:r>
      <w:t xml:space="preserve">Biost </w:t>
    </w:r>
    <w:r w:rsidR="00990CEC">
      <w:t>518/515, Winter 2015</w:t>
    </w:r>
    <w:r w:rsidR="00990CEC">
      <w:tab/>
      <w:t>Homework 04</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556F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556FF">
      <w:rPr>
        <w:noProof/>
        <w:snapToGrid w:val="0"/>
      </w:rPr>
      <w:t>10</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9819BB"/>
    <w:multiLevelType w:val="hybridMultilevel"/>
    <w:tmpl w:val="52D637FA"/>
    <w:lvl w:ilvl="0" w:tplc="FE2441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6546C"/>
    <w:multiLevelType w:val="hybridMultilevel"/>
    <w:tmpl w:val="DBD4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E65AAA"/>
    <w:multiLevelType w:val="hybridMultilevel"/>
    <w:tmpl w:val="07165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13"/>
  </w:num>
  <w:num w:numId="4">
    <w:abstractNumId w:val="4"/>
  </w:num>
  <w:num w:numId="5">
    <w:abstractNumId w:val="19"/>
  </w:num>
  <w:num w:numId="6">
    <w:abstractNumId w:val="21"/>
  </w:num>
  <w:num w:numId="7">
    <w:abstractNumId w:val="12"/>
  </w:num>
  <w:num w:numId="8">
    <w:abstractNumId w:val="14"/>
  </w:num>
  <w:num w:numId="9">
    <w:abstractNumId w:val="10"/>
  </w:num>
  <w:num w:numId="10">
    <w:abstractNumId w:val="3"/>
  </w:num>
  <w:num w:numId="11">
    <w:abstractNumId w:val="16"/>
  </w:num>
  <w:num w:numId="12">
    <w:abstractNumId w:val="9"/>
  </w:num>
  <w:num w:numId="13">
    <w:abstractNumId w:val="15"/>
  </w:num>
  <w:num w:numId="14">
    <w:abstractNumId w:val="18"/>
  </w:num>
  <w:num w:numId="15">
    <w:abstractNumId w:val="0"/>
  </w:num>
  <w:num w:numId="16">
    <w:abstractNumId w:val="8"/>
  </w:num>
  <w:num w:numId="17">
    <w:abstractNumId w:val="6"/>
  </w:num>
  <w:num w:numId="18">
    <w:abstractNumId w:val="17"/>
  </w:num>
  <w:num w:numId="19">
    <w:abstractNumId w:val="20"/>
  </w:num>
  <w:num w:numId="20">
    <w:abstractNumId w:val="22"/>
  </w:num>
  <w:num w:numId="21">
    <w:abstractNumId w:val="5"/>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54A4"/>
    <w:rsid w:val="00007CA8"/>
    <w:rsid w:val="00017130"/>
    <w:rsid w:val="00017D1D"/>
    <w:rsid w:val="00020445"/>
    <w:rsid w:val="00023D2F"/>
    <w:rsid w:val="00023F62"/>
    <w:rsid w:val="0002565F"/>
    <w:rsid w:val="000263C2"/>
    <w:rsid w:val="00032658"/>
    <w:rsid w:val="000330D0"/>
    <w:rsid w:val="000339A4"/>
    <w:rsid w:val="00033F30"/>
    <w:rsid w:val="00035B66"/>
    <w:rsid w:val="0003772E"/>
    <w:rsid w:val="00037C8F"/>
    <w:rsid w:val="00044681"/>
    <w:rsid w:val="000449A7"/>
    <w:rsid w:val="00044AC4"/>
    <w:rsid w:val="000520C9"/>
    <w:rsid w:val="00052418"/>
    <w:rsid w:val="00054A42"/>
    <w:rsid w:val="00060C13"/>
    <w:rsid w:val="00063292"/>
    <w:rsid w:val="00066300"/>
    <w:rsid w:val="00070F6F"/>
    <w:rsid w:val="00075A7B"/>
    <w:rsid w:val="0007692F"/>
    <w:rsid w:val="000817A7"/>
    <w:rsid w:val="00086779"/>
    <w:rsid w:val="00097228"/>
    <w:rsid w:val="00097520"/>
    <w:rsid w:val="000A06CC"/>
    <w:rsid w:val="000A2873"/>
    <w:rsid w:val="000A2909"/>
    <w:rsid w:val="000A3E09"/>
    <w:rsid w:val="000A51B7"/>
    <w:rsid w:val="000B06ED"/>
    <w:rsid w:val="000B68C8"/>
    <w:rsid w:val="000B741D"/>
    <w:rsid w:val="000C3CFA"/>
    <w:rsid w:val="000C4E15"/>
    <w:rsid w:val="000C5DD7"/>
    <w:rsid w:val="000C7387"/>
    <w:rsid w:val="000D3FA9"/>
    <w:rsid w:val="000E131A"/>
    <w:rsid w:val="000E1594"/>
    <w:rsid w:val="000F0A6C"/>
    <w:rsid w:val="000F52B6"/>
    <w:rsid w:val="0010428A"/>
    <w:rsid w:val="00110FD8"/>
    <w:rsid w:val="00111B8A"/>
    <w:rsid w:val="00127DA1"/>
    <w:rsid w:val="00132AEC"/>
    <w:rsid w:val="00132BA1"/>
    <w:rsid w:val="00140EC9"/>
    <w:rsid w:val="00142ECF"/>
    <w:rsid w:val="00145F1E"/>
    <w:rsid w:val="00153963"/>
    <w:rsid w:val="00160155"/>
    <w:rsid w:val="00160820"/>
    <w:rsid w:val="001662C0"/>
    <w:rsid w:val="00171692"/>
    <w:rsid w:val="0017720A"/>
    <w:rsid w:val="00184550"/>
    <w:rsid w:val="00184AC9"/>
    <w:rsid w:val="00187131"/>
    <w:rsid w:val="00191EE7"/>
    <w:rsid w:val="00195B2D"/>
    <w:rsid w:val="001A1C63"/>
    <w:rsid w:val="001A1D13"/>
    <w:rsid w:val="001A759E"/>
    <w:rsid w:val="001B3FA9"/>
    <w:rsid w:val="001C224D"/>
    <w:rsid w:val="001D095A"/>
    <w:rsid w:val="001D2DC2"/>
    <w:rsid w:val="001D3FAB"/>
    <w:rsid w:val="001E36FF"/>
    <w:rsid w:val="001E492E"/>
    <w:rsid w:val="001E5158"/>
    <w:rsid w:val="001E5B84"/>
    <w:rsid w:val="001E5CE7"/>
    <w:rsid w:val="001F3B86"/>
    <w:rsid w:val="00202909"/>
    <w:rsid w:val="00203852"/>
    <w:rsid w:val="00203BCD"/>
    <w:rsid w:val="00203CB2"/>
    <w:rsid w:val="00211777"/>
    <w:rsid w:val="0021517E"/>
    <w:rsid w:val="002161C6"/>
    <w:rsid w:val="00216547"/>
    <w:rsid w:val="002213A5"/>
    <w:rsid w:val="0022340D"/>
    <w:rsid w:val="00224D08"/>
    <w:rsid w:val="0022654E"/>
    <w:rsid w:val="0024368C"/>
    <w:rsid w:val="00246C97"/>
    <w:rsid w:val="0025212B"/>
    <w:rsid w:val="00253FAB"/>
    <w:rsid w:val="00254231"/>
    <w:rsid w:val="00257A9E"/>
    <w:rsid w:val="00261CFB"/>
    <w:rsid w:val="00266211"/>
    <w:rsid w:val="00266321"/>
    <w:rsid w:val="00267592"/>
    <w:rsid w:val="00280FAA"/>
    <w:rsid w:val="00281C44"/>
    <w:rsid w:val="0028326F"/>
    <w:rsid w:val="002A2518"/>
    <w:rsid w:val="002A29E8"/>
    <w:rsid w:val="002A51A5"/>
    <w:rsid w:val="002A5BCC"/>
    <w:rsid w:val="002A7128"/>
    <w:rsid w:val="002B30FC"/>
    <w:rsid w:val="002B3754"/>
    <w:rsid w:val="002B415A"/>
    <w:rsid w:val="002B5CA3"/>
    <w:rsid w:val="002B5E85"/>
    <w:rsid w:val="002B753A"/>
    <w:rsid w:val="002C049C"/>
    <w:rsid w:val="002C45AB"/>
    <w:rsid w:val="002D0AF2"/>
    <w:rsid w:val="002D5B86"/>
    <w:rsid w:val="002D782C"/>
    <w:rsid w:val="002E4FF2"/>
    <w:rsid w:val="002F0282"/>
    <w:rsid w:val="002F74AF"/>
    <w:rsid w:val="00301532"/>
    <w:rsid w:val="00303700"/>
    <w:rsid w:val="00305FE7"/>
    <w:rsid w:val="00311863"/>
    <w:rsid w:val="0031518E"/>
    <w:rsid w:val="003155A4"/>
    <w:rsid w:val="00322508"/>
    <w:rsid w:val="0033178A"/>
    <w:rsid w:val="00334B0C"/>
    <w:rsid w:val="00335394"/>
    <w:rsid w:val="00340780"/>
    <w:rsid w:val="00342DF6"/>
    <w:rsid w:val="003471E3"/>
    <w:rsid w:val="00353B06"/>
    <w:rsid w:val="00355BF1"/>
    <w:rsid w:val="00357EC3"/>
    <w:rsid w:val="0036127B"/>
    <w:rsid w:val="003619DE"/>
    <w:rsid w:val="003672A6"/>
    <w:rsid w:val="003718B9"/>
    <w:rsid w:val="003723E9"/>
    <w:rsid w:val="003731B3"/>
    <w:rsid w:val="0037442B"/>
    <w:rsid w:val="003768C5"/>
    <w:rsid w:val="0037796E"/>
    <w:rsid w:val="00380FEF"/>
    <w:rsid w:val="0038228E"/>
    <w:rsid w:val="00383FC8"/>
    <w:rsid w:val="00385C81"/>
    <w:rsid w:val="00385CD1"/>
    <w:rsid w:val="003871A4"/>
    <w:rsid w:val="00390A85"/>
    <w:rsid w:val="00392640"/>
    <w:rsid w:val="00394784"/>
    <w:rsid w:val="00394AF9"/>
    <w:rsid w:val="00396531"/>
    <w:rsid w:val="003A5CDF"/>
    <w:rsid w:val="003A6D85"/>
    <w:rsid w:val="003B0BF2"/>
    <w:rsid w:val="003B21CE"/>
    <w:rsid w:val="003B5AA4"/>
    <w:rsid w:val="003B5F32"/>
    <w:rsid w:val="003C0FBE"/>
    <w:rsid w:val="003C6496"/>
    <w:rsid w:val="003C64FB"/>
    <w:rsid w:val="003C6E84"/>
    <w:rsid w:val="003C7AA7"/>
    <w:rsid w:val="003D0119"/>
    <w:rsid w:val="003D216B"/>
    <w:rsid w:val="003D4698"/>
    <w:rsid w:val="003D62A4"/>
    <w:rsid w:val="003D7BEB"/>
    <w:rsid w:val="003E145E"/>
    <w:rsid w:val="003E502F"/>
    <w:rsid w:val="003F5F38"/>
    <w:rsid w:val="003F7AD7"/>
    <w:rsid w:val="00400DAD"/>
    <w:rsid w:val="00402049"/>
    <w:rsid w:val="00405239"/>
    <w:rsid w:val="00410B89"/>
    <w:rsid w:val="00414626"/>
    <w:rsid w:val="00415759"/>
    <w:rsid w:val="0042294F"/>
    <w:rsid w:val="00422D91"/>
    <w:rsid w:val="00426A8B"/>
    <w:rsid w:val="004337CF"/>
    <w:rsid w:val="004358CB"/>
    <w:rsid w:val="00443606"/>
    <w:rsid w:val="00444EFE"/>
    <w:rsid w:val="004467B7"/>
    <w:rsid w:val="004514C0"/>
    <w:rsid w:val="00452963"/>
    <w:rsid w:val="00453428"/>
    <w:rsid w:val="00456261"/>
    <w:rsid w:val="00456E02"/>
    <w:rsid w:val="00463B2F"/>
    <w:rsid w:val="004664FD"/>
    <w:rsid w:val="0047122D"/>
    <w:rsid w:val="0047285B"/>
    <w:rsid w:val="00476FC0"/>
    <w:rsid w:val="00481BD7"/>
    <w:rsid w:val="00486130"/>
    <w:rsid w:val="004912C4"/>
    <w:rsid w:val="00495351"/>
    <w:rsid w:val="004963F2"/>
    <w:rsid w:val="004A122E"/>
    <w:rsid w:val="004A1648"/>
    <w:rsid w:val="004A1A61"/>
    <w:rsid w:val="004A4077"/>
    <w:rsid w:val="004A6AC4"/>
    <w:rsid w:val="004A744F"/>
    <w:rsid w:val="004B4B36"/>
    <w:rsid w:val="004B5DE8"/>
    <w:rsid w:val="004C7776"/>
    <w:rsid w:val="004D0AE2"/>
    <w:rsid w:val="004D1289"/>
    <w:rsid w:val="004D1292"/>
    <w:rsid w:val="004D5529"/>
    <w:rsid w:val="004E5357"/>
    <w:rsid w:val="004F11A7"/>
    <w:rsid w:val="004F1553"/>
    <w:rsid w:val="00500C96"/>
    <w:rsid w:val="00501EC4"/>
    <w:rsid w:val="005101E3"/>
    <w:rsid w:val="00510B41"/>
    <w:rsid w:val="005119E5"/>
    <w:rsid w:val="00511C56"/>
    <w:rsid w:val="00512317"/>
    <w:rsid w:val="00516921"/>
    <w:rsid w:val="00523AA4"/>
    <w:rsid w:val="00526F47"/>
    <w:rsid w:val="00534A15"/>
    <w:rsid w:val="00535F77"/>
    <w:rsid w:val="00537754"/>
    <w:rsid w:val="005377AE"/>
    <w:rsid w:val="00540388"/>
    <w:rsid w:val="00544503"/>
    <w:rsid w:val="00547F99"/>
    <w:rsid w:val="00556CEF"/>
    <w:rsid w:val="00557A4E"/>
    <w:rsid w:val="00562DAE"/>
    <w:rsid w:val="00564E24"/>
    <w:rsid w:val="00566FD8"/>
    <w:rsid w:val="00567523"/>
    <w:rsid w:val="005677FB"/>
    <w:rsid w:val="005714C8"/>
    <w:rsid w:val="0057294B"/>
    <w:rsid w:val="00574466"/>
    <w:rsid w:val="00576C52"/>
    <w:rsid w:val="00584834"/>
    <w:rsid w:val="00586661"/>
    <w:rsid w:val="00586C10"/>
    <w:rsid w:val="005904C4"/>
    <w:rsid w:val="005909B4"/>
    <w:rsid w:val="00593632"/>
    <w:rsid w:val="005945A5"/>
    <w:rsid w:val="00597D48"/>
    <w:rsid w:val="005A144B"/>
    <w:rsid w:val="005A3BDA"/>
    <w:rsid w:val="005B14E3"/>
    <w:rsid w:val="005B480D"/>
    <w:rsid w:val="005C35DF"/>
    <w:rsid w:val="005C5726"/>
    <w:rsid w:val="005C5F2C"/>
    <w:rsid w:val="005D1CC7"/>
    <w:rsid w:val="005D5016"/>
    <w:rsid w:val="005D6EFE"/>
    <w:rsid w:val="005D7E06"/>
    <w:rsid w:val="005E10EC"/>
    <w:rsid w:val="005E415C"/>
    <w:rsid w:val="005E5FA1"/>
    <w:rsid w:val="005E6289"/>
    <w:rsid w:val="005E71F3"/>
    <w:rsid w:val="005E7527"/>
    <w:rsid w:val="005F2577"/>
    <w:rsid w:val="00600BCF"/>
    <w:rsid w:val="00601D47"/>
    <w:rsid w:val="006038C7"/>
    <w:rsid w:val="00611A72"/>
    <w:rsid w:val="00611B36"/>
    <w:rsid w:val="006138F9"/>
    <w:rsid w:val="006152BE"/>
    <w:rsid w:val="00615F37"/>
    <w:rsid w:val="006165CA"/>
    <w:rsid w:val="0062265F"/>
    <w:rsid w:val="00626593"/>
    <w:rsid w:val="006268D1"/>
    <w:rsid w:val="00627B1B"/>
    <w:rsid w:val="006336A9"/>
    <w:rsid w:val="00633913"/>
    <w:rsid w:val="00633E37"/>
    <w:rsid w:val="00633F40"/>
    <w:rsid w:val="0063762C"/>
    <w:rsid w:val="00643062"/>
    <w:rsid w:val="00644A5E"/>
    <w:rsid w:val="00645690"/>
    <w:rsid w:val="00645EE3"/>
    <w:rsid w:val="00646E8B"/>
    <w:rsid w:val="006508C5"/>
    <w:rsid w:val="00650FDD"/>
    <w:rsid w:val="00654208"/>
    <w:rsid w:val="006574F9"/>
    <w:rsid w:val="00660DDC"/>
    <w:rsid w:val="00665D83"/>
    <w:rsid w:val="00666250"/>
    <w:rsid w:val="00670444"/>
    <w:rsid w:val="00671446"/>
    <w:rsid w:val="00673A26"/>
    <w:rsid w:val="00673A6E"/>
    <w:rsid w:val="00675734"/>
    <w:rsid w:val="00676B73"/>
    <w:rsid w:val="00680BEA"/>
    <w:rsid w:val="006820E3"/>
    <w:rsid w:val="006905ED"/>
    <w:rsid w:val="0069225A"/>
    <w:rsid w:val="0069283E"/>
    <w:rsid w:val="00694B51"/>
    <w:rsid w:val="00696774"/>
    <w:rsid w:val="006968CD"/>
    <w:rsid w:val="00696A2D"/>
    <w:rsid w:val="00697EA5"/>
    <w:rsid w:val="006A104B"/>
    <w:rsid w:val="006A3C75"/>
    <w:rsid w:val="006A57E7"/>
    <w:rsid w:val="006A62F9"/>
    <w:rsid w:val="006B1886"/>
    <w:rsid w:val="006B1E11"/>
    <w:rsid w:val="006B52B7"/>
    <w:rsid w:val="006C1049"/>
    <w:rsid w:val="006C1172"/>
    <w:rsid w:val="006C3262"/>
    <w:rsid w:val="006C49EE"/>
    <w:rsid w:val="006D0B75"/>
    <w:rsid w:val="006D78C1"/>
    <w:rsid w:val="006E040C"/>
    <w:rsid w:val="006E0FC5"/>
    <w:rsid w:val="006E16C5"/>
    <w:rsid w:val="006E5205"/>
    <w:rsid w:val="006E6213"/>
    <w:rsid w:val="006E6BAA"/>
    <w:rsid w:val="006F6BF4"/>
    <w:rsid w:val="00700011"/>
    <w:rsid w:val="007031FC"/>
    <w:rsid w:val="00706768"/>
    <w:rsid w:val="00714FB1"/>
    <w:rsid w:val="00717D6A"/>
    <w:rsid w:val="0072214B"/>
    <w:rsid w:val="0072339B"/>
    <w:rsid w:val="00731868"/>
    <w:rsid w:val="00733D06"/>
    <w:rsid w:val="007356DE"/>
    <w:rsid w:val="00735FAA"/>
    <w:rsid w:val="007366CC"/>
    <w:rsid w:val="00741AE1"/>
    <w:rsid w:val="0074473F"/>
    <w:rsid w:val="00751474"/>
    <w:rsid w:val="0075184F"/>
    <w:rsid w:val="00754B4A"/>
    <w:rsid w:val="00755A61"/>
    <w:rsid w:val="00756D7D"/>
    <w:rsid w:val="00762DE6"/>
    <w:rsid w:val="00764502"/>
    <w:rsid w:val="00766210"/>
    <w:rsid w:val="00767036"/>
    <w:rsid w:val="00767C4E"/>
    <w:rsid w:val="00767D4A"/>
    <w:rsid w:val="007701E1"/>
    <w:rsid w:val="00773E48"/>
    <w:rsid w:val="00785A87"/>
    <w:rsid w:val="00790779"/>
    <w:rsid w:val="007907CB"/>
    <w:rsid w:val="00793488"/>
    <w:rsid w:val="00794A70"/>
    <w:rsid w:val="00796122"/>
    <w:rsid w:val="007A0F76"/>
    <w:rsid w:val="007A665D"/>
    <w:rsid w:val="007B1526"/>
    <w:rsid w:val="007B4250"/>
    <w:rsid w:val="007B448E"/>
    <w:rsid w:val="007B4E60"/>
    <w:rsid w:val="007C3DCA"/>
    <w:rsid w:val="007C7721"/>
    <w:rsid w:val="007D3DB4"/>
    <w:rsid w:val="007E0809"/>
    <w:rsid w:val="007E3167"/>
    <w:rsid w:val="007E39DC"/>
    <w:rsid w:val="007E4A0D"/>
    <w:rsid w:val="007E5620"/>
    <w:rsid w:val="007E77F2"/>
    <w:rsid w:val="007F222F"/>
    <w:rsid w:val="00800305"/>
    <w:rsid w:val="008023CD"/>
    <w:rsid w:val="00807731"/>
    <w:rsid w:val="008109BB"/>
    <w:rsid w:val="008140D0"/>
    <w:rsid w:val="00815043"/>
    <w:rsid w:val="00815970"/>
    <w:rsid w:val="00815A7E"/>
    <w:rsid w:val="008203BD"/>
    <w:rsid w:val="0082494E"/>
    <w:rsid w:val="00826CD8"/>
    <w:rsid w:val="00827E7B"/>
    <w:rsid w:val="00832993"/>
    <w:rsid w:val="008348BC"/>
    <w:rsid w:val="0083496B"/>
    <w:rsid w:val="008355DE"/>
    <w:rsid w:val="008357B2"/>
    <w:rsid w:val="0083600A"/>
    <w:rsid w:val="00836540"/>
    <w:rsid w:val="00837702"/>
    <w:rsid w:val="00840E92"/>
    <w:rsid w:val="00841C33"/>
    <w:rsid w:val="00841E45"/>
    <w:rsid w:val="0084250A"/>
    <w:rsid w:val="008433A6"/>
    <w:rsid w:val="0084480D"/>
    <w:rsid w:val="00847525"/>
    <w:rsid w:val="008514AF"/>
    <w:rsid w:val="00854690"/>
    <w:rsid w:val="00857E9C"/>
    <w:rsid w:val="0086059A"/>
    <w:rsid w:val="0086564F"/>
    <w:rsid w:val="00867E02"/>
    <w:rsid w:val="00871029"/>
    <w:rsid w:val="0087636D"/>
    <w:rsid w:val="008838CC"/>
    <w:rsid w:val="00886042"/>
    <w:rsid w:val="0088657E"/>
    <w:rsid w:val="0088726B"/>
    <w:rsid w:val="0089273D"/>
    <w:rsid w:val="00894DE4"/>
    <w:rsid w:val="00895AC3"/>
    <w:rsid w:val="0089652D"/>
    <w:rsid w:val="008A45D9"/>
    <w:rsid w:val="008A7498"/>
    <w:rsid w:val="008B2E58"/>
    <w:rsid w:val="008B7C8F"/>
    <w:rsid w:val="008C2358"/>
    <w:rsid w:val="008C6397"/>
    <w:rsid w:val="008C7725"/>
    <w:rsid w:val="008C7F17"/>
    <w:rsid w:val="008D021C"/>
    <w:rsid w:val="008D1D76"/>
    <w:rsid w:val="008D4C5B"/>
    <w:rsid w:val="008E0374"/>
    <w:rsid w:val="008E404A"/>
    <w:rsid w:val="008E4BEF"/>
    <w:rsid w:val="008E56EC"/>
    <w:rsid w:val="008E7EBE"/>
    <w:rsid w:val="008F41D6"/>
    <w:rsid w:val="008F4AC6"/>
    <w:rsid w:val="008F5D2E"/>
    <w:rsid w:val="008F72D8"/>
    <w:rsid w:val="008F73A3"/>
    <w:rsid w:val="00901833"/>
    <w:rsid w:val="0090429B"/>
    <w:rsid w:val="009055AA"/>
    <w:rsid w:val="00905BC9"/>
    <w:rsid w:val="00905E82"/>
    <w:rsid w:val="00911B02"/>
    <w:rsid w:val="00920BDB"/>
    <w:rsid w:val="00921C0E"/>
    <w:rsid w:val="0092305A"/>
    <w:rsid w:val="00924D70"/>
    <w:rsid w:val="009277CC"/>
    <w:rsid w:val="00927FA7"/>
    <w:rsid w:val="00936624"/>
    <w:rsid w:val="0094055D"/>
    <w:rsid w:val="00940E0B"/>
    <w:rsid w:val="00941DA6"/>
    <w:rsid w:val="0094708F"/>
    <w:rsid w:val="009519DC"/>
    <w:rsid w:val="00953248"/>
    <w:rsid w:val="00954391"/>
    <w:rsid w:val="009563FF"/>
    <w:rsid w:val="009571EB"/>
    <w:rsid w:val="00961773"/>
    <w:rsid w:val="00975E84"/>
    <w:rsid w:val="00976450"/>
    <w:rsid w:val="00980EF8"/>
    <w:rsid w:val="00990CEC"/>
    <w:rsid w:val="00993354"/>
    <w:rsid w:val="00997661"/>
    <w:rsid w:val="009A600A"/>
    <w:rsid w:val="009B2370"/>
    <w:rsid w:val="009C2ED1"/>
    <w:rsid w:val="009C542B"/>
    <w:rsid w:val="009D4666"/>
    <w:rsid w:val="009D5804"/>
    <w:rsid w:val="009D7711"/>
    <w:rsid w:val="009E2AD3"/>
    <w:rsid w:val="009E4CFB"/>
    <w:rsid w:val="009F1E4C"/>
    <w:rsid w:val="009F413F"/>
    <w:rsid w:val="009F43D5"/>
    <w:rsid w:val="00A009E7"/>
    <w:rsid w:val="00A01FFD"/>
    <w:rsid w:val="00A0233D"/>
    <w:rsid w:val="00A04A2B"/>
    <w:rsid w:val="00A05179"/>
    <w:rsid w:val="00A05CD5"/>
    <w:rsid w:val="00A116EC"/>
    <w:rsid w:val="00A1218A"/>
    <w:rsid w:val="00A13609"/>
    <w:rsid w:val="00A16165"/>
    <w:rsid w:val="00A2534B"/>
    <w:rsid w:val="00A2551B"/>
    <w:rsid w:val="00A2603E"/>
    <w:rsid w:val="00A31D8C"/>
    <w:rsid w:val="00A33CB8"/>
    <w:rsid w:val="00A36EC4"/>
    <w:rsid w:val="00A4205F"/>
    <w:rsid w:val="00A44034"/>
    <w:rsid w:val="00A455BF"/>
    <w:rsid w:val="00A462CE"/>
    <w:rsid w:val="00A51C5B"/>
    <w:rsid w:val="00A566FB"/>
    <w:rsid w:val="00A57C57"/>
    <w:rsid w:val="00A652DF"/>
    <w:rsid w:val="00A66728"/>
    <w:rsid w:val="00A877CA"/>
    <w:rsid w:val="00A92AB1"/>
    <w:rsid w:val="00A93AC0"/>
    <w:rsid w:val="00AA1E34"/>
    <w:rsid w:val="00AA32F9"/>
    <w:rsid w:val="00AB3001"/>
    <w:rsid w:val="00AB7926"/>
    <w:rsid w:val="00AC1DB0"/>
    <w:rsid w:val="00AC6766"/>
    <w:rsid w:val="00AD13E6"/>
    <w:rsid w:val="00AD29C0"/>
    <w:rsid w:val="00AE505A"/>
    <w:rsid w:val="00AE56FD"/>
    <w:rsid w:val="00AF1B1C"/>
    <w:rsid w:val="00AF34CC"/>
    <w:rsid w:val="00AF6290"/>
    <w:rsid w:val="00B03C86"/>
    <w:rsid w:val="00B04F23"/>
    <w:rsid w:val="00B07B5B"/>
    <w:rsid w:val="00B10784"/>
    <w:rsid w:val="00B115F5"/>
    <w:rsid w:val="00B12417"/>
    <w:rsid w:val="00B12B84"/>
    <w:rsid w:val="00B12CBC"/>
    <w:rsid w:val="00B15F79"/>
    <w:rsid w:val="00B17CB5"/>
    <w:rsid w:val="00B212A5"/>
    <w:rsid w:val="00B22650"/>
    <w:rsid w:val="00B248A5"/>
    <w:rsid w:val="00B30267"/>
    <w:rsid w:val="00B34E1D"/>
    <w:rsid w:val="00B34FDC"/>
    <w:rsid w:val="00B36A7C"/>
    <w:rsid w:val="00B42150"/>
    <w:rsid w:val="00B429DF"/>
    <w:rsid w:val="00B43F52"/>
    <w:rsid w:val="00B457A7"/>
    <w:rsid w:val="00B4705C"/>
    <w:rsid w:val="00B53FEF"/>
    <w:rsid w:val="00B55FD3"/>
    <w:rsid w:val="00B56B7D"/>
    <w:rsid w:val="00B61C71"/>
    <w:rsid w:val="00B6201B"/>
    <w:rsid w:val="00B70007"/>
    <w:rsid w:val="00B70375"/>
    <w:rsid w:val="00B814FA"/>
    <w:rsid w:val="00B82444"/>
    <w:rsid w:val="00B84FFB"/>
    <w:rsid w:val="00B869D6"/>
    <w:rsid w:val="00B87503"/>
    <w:rsid w:val="00B90624"/>
    <w:rsid w:val="00B95181"/>
    <w:rsid w:val="00B96758"/>
    <w:rsid w:val="00BA19F1"/>
    <w:rsid w:val="00BA404F"/>
    <w:rsid w:val="00BA577F"/>
    <w:rsid w:val="00BB070C"/>
    <w:rsid w:val="00BB1698"/>
    <w:rsid w:val="00BB4321"/>
    <w:rsid w:val="00BB5F91"/>
    <w:rsid w:val="00BB5FCB"/>
    <w:rsid w:val="00BB6481"/>
    <w:rsid w:val="00BB7517"/>
    <w:rsid w:val="00BC63C8"/>
    <w:rsid w:val="00BD0106"/>
    <w:rsid w:val="00BD2068"/>
    <w:rsid w:val="00BD4165"/>
    <w:rsid w:val="00BD56AB"/>
    <w:rsid w:val="00BD6C5D"/>
    <w:rsid w:val="00BD74F7"/>
    <w:rsid w:val="00BE23B4"/>
    <w:rsid w:val="00C0254E"/>
    <w:rsid w:val="00C05CF2"/>
    <w:rsid w:val="00C06477"/>
    <w:rsid w:val="00C075DD"/>
    <w:rsid w:val="00C07EA9"/>
    <w:rsid w:val="00C13791"/>
    <w:rsid w:val="00C1451F"/>
    <w:rsid w:val="00C15CDE"/>
    <w:rsid w:val="00C17D14"/>
    <w:rsid w:val="00C27175"/>
    <w:rsid w:val="00C30802"/>
    <w:rsid w:val="00C348AC"/>
    <w:rsid w:val="00C34EBC"/>
    <w:rsid w:val="00C3565A"/>
    <w:rsid w:val="00C47FC7"/>
    <w:rsid w:val="00C53468"/>
    <w:rsid w:val="00C55091"/>
    <w:rsid w:val="00C642DD"/>
    <w:rsid w:val="00C663C5"/>
    <w:rsid w:val="00C67A34"/>
    <w:rsid w:val="00C73AAF"/>
    <w:rsid w:val="00C74FEC"/>
    <w:rsid w:val="00C81312"/>
    <w:rsid w:val="00C83016"/>
    <w:rsid w:val="00C867A8"/>
    <w:rsid w:val="00C91656"/>
    <w:rsid w:val="00C93A29"/>
    <w:rsid w:val="00C93E7F"/>
    <w:rsid w:val="00C94948"/>
    <w:rsid w:val="00CA5D1A"/>
    <w:rsid w:val="00CA74F4"/>
    <w:rsid w:val="00CB294A"/>
    <w:rsid w:val="00CB4CE2"/>
    <w:rsid w:val="00CB4EEA"/>
    <w:rsid w:val="00CB62FB"/>
    <w:rsid w:val="00CB7C8B"/>
    <w:rsid w:val="00CB7E27"/>
    <w:rsid w:val="00CC2848"/>
    <w:rsid w:val="00CC366D"/>
    <w:rsid w:val="00CC57C5"/>
    <w:rsid w:val="00CC6B0D"/>
    <w:rsid w:val="00CD03C0"/>
    <w:rsid w:val="00CD1DEF"/>
    <w:rsid w:val="00CD50FB"/>
    <w:rsid w:val="00CD5F83"/>
    <w:rsid w:val="00CD7E61"/>
    <w:rsid w:val="00CE214F"/>
    <w:rsid w:val="00CE21D9"/>
    <w:rsid w:val="00CE5DC5"/>
    <w:rsid w:val="00CF210D"/>
    <w:rsid w:val="00CF6303"/>
    <w:rsid w:val="00D04B51"/>
    <w:rsid w:val="00D06D8F"/>
    <w:rsid w:val="00D1219A"/>
    <w:rsid w:val="00D14F54"/>
    <w:rsid w:val="00D16C04"/>
    <w:rsid w:val="00D17DA5"/>
    <w:rsid w:val="00D20FB0"/>
    <w:rsid w:val="00D213B1"/>
    <w:rsid w:val="00D30346"/>
    <w:rsid w:val="00D3540A"/>
    <w:rsid w:val="00D359B4"/>
    <w:rsid w:val="00D35BBD"/>
    <w:rsid w:val="00D36CB7"/>
    <w:rsid w:val="00D41935"/>
    <w:rsid w:val="00D50E49"/>
    <w:rsid w:val="00D50FA9"/>
    <w:rsid w:val="00D5670D"/>
    <w:rsid w:val="00D6083F"/>
    <w:rsid w:val="00D62976"/>
    <w:rsid w:val="00D65E63"/>
    <w:rsid w:val="00D72BD7"/>
    <w:rsid w:val="00D72C02"/>
    <w:rsid w:val="00D77392"/>
    <w:rsid w:val="00D779D5"/>
    <w:rsid w:val="00D77E1F"/>
    <w:rsid w:val="00D83533"/>
    <w:rsid w:val="00D848F7"/>
    <w:rsid w:val="00D849EA"/>
    <w:rsid w:val="00D90690"/>
    <w:rsid w:val="00D92D97"/>
    <w:rsid w:val="00D9334C"/>
    <w:rsid w:val="00DA0D7A"/>
    <w:rsid w:val="00DA3E14"/>
    <w:rsid w:val="00DB112D"/>
    <w:rsid w:val="00DB252D"/>
    <w:rsid w:val="00DB428C"/>
    <w:rsid w:val="00DB5496"/>
    <w:rsid w:val="00DB5776"/>
    <w:rsid w:val="00DB7693"/>
    <w:rsid w:val="00DB7BC8"/>
    <w:rsid w:val="00DC01FF"/>
    <w:rsid w:val="00DD128B"/>
    <w:rsid w:val="00DD6593"/>
    <w:rsid w:val="00DD6B80"/>
    <w:rsid w:val="00DE0B03"/>
    <w:rsid w:val="00DE3817"/>
    <w:rsid w:val="00DF26DC"/>
    <w:rsid w:val="00DF3456"/>
    <w:rsid w:val="00DF3F19"/>
    <w:rsid w:val="00DF57A4"/>
    <w:rsid w:val="00E00C7E"/>
    <w:rsid w:val="00E05E1D"/>
    <w:rsid w:val="00E105BF"/>
    <w:rsid w:val="00E13692"/>
    <w:rsid w:val="00E20196"/>
    <w:rsid w:val="00E2669F"/>
    <w:rsid w:val="00E31E06"/>
    <w:rsid w:val="00E361D6"/>
    <w:rsid w:val="00E37DDE"/>
    <w:rsid w:val="00E41FEE"/>
    <w:rsid w:val="00E42DD3"/>
    <w:rsid w:val="00E453E6"/>
    <w:rsid w:val="00E45B1F"/>
    <w:rsid w:val="00E51A2E"/>
    <w:rsid w:val="00E51E54"/>
    <w:rsid w:val="00E556FF"/>
    <w:rsid w:val="00E6406C"/>
    <w:rsid w:val="00E642DA"/>
    <w:rsid w:val="00E726F6"/>
    <w:rsid w:val="00E73D9D"/>
    <w:rsid w:val="00E741C7"/>
    <w:rsid w:val="00E75092"/>
    <w:rsid w:val="00E76D5E"/>
    <w:rsid w:val="00E81610"/>
    <w:rsid w:val="00E8437B"/>
    <w:rsid w:val="00E91856"/>
    <w:rsid w:val="00E9261B"/>
    <w:rsid w:val="00E961AB"/>
    <w:rsid w:val="00E979A4"/>
    <w:rsid w:val="00EA560C"/>
    <w:rsid w:val="00EA7742"/>
    <w:rsid w:val="00EC4E64"/>
    <w:rsid w:val="00EC6FAD"/>
    <w:rsid w:val="00ED3DE8"/>
    <w:rsid w:val="00ED47B6"/>
    <w:rsid w:val="00EE1A82"/>
    <w:rsid w:val="00EE21A5"/>
    <w:rsid w:val="00EE485A"/>
    <w:rsid w:val="00F07106"/>
    <w:rsid w:val="00F0758E"/>
    <w:rsid w:val="00F14779"/>
    <w:rsid w:val="00F156DC"/>
    <w:rsid w:val="00F1590D"/>
    <w:rsid w:val="00F15D49"/>
    <w:rsid w:val="00F306DC"/>
    <w:rsid w:val="00F3087B"/>
    <w:rsid w:val="00F31555"/>
    <w:rsid w:val="00F33BCF"/>
    <w:rsid w:val="00F34381"/>
    <w:rsid w:val="00F36B1D"/>
    <w:rsid w:val="00F401FC"/>
    <w:rsid w:val="00F411A5"/>
    <w:rsid w:val="00F42015"/>
    <w:rsid w:val="00F42EA8"/>
    <w:rsid w:val="00F507B9"/>
    <w:rsid w:val="00F51AEA"/>
    <w:rsid w:val="00F52917"/>
    <w:rsid w:val="00F52AD0"/>
    <w:rsid w:val="00F54E0A"/>
    <w:rsid w:val="00F55BBE"/>
    <w:rsid w:val="00F55EA5"/>
    <w:rsid w:val="00F60105"/>
    <w:rsid w:val="00F6252C"/>
    <w:rsid w:val="00F65D47"/>
    <w:rsid w:val="00F71819"/>
    <w:rsid w:val="00F71B5E"/>
    <w:rsid w:val="00F80C07"/>
    <w:rsid w:val="00F92D7F"/>
    <w:rsid w:val="00F9462A"/>
    <w:rsid w:val="00F9513B"/>
    <w:rsid w:val="00FA2C0B"/>
    <w:rsid w:val="00FA39A9"/>
    <w:rsid w:val="00FA43E6"/>
    <w:rsid w:val="00FA5B4E"/>
    <w:rsid w:val="00FB0969"/>
    <w:rsid w:val="00FB1C81"/>
    <w:rsid w:val="00FB663C"/>
    <w:rsid w:val="00FC06EB"/>
    <w:rsid w:val="00FC38B2"/>
    <w:rsid w:val="00FD689D"/>
    <w:rsid w:val="00FD69B3"/>
    <w:rsid w:val="00FE140A"/>
    <w:rsid w:val="00FE1601"/>
    <w:rsid w:val="00FE67F0"/>
    <w:rsid w:val="00FF03E3"/>
    <w:rsid w:val="00FF0EEF"/>
    <w:rsid w:val="00FF4ECD"/>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D13"/>
    <w:pPr>
      <w:ind w:left="720"/>
      <w:contextualSpacing/>
    </w:pPr>
  </w:style>
  <w:style w:type="paragraph" w:styleId="NormalWeb">
    <w:name w:val="Normal (Web)"/>
    <w:basedOn w:val="Normal"/>
    <w:uiPriority w:val="99"/>
    <w:unhideWhenUsed/>
    <w:rsid w:val="004467B7"/>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A93AC0"/>
    <w:rPr>
      <w:color w:val="808080"/>
    </w:rPr>
  </w:style>
  <w:style w:type="paragraph" w:styleId="BalloonText">
    <w:name w:val="Balloon Text"/>
    <w:basedOn w:val="Normal"/>
    <w:link w:val="BalloonTextChar"/>
    <w:rsid w:val="008023CD"/>
    <w:rPr>
      <w:rFonts w:ascii="Tahoma" w:hAnsi="Tahoma" w:cs="Tahoma"/>
      <w:sz w:val="16"/>
      <w:szCs w:val="16"/>
    </w:rPr>
  </w:style>
  <w:style w:type="character" w:customStyle="1" w:styleId="BalloonTextChar">
    <w:name w:val="Balloon Text Char"/>
    <w:basedOn w:val="DefaultParagraphFont"/>
    <w:link w:val="BalloonText"/>
    <w:rsid w:val="008023CD"/>
    <w:rPr>
      <w:rFonts w:ascii="Tahoma" w:hAnsi="Tahoma" w:cs="Tahoma"/>
      <w:sz w:val="16"/>
      <w:szCs w:val="16"/>
    </w:rPr>
  </w:style>
  <w:style w:type="character" w:styleId="CommentReference">
    <w:name w:val="annotation reference"/>
    <w:basedOn w:val="DefaultParagraphFont"/>
    <w:rsid w:val="00032658"/>
    <w:rPr>
      <w:sz w:val="16"/>
      <w:szCs w:val="16"/>
    </w:rPr>
  </w:style>
  <w:style w:type="paragraph" w:styleId="CommentText">
    <w:name w:val="annotation text"/>
    <w:basedOn w:val="Normal"/>
    <w:link w:val="CommentTextChar"/>
    <w:rsid w:val="00032658"/>
  </w:style>
  <w:style w:type="character" w:customStyle="1" w:styleId="CommentTextChar">
    <w:name w:val="Comment Text Char"/>
    <w:basedOn w:val="DefaultParagraphFont"/>
    <w:link w:val="CommentText"/>
    <w:rsid w:val="00032658"/>
  </w:style>
  <w:style w:type="paragraph" w:styleId="CommentSubject">
    <w:name w:val="annotation subject"/>
    <w:basedOn w:val="CommentText"/>
    <w:next w:val="CommentText"/>
    <w:link w:val="CommentSubjectChar"/>
    <w:rsid w:val="00032658"/>
    <w:rPr>
      <w:b/>
      <w:bCs/>
    </w:rPr>
  </w:style>
  <w:style w:type="character" w:customStyle="1" w:styleId="CommentSubjectChar">
    <w:name w:val="Comment Subject Char"/>
    <w:basedOn w:val="CommentTextChar"/>
    <w:link w:val="CommentSubject"/>
    <w:rsid w:val="000326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D13"/>
    <w:pPr>
      <w:ind w:left="720"/>
      <w:contextualSpacing/>
    </w:pPr>
  </w:style>
  <w:style w:type="paragraph" w:styleId="NormalWeb">
    <w:name w:val="Normal (Web)"/>
    <w:basedOn w:val="Normal"/>
    <w:uiPriority w:val="99"/>
    <w:unhideWhenUsed/>
    <w:rsid w:val="004467B7"/>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A93AC0"/>
    <w:rPr>
      <w:color w:val="808080"/>
    </w:rPr>
  </w:style>
  <w:style w:type="paragraph" w:styleId="BalloonText">
    <w:name w:val="Balloon Text"/>
    <w:basedOn w:val="Normal"/>
    <w:link w:val="BalloonTextChar"/>
    <w:rsid w:val="008023CD"/>
    <w:rPr>
      <w:rFonts w:ascii="Tahoma" w:hAnsi="Tahoma" w:cs="Tahoma"/>
      <w:sz w:val="16"/>
      <w:szCs w:val="16"/>
    </w:rPr>
  </w:style>
  <w:style w:type="character" w:customStyle="1" w:styleId="BalloonTextChar">
    <w:name w:val="Balloon Text Char"/>
    <w:basedOn w:val="DefaultParagraphFont"/>
    <w:link w:val="BalloonText"/>
    <w:rsid w:val="008023CD"/>
    <w:rPr>
      <w:rFonts w:ascii="Tahoma" w:hAnsi="Tahoma" w:cs="Tahoma"/>
      <w:sz w:val="16"/>
      <w:szCs w:val="16"/>
    </w:rPr>
  </w:style>
  <w:style w:type="character" w:styleId="CommentReference">
    <w:name w:val="annotation reference"/>
    <w:basedOn w:val="DefaultParagraphFont"/>
    <w:rsid w:val="00032658"/>
    <w:rPr>
      <w:sz w:val="16"/>
      <w:szCs w:val="16"/>
    </w:rPr>
  </w:style>
  <w:style w:type="paragraph" w:styleId="CommentText">
    <w:name w:val="annotation text"/>
    <w:basedOn w:val="Normal"/>
    <w:link w:val="CommentTextChar"/>
    <w:rsid w:val="00032658"/>
  </w:style>
  <w:style w:type="character" w:customStyle="1" w:styleId="CommentTextChar">
    <w:name w:val="Comment Text Char"/>
    <w:basedOn w:val="DefaultParagraphFont"/>
    <w:link w:val="CommentText"/>
    <w:rsid w:val="00032658"/>
  </w:style>
  <w:style w:type="paragraph" w:styleId="CommentSubject">
    <w:name w:val="annotation subject"/>
    <w:basedOn w:val="CommentText"/>
    <w:next w:val="CommentText"/>
    <w:link w:val="CommentSubjectChar"/>
    <w:rsid w:val="00032658"/>
    <w:rPr>
      <w:b/>
      <w:bCs/>
    </w:rPr>
  </w:style>
  <w:style w:type="character" w:customStyle="1" w:styleId="CommentSubjectChar">
    <w:name w:val="Comment Subject Char"/>
    <w:basedOn w:val="CommentTextChar"/>
    <w:link w:val="CommentSubject"/>
    <w:rsid w:val="00032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2015-02-23T19:37:00Z</dcterms:created>
  <dcterms:modified xsi:type="dcterms:W3CDTF">2015-02-23T22:22:00Z</dcterms:modified>
</cp:coreProperties>
</file>