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image/x-emf" PartName="/word/media/image1.emf"/>
  <Override ContentType="image/x-emf" PartName="/word/media/image2.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autoSpaceDE w:val="0"/>
        <w:autoSpaceDN w:val="0"/>
        <w:adjustRightInd w:val="0"/>
        <w:jc w:val="center"/>
        <w:rPr>
          <w:b/>
          <w:color w:val="000000"/>
          <w:sz w:val="22"/>
          <w:szCs w:val="22"/>
        </w:rPr>
      </w:pPr>
      <w:r>
        <w:rPr>
          <w:b/>
          <w:color w:val="000000"/>
          <w:sz w:val="22"/>
          <w:szCs w:val="22"/>
        </w:rPr>
        <w:t>Biost 518: Applied Biostatistics II</w:t>
      </w:r>
    </w:p>
    <w:p>
      <w:pPr>
        <w:autoSpaceDE w:val="0"/>
        <w:autoSpaceDN w:val="0"/>
        <w:adjustRightInd w:val="0"/>
        <w:jc w:val="center"/>
        <w:rPr>
          <w:b/>
          <w:color w:val="000000"/>
          <w:sz w:val="22"/>
          <w:szCs w:val="22"/>
        </w:rPr>
      </w:pPr>
      <w:r>
        <w:rPr>
          <w:b/>
          <w:color w:val="000000"/>
          <w:sz w:val="22"/>
          <w:szCs w:val="22"/>
        </w:rPr>
        <w:t>Biost 515: Biostatistics II</w:t>
      </w:r>
    </w:p>
    <w:p>
      <w:pPr>
        <w:autoSpaceDE w:val="0"/>
        <w:autoSpaceDN w:val="0"/>
        <w:adjustRightInd w:val="0"/>
        <w:jc w:val="center"/>
        <w:rPr>
          <w:color w:val="000000"/>
          <w:sz w:val="22"/>
          <w:szCs w:val="22"/>
        </w:rPr>
      </w:pPr>
      <w:r>
        <w:rPr>
          <w:color w:val="000000"/>
          <w:sz w:val="22"/>
          <w:szCs w:val="22"/>
        </w:rPr>
        <w:t>Emerson, Winter 2015</w:t>
      </w:r>
    </w:p>
    <w:p>
      <w:pPr>
        <w:autoSpaceDE w:val="0"/>
        <w:autoSpaceDN w:val="0"/>
        <w:adjustRightInd w:val="0"/>
        <w:jc w:val="center"/>
        <w:rPr>
          <w:b/>
          <w:color w:val="000000"/>
          <w:sz w:val="22"/>
          <w:szCs w:val="22"/>
        </w:rPr>
      </w:pPr>
    </w:p>
    <w:p>
      <w:pPr>
        <w:autoSpaceDE w:val="0"/>
        <w:autoSpaceDN w:val="0"/>
        <w:adjustRightInd w:val="0"/>
        <w:jc w:val="center"/>
        <w:rPr>
          <w:b/>
          <w:color w:val="000000"/>
          <w:sz w:val="22"/>
          <w:szCs w:val="22"/>
        </w:rPr>
      </w:pPr>
      <w:r>
        <w:rPr>
          <w:b/>
          <w:color w:val="000000"/>
          <w:sz w:val="22"/>
          <w:szCs w:val="22"/>
        </w:rPr>
        <w:t>Homework #4</w:t>
      </w:r>
    </w:p>
    <w:p>
      <w:pPr>
        <w:autoSpaceDE w:val="0"/>
        <w:autoSpaceDN w:val="0"/>
        <w:adjustRightInd w:val="0"/>
        <w:jc w:val="center"/>
        <w:rPr>
          <w:color w:val="000000"/>
          <w:sz w:val="22"/>
          <w:szCs w:val="22"/>
        </w:rPr>
      </w:pPr>
      <w:r>
        <w:rPr>
          <w:color w:val="000000"/>
          <w:sz w:val="22"/>
          <w:szCs w:val="22"/>
        </w:rPr>
        <w:t>February 2, 2015</w:t>
      </w:r>
    </w:p>
    <w:p>
      <w:pPr>
        <w:autoSpaceDE w:val="0"/>
        <w:autoSpaceDN w:val="0"/>
        <w:adjustRightInd w:val="0"/>
        <w:rPr>
          <w:b/>
          <w:color w:val="000000"/>
          <w:sz w:val="22"/>
          <w:szCs w:val="22"/>
        </w:rPr>
      </w:pPr>
    </w:p>
    <w:p>
      <w:pPr>
        <w:autoSpaceDE w:val="0"/>
        <w:autoSpaceDN w:val="0"/>
        <w:adjustRightInd w:val="0"/>
        <w:rPr>
          <w:b/>
          <w:bCs/>
          <w:i/>
          <w:iCs/>
          <w:color w:val="000000"/>
          <w:sz w:val="22"/>
          <w:szCs w:val="22"/>
        </w:rPr>
      </w:pPr>
      <w:r>
        <w:rPr>
          <w:b/>
          <w:color w:val="000000"/>
          <w:sz w:val="22"/>
          <w:szCs w:val="22"/>
          <w:u w:val="single"/>
        </w:rPr>
        <w:t>Written problems:</w:t>
      </w:r>
      <w:r>
        <w:rPr>
          <w:color w:val="000000"/>
          <w:sz w:val="22"/>
          <w:szCs w:val="22"/>
        </w:rPr>
        <w:t xml:space="preserve"> To be submitted as a MS-Word compatible file to the class Catalyst dropbox by 9:30 am on Monday, </w:t>
      </w:r>
      <w:r>
        <w:rPr>
          <w:b/>
          <w:bCs/>
          <w:color w:val="0000FF"/>
          <w:sz w:val="22"/>
          <w:szCs w:val="22"/>
        </w:rPr>
        <w:t>February 9</w:t>
      </w:r>
      <w:r>
        <w:rPr>
          <w:color w:val="000000"/>
          <w:sz w:val="22"/>
          <w:szCs w:val="22"/>
        </w:rPr>
        <w:t xml:space="preserve">, 2014. See the instructions for peer grading of the homework that are posted on the web pages. </w:t>
      </w:r>
    </w:p>
    <w:p>
      <w:pPr>
        <w:autoSpaceDE w:val="0"/>
        <w:autoSpaceDN w:val="0"/>
        <w:adjustRightInd w:val="0"/>
        <w:rPr>
          <w:sz w:val="22"/>
          <w:szCs w:val="22"/>
        </w:rPr>
      </w:pPr>
      <w:r>
        <w:rPr>
          <w:color w:val="000000"/>
          <w:sz w:val="22"/>
          <w:szCs w:val="22"/>
        </w:rPr>
        <w:t xml:space="preserve">This homework investigates associations between death from any cause and age, sex, and serum bilirubin in a population of patients with primary biliary cirrhosis who were enrolled in a randomized clinical trial (RCT) of D-penicillamine. </w:t>
      </w:r>
      <w:r>
        <w:rPr>
          <w:sz w:val="22"/>
          <w:szCs w:val="22"/>
        </w:rPr>
        <w:t xml:space="preserve">The data can be found on the class web page (follow the link to Datasets) in the file labeled liver.txt. Documentation is in the file liver.doc. </w:t>
      </w:r>
    </w:p>
    <w:p>
      <w:pPr>
        <w:autoSpaceDE w:val="0"/>
        <w:autoSpaceDN w:val="0"/>
        <w:adjustRightInd w:val="0"/>
        <w:rPr>
          <w:sz w:val="22"/>
          <w:szCs w:val="22"/>
        </w:rPr>
      </w:pPr>
    </w:p>
    <w:p>
      <w:pPr>
        <w:numPr>
          <w:ilvl w:val="0"/>
          <w:numId w:val="1"/>
        </w:numPr>
        <w:autoSpaceDE w:val="0"/>
        <w:autoSpaceDN w:val="0"/>
        <w:adjustRightInd w:val="0"/>
        <w:spacing w:after="120"/>
        <w:rPr>
          <w:color w:val="969696"/>
          <w:sz w:val="22"/>
          <w:szCs w:val="22"/>
        </w:rPr>
      </w:pPr>
      <w:r>
        <w:rPr>
          <w:color w:val="969696"/>
          <w:sz w:val="22"/>
          <w:szCs w:val="22"/>
        </w:rPr>
        <w:t>Provide suitable descriptive statistics pertinent to the scientific questions addressed in this homework.</w:t>
      </w:r>
    </w:p>
    <w:p>
      <w:pPr>
        <w:numPr>
          <w:numId w:val="0"/>
        </w:numPr>
        <w:autoSpaceDE w:val="0"/>
        <w:autoSpaceDN w:val="0"/>
        <w:adjustRightInd w:val="0"/>
        <w:spacing w:after="120"/>
        <w:ind w:left="360" w:leftChars="0"/>
        <w:rPr>
          <w:rFonts w:hint="eastAsia" w:eastAsia="SimSun"/>
          <w:b/>
          <w:bCs/>
          <w:sz w:val="22"/>
          <w:szCs w:val="22"/>
          <w:lang w:val="en-US" w:eastAsia="zh-CN"/>
        </w:rPr>
      </w:pPr>
      <w:r>
        <w:rPr>
          <w:rFonts w:hint="eastAsia" w:eastAsia="SimSun"/>
          <w:b/>
          <w:bCs/>
          <w:sz w:val="22"/>
          <w:szCs w:val="22"/>
          <w:lang w:val="en-US" w:eastAsia="zh-CN"/>
        </w:rPr>
        <w:t>Answer:</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eastAsia="SimSun"/>
          <w:b/>
          <w:bCs/>
          <w:sz w:val="22"/>
          <w:szCs w:val="22"/>
          <w:u w:val="single" w:color="auto"/>
          <w:lang w:val="en-US" w:eastAsia="zh-CN"/>
        </w:rPr>
        <w:t>Methods:</w:t>
      </w:r>
      <w:r>
        <w:rPr>
          <w:rFonts w:hint="eastAsia" w:eastAsia="SimSun"/>
          <w:sz w:val="22"/>
          <w:szCs w:val="22"/>
          <w:lang w:val="en-US" w:eastAsia="zh-CN"/>
        </w:rPr>
        <w:t xml:space="preserve"> The scientific question here is to investigate the associations between death from any cause and age, sex and serum bilirubin among patients with primary cirrhosis in an RCT. Death from any cause is our outcome, we treat death as our event(outcome) of interest,  represented by two variables: Obstime-observation time (days) and Status-survival status(0=censored). Thus only 5 variables were used here to address this scientific question: namely age bili obstime sex status. And due to the fact that this is a RCT, this study design prevents potential confounders ( measured or unmeasured) at baseline(right after randomization). Age, sex and serum bilirubin may be potential effect modifier or precision variable to the associations of each other  and the outcome, depending on which variable is our main predictor of interest.  Also because this is an RCT among patients with primary biliary cirrhosis, I think serum bilirubin should be our main predictor of interest based on our knowledge that serum bilirubin level is more evidently and biologically an indicator of liver function. Then, age and sex are potential effect modifiers or precision variables to the association between serum bilirubin and death.</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eastAsia="SimSun"/>
          <w:sz w:val="22"/>
          <w:szCs w:val="22"/>
          <w:lang w:val="en-US" w:eastAsia="zh-CN"/>
        </w:rPr>
        <w:t xml:space="preserve">First, to have a basic idea of data, for continuous variables( age, serum bilirubin and observation time) , mean, SD, min, max were presented. And for binary variables(sex, survival status), percentages were used. </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eastAsia="SimSun"/>
          <w:sz w:val="22"/>
          <w:szCs w:val="22"/>
          <w:lang w:val="en-US" w:eastAsia="zh-CN"/>
        </w:rPr>
        <w:t>To describe the association between serum bilirubin and survival , scatterplots are of no scientific meaning here to describe censored data as we have here. So we choose KM curves across strata to do this job. But first we need to categorize the continuous variable-serum bilirubin. Based on prior experience , a constant difference in serum bilirubin would not indicate the same increase in risks for our outcome(death), I would expect a multiplicative effect on the risk of death from serum bilirubin level. So, I  stratified serum bilirubin levels with intervals for a 5 fold of serum bilirubin. I generated a new variable called biliCAT5a, for serum bilirubin level [0.3-1.5)mg/dl, biliCAT5a=1, for serum bilirubin level [1.5-7.5)mg/dl, biliCAT5a=2,for serum bilirubin level [7.5-28]mg/dl, biliCAT5a=3.</w:t>
      </w:r>
    </w:p>
    <w:p>
      <w:pPr>
        <w:numPr>
          <w:numId w:val="0"/>
        </w:numPr>
        <w:autoSpaceDE w:val="0"/>
        <w:autoSpaceDN w:val="0"/>
        <w:adjustRightInd w:val="0"/>
        <w:spacing w:after="120"/>
        <w:ind w:left="360" w:leftChars="0"/>
        <w:rPr>
          <w:rFonts w:hint="eastAsia"/>
          <w:szCs w:val="18"/>
          <w:lang w:val="en-US" w:eastAsia="zh-CN"/>
        </w:rPr>
      </w:pPr>
      <w:r>
        <w:rPr>
          <w:rFonts w:hint="eastAsia" w:eastAsia="SimSun"/>
          <w:b/>
          <w:bCs/>
          <w:sz w:val="22"/>
          <w:szCs w:val="22"/>
          <w:u w:val="single" w:color="auto"/>
          <w:lang w:val="en-US" w:eastAsia="zh-CN"/>
        </w:rPr>
        <w:t>Results:</w:t>
      </w:r>
      <w:r>
        <w:rPr>
          <w:rFonts w:hint="eastAsia" w:eastAsia="SimSun"/>
          <w:sz w:val="22"/>
          <w:szCs w:val="22"/>
          <w:lang w:val="en-US" w:eastAsia="zh-CN"/>
        </w:rPr>
        <w:t xml:space="preserve"> </w:t>
      </w:r>
      <w:r>
        <w:rPr>
          <w:rFonts w:hint="eastAsia" w:eastAsia="SimSun"/>
          <w:color w:val="000000"/>
          <w:sz w:val="22"/>
          <w:szCs w:val="22"/>
          <w:lang w:val="en-US" w:eastAsia="zh-CN"/>
        </w:rPr>
        <w:t>Descriptive statistics were shown in Table 1. Data is available on 418 participants</w:t>
      </w:r>
      <w:r>
        <w:rPr>
          <w:rFonts w:hint="default" w:eastAsia="SimSun"/>
          <w:color w:val="000000"/>
          <w:sz w:val="22"/>
          <w:szCs w:val="22"/>
          <w:lang w:val="en-US" w:eastAsia="zh-CN"/>
        </w:rPr>
        <w:t>’</w:t>
      </w:r>
      <w:r>
        <w:rPr>
          <w:rFonts w:hint="eastAsia" w:eastAsia="SimSun"/>
          <w:color w:val="000000"/>
          <w:sz w:val="22"/>
          <w:szCs w:val="22"/>
          <w:lang w:val="en-US" w:eastAsia="zh-CN"/>
        </w:rPr>
        <w:t xml:space="preserve"> age, serum bilirubin level , survival status and observation time. Only 312 out of 418 participants had information on sex. The mean observation time was 1918 days, with the minimum of 41 days and the maximum of 4795 days. The mean serum bilirubin level among our participants was 3.22</w:t>
      </w:r>
      <w:r>
        <w:rPr>
          <w:szCs w:val="18"/>
          <w:lang w:eastAsia="zh-CN"/>
        </w:rPr>
        <w:t>(mg/dL)</w:t>
      </w:r>
      <w:r>
        <w:rPr>
          <w:rFonts w:hint="eastAsia"/>
          <w:szCs w:val="18"/>
          <w:lang w:val="en-US" w:eastAsia="zh-CN"/>
        </w:rPr>
        <w:t xml:space="preserve">, with a standard deviation of 4.41 and a range from 0.30 to 28.00 </w:t>
      </w:r>
      <w:r>
        <w:rPr>
          <w:szCs w:val="18"/>
          <w:lang w:eastAsia="zh-CN"/>
        </w:rPr>
        <w:t>(mg/dL)</w:t>
      </w:r>
      <w:r>
        <w:rPr>
          <w:rFonts w:hint="eastAsia"/>
          <w:szCs w:val="18"/>
          <w:lang w:val="en-US" w:eastAsia="zh-CN"/>
        </w:rPr>
        <w:t xml:space="preserve">. </w:t>
      </w:r>
    </w:p>
    <w:p>
      <w:pPr>
        <w:numPr>
          <w:numId w:val="0"/>
        </w:numPr>
        <w:autoSpaceDE w:val="0"/>
        <w:autoSpaceDN w:val="0"/>
        <w:adjustRightInd w:val="0"/>
        <w:spacing w:after="120"/>
        <w:ind w:left="360" w:leftChars="0"/>
        <w:rPr>
          <w:rFonts w:hint="eastAsia"/>
          <w:szCs w:val="18"/>
          <w:lang w:val="en-US" w:eastAsia="zh-CN"/>
        </w:rPr>
      </w:pPr>
      <w:r>
        <w:rPr>
          <w:rFonts w:hint="eastAsia"/>
          <w:szCs w:val="18"/>
          <w:lang w:val="en-US" w:eastAsia="zh-CN"/>
        </w:rPr>
        <w:t xml:space="preserve">From Figure1 we can see: generally patients in biliCTG51=1, which is </w:t>
      </w:r>
      <w:r>
        <w:rPr>
          <w:rFonts w:hint="eastAsia" w:eastAsia="SimSun"/>
          <w:sz w:val="22"/>
          <w:szCs w:val="22"/>
          <w:lang w:val="en-US" w:eastAsia="zh-CN"/>
        </w:rPr>
        <w:t>[0.3-1.5)mg/dl had the best survival during the entire follow-up. The KM curve of this groups stayed constantly above the other two groups</w:t>
      </w:r>
      <w:r>
        <w:rPr>
          <w:rFonts w:hint="default" w:eastAsia="SimSun"/>
          <w:sz w:val="22"/>
          <w:szCs w:val="22"/>
          <w:lang w:val="en-US" w:eastAsia="zh-CN"/>
        </w:rPr>
        <w:t>’</w:t>
      </w:r>
      <w:r>
        <w:rPr>
          <w:rFonts w:hint="eastAsia" w:eastAsia="SimSun"/>
          <w:sz w:val="22"/>
          <w:szCs w:val="22"/>
          <w:lang w:val="en-US" w:eastAsia="zh-CN"/>
        </w:rPr>
        <w:t>, and there was no overlapping. The KM curve of  patients with the serum bilirubin [1.5-7.5)mg/dl stayed in the middle, and patients with the serum bilirubin [7.5-28]mg/dl had the worst survival comparing to the other two groups. Its KM curve stayed constantly below the other two.</w:t>
      </w:r>
    </w:p>
    <w:p>
      <w:pPr>
        <w:numPr>
          <w:numId w:val="0"/>
        </w:numPr>
        <w:autoSpaceDE w:val="0"/>
        <w:autoSpaceDN w:val="0"/>
        <w:adjustRightInd w:val="0"/>
        <w:spacing w:after="120"/>
        <w:ind w:left="360" w:leftChars="0"/>
        <w:rPr>
          <w:rFonts w:hint="eastAsia" w:eastAsia="SimSun"/>
          <w:color w:val="000000"/>
          <w:sz w:val="22"/>
          <w:szCs w:val="22"/>
          <w:lang w:val="en-US" w:eastAsia="zh-CN"/>
        </w:rPr>
      </w:pPr>
      <w:r>
        <w:rPr>
          <w:b/>
          <w:bCs/>
          <w:sz w:val="22"/>
          <w:szCs w:val="22"/>
          <w:lang w:eastAsia="zh-CN"/>
        </w:rPr>
        <w:t>Table1</w:t>
      </w:r>
      <w:r>
        <w:rPr>
          <w:sz w:val="22"/>
          <w:szCs w:val="22"/>
          <w:lang w:eastAsia="zh-CN"/>
        </w:rPr>
        <w:t xml:space="preserve">. </w:t>
      </w:r>
      <w:r>
        <w:rPr>
          <w:rFonts w:hint="eastAsia"/>
          <w:sz w:val="22"/>
          <w:szCs w:val="22"/>
          <w:lang w:val="en-US" w:eastAsia="zh-CN"/>
        </w:rPr>
        <w:t>Descriptive</w:t>
      </w:r>
      <w:r>
        <w:rPr>
          <w:sz w:val="22"/>
          <w:szCs w:val="22"/>
          <w:lang w:eastAsia="zh-CN"/>
        </w:rPr>
        <w:t xml:space="preserve"> statistics of </w:t>
      </w:r>
      <w:r>
        <w:rPr>
          <w:rFonts w:hint="eastAsia"/>
          <w:sz w:val="22"/>
          <w:szCs w:val="22"/>
          <w:lang w:val="en-US" w:eastAsia="zh-CN"/>
        </w:rPr>
        <w:t>participants</w:t>
      </w:r>
      <w:r>
        <w:rPr>
          <w:rFonts w:hint="default"/>
          <w:sz w:val="22"/>
          <w:szCs w:val="22"/>
          <w:lang w:val="en-US" w:eastAsia="zh-CN"/>
        </w:rPr>
        <w:t>’</w:t>
      </w:r>
      <w:r>
        <w:rPr>
          <w:rFonts w:hint="eastAsia"/>
          <w:sz w:val="22"/>
          <w:szCs w:val="22"/>
          <w:lang w:val="en-US" w:eastAsia="zh-CN"/>
        </w:rPr>
        <w:t xml:space="preserve"> age, sex, serum bilirubin and survival</w:t>
      </w:r>
    </w:p>
    <w:tbl>
      <w:tblPr>
        <w:tblStyle w:val="9"/>
        <w:tblW w:w="9799"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6"/>
        <w:gridCol w:w="1377"/>
        <w:gridCol w:w="1635"/>
        <w:gridCol w:w="876"/>
        <w:gridCol w:w="672"/>
        <w:gridCol w:w="1212"/>
        <w:gridCol w:w="1093"/>
        <w:gridCol w:w="174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jc w:val="center"/>
        </w:trPr>
        <w:tc>
          <w:tcPr>
            <w:tcW w:w="1186" w:type="dxa"/>
            <w:vMerge w:val="restart"/>
            <w:tcBorders>
              <w:tl2br w:val="nil"/>
              <w:tr2bl w:val="nil"/>
            </w:tcBorders>
            <w:vAlign w:val="top"/>
          </w:tcPr>
          <w:p>
            <w:pPr>
              <w:autoSpaceDE w:val="0"/>
              <w:autoSpaceDN w:val="0"/>
              <w:adjustRightInd w:val="0"/>
              <w:spacing w:after="120"/>
              <w:rPr>
                <w:szCs w:val="18"/>
                <w:lang w:eastAsia="zh-CN"/>
              </w:rPr>
            </w:pPr>
          </w:p>
        </w:tc>
        <w:tc>
          <w:tcPr>
            <w:tcW w:w="1377" w:type="dxa"/>
            <w:vMerge w:val="restart"/>
            <w:tcBorders>
              <w:tl2br w:val="nil"/>
              <w:tr2bl w:val="nil"/>
            </w:tcBorders>
            <w:vAlign w:val="top"/>
          </w:tcPr>
          <w:p>
            <w:pPr>
              <w:autoSpaceDE w:val="0"/>
              <w:autoSpaceDN w:val="0"/>
              <w:adjustRightInd w:val="0"/>
              <w:spacing w:after="120"/>
              <w:rPr>
                <w:szCs w:val="18"/>
                <w:lang w:eastAsia="zh-CN"/>
              </w:rPr>
            </w:pPr>
            <w:r>
              <w:rPr>
                <w:szCs w:val="18"/>
                <w:lang w:eastAsia="zh-CN"/>
              </w:rPr>
              <w:t xml:space="preserve">Age </w:t>
            </w:r>
          </w:p>
          <w:p>
            <w:pPr>
              <w:autoSpaceDE w:val="0"/>
              <w:autoSpaceDN w:val="0"/>
              <w:adjustRightInd w:val="0"/>
              <w:spacing w:after="120"/>
              <w:rPr>
                <w:szCs w:val="18"/>
                <w:lang w:eastAsia="zh-CN"/>
              </w:rPr>
            </w:pPr>
            <w:r>
              <w:rPr>
                <w:szCs w:val="18"/>
                <w:lang w:eastAsia="zh-CN"/>
              </w:rPr>
              <w:t>(years)</w:t>
            </w:r>
            <w:r>
              <w:rPr>
                <w:szCs w:val="18"/>
                <w:vertAlign w:val="superscript"/>
                <w:lang w:eastAsia="zh-CN"/>
              </w:rPr>
              <w:t>1</w:t>
            </w:r>
          </w:p>
        </w:tc>
        <w:tc>
          <w:tcPr>
            <w:tcW w:w="1635" w:type="dxa"/>
            <w:vMerge w:val="restart"/>
            <w:tcBorders>
              <w:tl2br w:val="nil"/>
              <w:tr2bl w:val="nil"/>
            </w:tcBorders>
            <w:vAlign w:val="top"/>
          </w:tcPr>
          <w:p>
            <w:pPr>
              <w:autoSpaceDE w:val="0"/>
              <w:autoSpaceDN w:val="0"/>
              <w:adjustRightInd w:val="0"/>
              <w:spacing w:after="120"/>
              <w:rPr>
                <w:szCs w:val="18"/>
                <w:lang w:eastAsia="zh-CN"/>
              </w:rPr>
            </w:pPr>
            <w:r>
              <w:rPr>
                <w:szCs w:val="18"/>
                <w:lang w:eastAsia="zh-CN"/>
              </w:rPr>
              <w:t xml:space="preserve">Serum Bilirubin </w:t>
            </w:r>
          </w:p>
          <w:p>
            <w:pPr>
              <w:autoSpaceDE w:val="0"/>
              <w:autoSpaceDN w:val="0"/>
              <w:adjustRightInd w:val="0"/>
              <w:spacing w:after="120"/>
              <w:rPr>
                <w:szCs w:val="18"/>
                <w:lang w:eastAsia="zh-CN"/>
              </w:rPr>
            </w:pPr>
            <w:r>
              <w:rPr>
                <w:szCs w:val="18"/>
                <w:lang w:eastAsia="zh-CN"/>
              </w:rPr>
              <w:t>(mg/dL)</w:t>
            </w:r>
            <w:r>
              <w:rPr>
                <w:szCs w:val="18"/>
                <w:vertAlign w:val="superscript"/>
                <w:lang w:eastAsia="zh-CN"/>
              </w:rPr>
              <w:t xml:space="preserve"> 1</w:t>
            </w:r>
          </w:p>
        </w:tc>
        <w:tc>
          <w:tcPr>
            <w:tcW w:w="1548" w:type="dxa"/>
            <w:gridSpan w:val="2"/>
            <w:tcBorders>
              <w:bottom w:val="single" w:color="auto" w:sz="4" w:space="0"/>
              <w:tl2br w:val="nil"/>
              <w:tr2bl w:val="nil"/>
            </w:tcBorders>
            <w:vAlign w:val="top"/>
          </w:tcPr>
          <w:p>
            <w:pPr>
              <w:autoSpaceDE w:val="0"/>
              <w:autoSpaceDN w:val="0"/>
              <w:adjustRightInd w:val="0"/>
              <w:spacing w:after="120"/>
              <w:jc w:val="center"/>
              <w:rPr>
                <w:rFonts w:hint="eastAsia"/>
                <w:szCs w:val="18"/>
                <w:lang w:val="en-US" w:eastAsia="zh-CN"/>
              </w:rPr>
            </w:pPr>
            <w:r>
              <w:rPr>
                <w:rFonts w:hint="eastAsia"/>
                <w:szCs w:val="18"/>
                <w:lang w:val="en-US" w:eastAsia="zh-CN"/>
              </w:rPr>
              <w:t>Sex</w:t>
            </w:r>
            <w:r>
              <w:rPr>
                <w:rFonts w:hint="eastAsia"/>
                <w:szCs w:val="18"/>
                <w:vertAlign w:val="superscript"/>
                <w:lang w:val="en-US" w:eastAsia="zh-CN"/>
              </w:rPr>
              <w:t>2</w:t>
            </w:r>
          </w:p>
        </w:tc>
        <w:tc>
          <w:tcPr>
            <w:tcW w:w="1212" w:type="dxa"/>
            <w:vMerge w:val="restart"/>
            <w:tcBorders>
              <w:tl2br w:val="nil"/>
              <w:tr2bl w:val="nil"/>
            </w:tcBorders>
            <w:vAlign w:val="top"/>
          </w:tcPr>
          <w:p>
            <w:pPr>
              <w:autoSpaceDE w:val="0"/>
              <w:autoSpaceDN w:val="0"/>
              <w:adjustRightInd w:val="0"/>
              <w:spacing w:after="120"/>
              <w:rPr>
                <w:szCs w:val="18"/>
                <w:lang w:eastAsia="zh-CN"/>
              </w:rPr>
            </w:pPr>
            <w:r>
              <w:rPr>
                <w:rFonts w:hint="eastAsia"/>
                <w:szCs w:val="18"/>
                <w:lang w:val="en-US" w:eastAsia="zh-CN"/>
              </w:rPr>
              <w:t>Unc</w:t>
            </w:r>
            <w:r>
              <w:rPr>
                <w:szCs w:val="18"/>
                <w:lang w:eastAsia="zh-CN"/>
              </w:rPr>
              <w:t xml:space="preserve">ensored </w:t>
            </w:r>
          </w:p>
          <w:p>
            <w:pPr>
              <w:autoSpaceDE w:val="0"/>
              <w:autoSpaceDN w:val="0"/>
              <w:adjustRightInd w:val="0"/>
              <w:spacing w:after="120"/>
              <w:rPr>
                <w:szCs w:val="18"/>
                <w:lang w:eastAsia="zh-CN"/>
              </w:rPr>
            </w:pPr>
            <w:r>
              <w:rPr>
                <w:szCs w:val="18"/>
                <w:lang w:eastAsia="zh-CN"/>
              </w:rPr>
              <w:t>(%)</w:t>
            </w:r>
          </w:p>
        </w:tc>
        <w:tc>
          <w:tcPr>
            <w:tcW w:w="1093" w:type="dxa"/>
            <w:vMerge w:val="restart"/>
            <w:tcBorders>
              <w:tl2br w:val="nil"/>
              <w:tr2bl w:val="nil"/>
            </w:tcBorders>
            <w:vAlign w:val="top"/>
          </w:tcPr>
          <w:p>
            <w:pPr>
              <w:autoSpaceDE w:val="0"/>
              <w:autoSpaceDN w:val="0"/>
              <w:adjustRightInd w:val="0"/>
              <w:spacing w:after="120"/>
              <w:rPr>
                <w:rFonts w:hint="eastAsia"/>
                <w:szCs w:val="18"/>
                <w:lang w:val="en-US" w:eastAsia="zh-CN"/>
              </w:rPr>
            </w:pPr>
            <w:r>
              <w:rPr>
                <w:rFonts w:hint="eastAsia"/>
                <w:szCs w:val="18"/>
                <w:lang w:val="en-US" w:eastAsia="zh-CN"/>
              </w:rPr>
              <w:t>Censored</w:t>
            </w:r>
          </w:p>
          <w:p>
            <w:pPr>
              <w:autoSpaceDE w:val="0"/>
              <w:autoSpaceDN w:val="0"/>
              <w:adjustRightInd w:val="0"/>
              <w:spacing w:after="120"/>
              <w:rPr>
                <w:rFonts w:hint="eastAsia"/>
                <w:szCs w:val="18"/>
                <w:lang w:val="en-US" w:eastAsia="zh-CN"/>
              </w:rPr>
            </w:pPr>
            <w:r>
              <w:rPr>
                <w:szCs w:val="18"/>
                <w:lang w:eastAsia="zh-CN"/>
              </w:rPr>
              <w:t>(%)</w:t>
            </w:r>
          </w:p>
        </w:tc>
        <w:tc>
          <w:tcPr>
            <w:tcW w:w="1748" w:type="dxa"/>
            <w:vMerge w:val="restart"/>
            <w:tcBorders>
              <w:tl2br w:val="nil"/>
              <w:tr2bl w:val="nil"/>
            </w:tcBorders>
            <w:vAlign w:val="top"/>
          </w:tcPr>
          <w:p>
            <w:pPr>
              <w:autoSpaceDE w:val="0"/>
              <w:autoSpaceDN w:val="0"/>
              <w:adjustRightInd w:val="0"/>
              <w:spacing w:after="120"/>
              <w:rPr>
                <w:szCs w:val="18"/>
                <w:lang w:eastAsia="zh-CN"/>
              </w:rPr>
            </w:pPr>
            <w:r>
              <w:rPr>
                <w:szCs w:val="18"/>
                <w:lang w:eastAsia="zh-CN"/>
              </w:rPr>
              <w:t>Observation time</w:t>
            </w:r>
          </w:p>
          <w:p>
            <w:pPr>
              <w:autoSpaceDE w:val="0"/>
              <w:autoSpaceDN w:val="0"/>
              <w:adjustRightInd w:val="0"/>
              <w:spacing w:after="120"/>
              <w:rPr>
                <w:szCs w:val="18"/>
                <w:lang w:eastAsia="zh-CN"/>
              </w:rPr>
            </w:pPr>
            <w:r>
              <w:rPr>
                <w:szCs w:val="18"/>
                <w:lang w:eastAsia="zh-CN"/>
              </w:rPr>
              <w:t xml:space="preserve"> (</w:t>
            </w:r>
            <w:r>
              <w:rPr>
                <w:rFonts w:hint="eastAsia"/>
                <w:szCs w:val="18"/>
                <w:lang w:val="en-US" w:eastAsia="zh-CN"/>
              </w:rPr>
              <w:t>days</w:t>
            </w:r>
            <w:r>
              <w:rPr>
                <w:szCs w:val="18"/>
                <w:lang w:eastAsia="zh-CN"/>
              </w:rPr>
              <w:t>)</w:t>
            </w:r>
            <w:r>
              <w:rPr>
                <w:szCs w:val="18"/>
                <w:vertAlign w:val="superscript"/>
                <w:lang w:eastAsia="zh-CN"/>
              </w:rPr>
              <w:t>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jc w:val="center"/>
        </w:trPr>
        <w:tc>
          <w:tcPr>
            <w:tcW w:w="1186" w:type="dxa"/>
            <w:vMerge w:val="continue"/>
            <w:tcBorders>
              <w:tl2br w:val="nil"/>
              <w:tr2bl w:val="nil"/>
            </w:tcBorders>
            <w:vAlign w:val="top"/>
          </w:tcPr>
          <w:p>
            <w:pPr>
              <w:autoSpaceDE w:val="0"/>
              <w:autoSpaceDN w:val="0"/>
              <w:adjustRightInd w:val="0"/>
              <w:spacing w:after="120"/>
            </w:pPr>
          </w:p>
        </w:tc>
        <w:tc>
          <w:tcPr>
            <w:tcW w:w="1377" w:type="dxa"/>
            <w:vMerge w:val="continue"/>
            <w:tcBorders>
              <w:tl2br w:val="nil"/>
              <w:tr2bl w:val="nil"/>
            </w:tcBorders>
            <w:vAlign w:val="top"/>
          </w:tcPr>
          <w:p>
            <w:pPr>
              <w:autoSpaceDE w:val="0"/>
              <w:autoSpaceDN w:val="0"/>
              <w:adjustRightInd w:val="0"/>
              <w:spacing w:after="120"/>
            </w:pPr>
          </w:p>
        </w:tc>
        <w:tc>
          <w:tcPr>
            <w:tcW w:w="1635" w:type="dxa"/>
            <w:vMerge w:val="continue"/>
            <w:tcBorders>
              <w:tl2br w:val="nil"/>
              <w:tr2bl w:val="nil"/>
            </w:tcBorders>
            <w:vAlign w:val="top"/>
          </w:tcPr>
          <w:p>
            <w:pPr>
              <w:autoSpaceDE w:val="0"/>
              <w:autoSpaceDN w:val="0"/>
              <w:adjustRightInd w:val="0"/>
              <w:spacing w:after="120"/>
            </w:pPr>
          </w:p>
        </w:tc>
        <w:tc>
          <w:tcPr>
            <w:tcW w:w="876" w:type="dxa"/>
            <w:tcBorders>
              <w:top w:val="single" w:color="auto" w:sz="4" w:space="0"/>
              <w:tl2br w:val="none" w:color="auto" w:sz="0" w:space="0"/>
              <w:tr2bl w:val="none" w:color="auto" w:sz="0" w:space="0"/>
            </w:tcBorders>
            <w:vAlign w:val="top"/>
          </w:tcPr>
          <w:p>
            <w:pPr>
              <w:autoSpaceDE w:val="0"/>
              <w:autoSpaceDN w:val="0"/>
              <w:adjustRightInd w:val="0"/>
              <w:spacing w:after="120"/>
              <w:rPr>
                <w:szCs w:val="18"/>
                <w:lang w:eastAsia="zh-CN"/>
              </w:rPr>
            </w:pPr>
            <w:r>
              <w:rPr>
                <w:rFonts w:hint="eastAsia"/>
                <w:szCs w:val="18"/>
                <w:lang w:val="en-US" w:eastAsia="zh-CN"/>
              </w:rPr>
              <w:t>Fem</w:t>
            </w:r>
            <w:r>
              <w:rPr>
                <w:szCs w:val="18"/>
                <w:lang w:eastAsia="zh-CN"/>
              </w:rPr>
              <w:t xml:space="preserve">ale </w:t>
            </w:r>
          </w:p>
          <w:p>
            <w:pPr>
              <w:autoSpaceDE w:val="0"/>
              <w:autoSpaceDN w:val="0"/>
              <w:adjustRightInd w:val="0"/>
              <w:spacing w:after="120"/>
              <w:rPr>
                <w:szCs w:val="18"/>
                <w:lang w:eastAsia="zh-CN"/>
              </w:rPr>
            </w:pPr>
            <w:r>
              <w:rPr>
                <w:szCs w:val="18"/>
                <w:lang w:eastAsia="zh-CN"/>
              </w:rPr>
              <w:t>(%)</w:t>
            </w:r>
          </w:p>
        </w:tc>
        <w:tc>
          <w:tcPr>
            <w:tcW w:w="672" w:type="dxa"/>
            <w:tcBorders>
              <w:top w:val="single" w:color="auto" w:sz="4" w:space="0"/>
              <w:tl2br w:val="none" w:color="auto" w:sz="0" w:space="0"/>
              <w:tr2bl w:val="none" w:color="auto" w:sz="0" w:space="0"/>
            </w:tcBorders>
            <w:vAlign w:val="top"/>
          </w:tcPr>
          <w:p>
            <w:pPr>
              <w:autoSpaceDE w:val="0"/>
              <w:autoSpaceDN w:val="0"/>
              <w:adjustRightInd w:val="0"/>
              <w:spacing w:after="120"/>
              <w:rPr>
                <w:rFonts w:hint="eastAsia"/>
                <w:szCs w:val="18"/>
                <w:lang w:val="en-US" w:eastAsia="zh-CN"/>
              </w:rPr>
            </w:pPr>
            <w:r>
              <w:rPr>
                <w:rFonts w:hint="eastAsia"/>
                <w:szCs w:val="18"/>
                <w:lang w:val="en-US" w:eastAsia="zh-CN"/>
              </w:rPr>
              <w:t>Male</w:t>
            </w:r>
          </w:p>
          <w:p>
            <w:pPr>
              <w:autoSpaceDE w:val="0"/>
              <w:autoSpaceDN w:val="0"/>
              <w:adjustRightInd w:val="0"/>
              <w:spacing w:after="120"/>
              <w:rPr>
                <w:szCs w:val="18"/>
                <w:lang w:eastAsia="zh-CN"/>
              </w:rPr>
            </w:pPr>
            <w:r>
              <w:rPr>
                <w:szCs w:val="18"/>
                <w:lang w:eastAsia="zh-CN"/>
              </w:rPr>
              <w:t>(%)</w:t>
            </w:r>
          </w:p>
        </w:tc>
        <w:tc>
          <w:tcPr>
            <w:tcW w:w="1212" w:type="dxa"/>
            <w:vMerge w:val="continue"/>
            <w:tcBorders>
              <w:tl2br w:val="nil"/>
              <w:tr2bl w:val="nil"/>
            </w:tcBorders>
            <w:vAlign w:val="top"/>
          </w:tcPr>
          <w:p>
            <w:pPr>
              <w:autoSpaceDE w:val="0"/>
              <w:autoSpaceDN w:val="0"/>
              <w:adjustRightInd w:val="0"/>
              <w:spacing w:after="120"/>
              <w:rPr>
                <w:szCs w:val="18"/>
                <w:lang w:eastAsia="zh-CN"/>
              </w:rPr>
            </w:pPr>
          </w:p>
        </w:tc>
        <w:tc>
          <w:tcPr>
            <w:tcW w:w="1093" w:type="dxa"/>
            <w:vMerge w:val="continue"/>
            <w:tcBorders>
              <w:tl2br w:val="nil"/>
              <w:tr2bl w:val="nil"/>
            </w:tcBorders>
            <w:vAlign w:val="top"/>
          </w:tcPr>
          <w:p>
            <w:pPr>
              <w:autoSpaceDE w:val="0"/>
              <w:autoSpaceDN w:val="0"/>
              <w:adjustRightInd w:val="0"/>
              <w:spacing w:after="120"/>
              <w:rPr>
                <w:szCs w:val="18"/>
                <w:lang w:eastAsia="zh-CN"/>
              </w:rPr>
            </w:pPr>
          </w:p>
        </w:tc>
        <w:tc>
          <w:tcPr>
            <w:tcW w:w="1748" w:type="dxa"/>
            <w:vMerge w:val="continue"/>
            <w:tcBorders>
              <w:tl2br w:val="nil"/>
              <w:tr2bl w:val="nil"/>
            </w:tcBorders>
            <w:vAlign w:val="top"/>
          </w:tcPr>
          <w:p>
            <w:pPr>
              <w:autoSpaceDE w:val="0"/>
              <w:autoSpaceDN w:val="0"/>
              <w:adjustRightInd w:val="0"/>
              <w:spacing w:after="120"/>
              <w:rPr>
                <w:szCs w:val="18"/>
                <w:lang w:eastAsia="zh-C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186" w:type="dxa"/>
            <w:tcBorders>
              <w:tl2br w:val="nil"/>
              <w:tr2bl w:val="nil"/>
            </w:tcBorders>
            <w:vAlign w:val="top"/>
          </w:tcPr>
          <w:p>
            <w:pPr>
              <w:autoSpaceDE w:val="0"/>
              <w:autoSpaceDN w:val="0"/>
              <w:adjustRightInd w:val="0"/>
              <w:spacing w:after="120"/>
              <w:rPr>
                <w:szCs w:val="18"/>
                <w:lang w:eastAsia="zh-CN"/>
              </w:rPr>
            </w:pPr>
            <w:r>
              <w:rPr>
                <w:szCs w:val="18"/>
                <w:lang w:eastAsia="zh-CN"/>
              </w:rPr>
              <w:t>Number of Observations</w:t>
            </w:r>
          </w:p>
        </w:tc>
        <w:tc>
          <w:tcPr>
            <w:tcW w:w="1377" w:type="dxa"/>
            <w:tcBorders>
              <w:tl2br w:val="nil"/>
              <w:tr2bl w:val="nil"/>
            </w:tcBorders>
            <w:vAlign w:val="top"/>
          </w:tcPr>
          <w:p>
            <w:pPr>
              <w:autoSpaceDE w:val="0"/>
              <w:autoSpaceDN w:val="0"/>
              <w:adjustRightInd w:val="0"/>
              <w:spacing w:after="120"/>
              <w:rPr>
                <w:szCs w:val="18"/>
                <w:lang w:eastAsia="zh-CN"/>
              </w:rPr>
            </w:pPr>
            <w:r>
              <w:rPr>
                <w:szCs w:val="18"/>
                <w:lang w:eastAsia="zh-CN"/>
              </w:rPr>
              <w:t>418</w:t>
            </w:r>
          </w:p>
        </w:tc>
        <w:tc>
          <w:tcPr>
            <w:tcW w:w="1635" w:type="dxa"/>
            <w:tcBorders>
              <w:tl2br w:val="nil"/>
              <w:tr2bl w:val="nil"/>
            </w:tcBorders>
            <w:vAlign w:val="top"/>
          </w:tcPr>
          <w:p>
            <w:pPr>
              <w:autoSpaceDE w:val="0"/>
              <w:autoSpaceDN w:val="0"/>
              <w:adjustRightInd w:val="0"/>
              <w:spacing w:after="120"/>
              <w:rPr>
                <w:szCs w:val="18"/>
                <w:lang w:eastAsia="zh-CN"/>
              </w:rPr>
            </w:pPr>
            <w:r>
              <w:rPr>
                <w:szCs w:val="18"/>
                <w:lang w:eastAsia="zh-CN"/>
              </w:rPr>
              <w:t>418</w:t>
            </w:r>
          </w:p>
        </w:tc>
        <w:tc>
          <w:tcPr>
            <w:tcW w:w="876" w:type="dxa"/>
            <w:tcBorders>
              <w:tl2br w:val="nil"/>
              <w:tr2bl w:val="nil"/>
            </w:tcBorders>
            <w:vAlign w:val="top"/>
          </w:tcPr>
          <w:p>
            <w:pPr>
              <w:autoSpaceDE w:val="0"/>
              <w:autoSpaceDN w:val="0"/>
              <w:adjustRightInd w:val="0"/>
              <w:spacing w:after="120"/>
              <w:rPr>
                <w:szCs w:val="18"/>
                <w:lang w:eastAsia="zh-CN"/>
              </w:rPr>
            </w:pPr>
            <w:r>
              <w:rPr>
                <w:rFonts w:hint="eastAsia"/>
                <w:szCs w:val="18"/>
                <w:lang w:val="en-US" w:eastAsia="zh-CN"/>
              </w:rPr>
              <w:t>275</w:t>
            </w:r>
          </w:p>
        </w:tc>
        <w:tc>
          <w:tcPr>
            <w:tcW w:w="672" w:type="dxa"/>
            <w:tcBorders>
              <w:tl2br w:val="nil"/>
              <w:tr2bl w:val="nil"/>
            </w:tcBorders>
            <w:vAlign w:val="top"/>
          </w:tcPr>
          <w:p>
            <w:pPr>
              <w:autoSpaceDE w:val="0"/>
              <w:autoSpaceDN w:val="0"/>
              <w:adjustRightInd w:val="0"/>
              <w:spacing w:after="120"/>
              <w:rPr>
                <w:szCs w:val="18"/>
                <w:lang w:val="en-US" w:eastAsia="zh-CN"/>
              </w:rPr>
            </w:pPr>
            <w:r>
              <w:rPr>
                <w:rFonts w:hint="eastAsia"/>
                <w:szCs w:val="18"/>
                <w:lang w:val="en-US" w:eastAsia="zh-CN"/>
              </w:rPr>
              <w:t>37</w:t>
            </w:r>
          </w:p>
        </w:tc>
        <w:tc>
          <w:tcPr>
            <w:tcW w:w="1212" w:type="dxa"/>
            <w:tcBorders>
              <w:tl2br w:val="nil"/>
              <w:tr2bl w:val="nil"/>
            </w:tcBorders>
            <w:vAlign w:val="top"/>
          </w:tcPr>
          <w:p>
            <w:pPr>
              <w:autoSpaceDE w:val="0"/>
              <w:autoSpaceDN w:val="0"/>
              <w:adjustRightInd w:val="0"/>
              <w:spacing w:after="120"/>
              <w:rPr>
                <w:szCs w:val="18"/>
                <w:lang w:eastAsia="zh-CN"/>
              </w:rPr>
            </w:pPr>
            <w:r>
              <w:rPr>
                <w:rFonts w:hint="eastAsia"/>
                <w:szCs w:val="18"/>
                <w:lang w:val="en-US" w:eastAsia="zh-CN"/>
              </w:rPr>
              <w:t>163</w:t>
            </w:r>
          </w:p>
        </w:tc>
        <w:tc>
          <w:tcPr>
            <w:tcW w:w="1093" w:type="dxa"/>
            <w:tcBorders>
              <w:tl2br w:val="nil"/>
              <w:tr2bl w:val="nil"/>
            </w:tcBorders>
            <w:vAlign w:val="top"/>
          </w:tcPr>
          <w:p>
            <w:pPr>
              <w:autoSpaceDE w:val="0"/>
              <w:autoSpaceDN w:val="0"/>
              <w:adjustRightInd w:val="0"/>
              <w:spacing w:after="120"/>
              <w:rPr>
                <w:szCs w:val="18"/>
                <w:lang w:val="en-US" w:eastAsia="zh-CN"/>
              </w:rPr>
            </w:pPr>
            <w:r>
              <w:rPr>
                <w:rFonts w:hint="eastAsia"/>
                <w:szCs w:val="18"/>
                <w:lang w:val="en-US" w:eastAsia="zh-CN"/>
              </w:rPr>
              <w:t>254</w:t>
            </w:r>
          </w:p>
        </w:tc>
        <w:tc>
          <w:tcPr>
            <w:tcW w:w="1748" w:type="dxa"/>
            <w:tcBorders>
              <w:tl2br w:val="nil"/>
              <w:tr2bl w:val="nil"/>
            </w:tcBorders>
            <w:vAlign w:val="top"/>
          </w:tcPr>
          <w:p>
            <w:pPr>
              <w:autoSpaceDE w:val="0"/>
              <w:autoSpaceDN w:val="0"/>
              <w:adjustRightInd w:val="0"/>
              <w:spacing w:after="120"/>
              <w:rPr>
                <w:szCs w:val="18"/>
                <w:lang w:val="en-US" w:eastAsia="zh-CN"/>
              </w:rPr>
            </w:pPr>
            <w:r>
              <w:rPr>
                <w:rFonts w:hint="eastAsia"/>
                <w:szCs w:val="18"/>
                <w:lang w:val="en-US" w:eastAsia="zh-CN"/>
              </w:rPr>
              <w:t>418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186" w:type="dxa"/>
            <w:tcBorders>
              <w:tl2br w:val="nil"/>
              <w:tr2bl w:val="nil"/>
            </w:tcBorders>
            <w:vAlign w:val="top"/>
          </w:tcPr>
          <w:p>
            <w:pPr>
              <w:autoSpaceDE w:val="0"/>
              <w:autoSpaceDN w:val="0"/>
              <w:adjustRightInd w:val="0"/>
              <w:spacing w:after="120"/>
              <w:rPr>
                <w:szCs w:val="18"/>
                <w:lang w:eastAsia="zh-CN"/>
              </w:rPr>
            </w:pPr>
            <w:r>
              <w:rPr>
                <w:rFonts w:hint="eastAsia"/>
                <w:szCs w:val="18"/>
                <w:lang w:val="en-US" w:eastAsia="zh-CN"/>
              </w:rPr>
              <w:t>Descriptive</w:t>
            </w:r>
            <w:r>
              <w:rPr>
                <w:szCs w:val="18"/>
                <w:lang w:eastAsia="zh-CN"/>
              </w:rPr>
              <w:t xml:space="preserve"> Statistics</w:t>
            </w:r>
          </w:p>
        </w:tc>
        <w:tc>
          <w:tcPr>
            <w:tcW w:w="1377" w:type="dxa"/>
            <w:tcBorders>
              <w:tl2br w:val="nil"/>
              <w:tr2bl w:val="nil"/>
            </w:tcBorders>
            <w:vAlign w:val="top"/>
          </w:tcPr>
          <w:p>
            <w:pPr>
              <w:autoSpaceDE w:val="0"/>
              <w:autoSpaceDN w:val="0"/>
              <w:adjustRightInd w:val="0"/>
              <w:spacing w:after="120"/>
              <w:rPr>
                <w:szCs w:val="18"/>
                <w:lang w:eastAsia="zh-CN"/>
              </w:rPr>
            </w:pPr>
            <w:r>
              <w:rPr>
                <w:szCs w:val="18"/>
                <w:lang w:eastAsia="zh-CN"/>
              </w:rPr>
              <w:t>50.7</w:t>
            </w:r>
            <w:r>
              <w:rPr>
                <w:rFonts w:hint="eastAsia"/>
                <w:szCs w:val="18"/>
                <w:lang w:val="en-US" w:eastAsia="zh-CN"/>
              </w:rPr>
              <w:t>4</w:t>
            </w:r>
            <w:r>
              <w:rPr>
                <w:szCs w:val="18"/>
                <w:lang w:eastAsia="zh-CN"/>
              </w:rPr>
              <w:t>(10.4</w:t>
            </w:r>
            <w:r>
              <w:rPr>
                <w:rFonts w:hint="eastAsia"/>
                <w:szCs w:val="18"/>
                <w:lang w:val="en-US" w:eastAsia="zh-CN"/>
              </w:rPr>
              <w:t>5</w:t>
            </w:r>
            <w:r>
              <w:rPr>
                <w:szCs w:val="18"/>
                <w:lang w:eastAsia="zh-CN"/>
              </w:rPr>
              <w:t>;26.</w:t>
            </w:r>
            <w:r>
              <w:rPr>
                <w:rFonts w:hint="eastAsia"/>
                <w:szCs w:val="18"/>
                <w:lang w:val="en-US" w:eastAsia="zh-CN"/>
              </w:rPr>
              <w:t>28</w:t>
            </w:r>
            <w:r>
              <w:rPr>
                <w:szCs w:val="18"/>
                <w:lang w:eastAsia="zh-CN"/>
              </w:rPr>
              <w:t>-78.4</w:t>
            </w:r>
            <w:r>
              <w:rPr>
                <w:rFonts w:hint="eastAsia"/>
                <w:szCs w:val="18"/>
                <w:lang w:val="en-US" w:eastAsia="zh-CN"/>
              </w:rPr>
              <w:t>4</w:t>
            </w:r>
            <w:r>
              <w:rPr>
                <w:szCs w:val="18"/>
                <w:lang w:eastAsia="zh-CN"/>
              </w:rPr>
              <w:t>)</w:t>
            </w:r>
          </w:p>
        </w:tc>
        <w:tc>
          <w:tcPr>
            <w:tcW w:w="1635" w:type="dxa"/>
            <w:tcBorders>
              <w:tl2br w:val="nil"/>
              <w:tr2bl w:val="nil"/>
            </w:tcBorders>
            <w:vAlign w:val="top"/>
          </w:tcPr>
          <w:p>
            <w:pPr>
              <w:autoSpaceDE w:val="0"/>
              <w:autoSpaceDN w:val="0"/>
              <w:adjustRightInd w:val="0"/>
              <w:spacing w:after="120"/>
              <w:rPr>
                <w:szCs w:val="18"/>
                <w:lang w:eastAsia="zh-CN"/>
              </w:rPr>
            </w:pPr>
            <w:r>
              <w:rPr>
                <w:szCs w:val="18"/>
                <w:lang w:eastAsia="zh-CN"/>
              </w:rPr>
              <w:t>3.22(4.41;0.3</w:t>
            </w:r>
            <w:r>
              <w:rPr>
                <w:rFonts w:hint="eastAsia"/>
                <w:szCs w:val="18"/>
                <w:lang w:val="en-US" w:eastAsia="zh-CN"/>
              </w:rPr>
              <w:t>0</w:t>
            </w:r>
            <w:r>
              <w:rPr>
                <w:szCs w:val="18"/>
                <w:lang w:eastAsia="zh-CN"/>
              </w:rPr>
              <w:t>-28</w:t>
            </w:r>
            <w:r>
              <w:rPr>
                <w:rFonts w:hint="eastAsia"/>
                <w:szCs w:val="18"/>
                <w:lang w:val="en-US" w:eastAsia="zh-CN"/>
              </w:rPr>
              <w:t>.00</w:t>
            </w:r>
            <w:r>
              <w:rPr>
                <w:szCs w:val="18"/>
                <w:lang w:eastAsia="zh-CN"/>
              </w:rPr>
              <w:t>)</w:t>
            </w:r>
          </w:p>
        </w:tc>
        <w:tc>
          <w:tcPr>
            <w:tcW w:w="876" w:type="dxa"/>
            <w:tcBorders>
              <w:tl2br w:val="nil"/>
              <w:tr2bl w:val="nil"/>
            </w:tcBorders>
            <w:vAlign w:val="top"/>
          </w:tcPr>
          <w:p>
            <w:pPr>
              <w:autoSpaceDE w:val="0"/>
              <w:autoSpaceDN w:val="0"/>
              <w:adjustRightInd w:val="0"/>
              <w:spacing w:after="120"/>
              <w:rPr>
                <w:szCs w:val="18"/>
                <w:lang w:eastAsia="zh-CN"/>
              </w:rPr>
            </w:pPr>
            <w:r>
              <w:rPr>
                <w:szCs w:val="18"/>
                <w:lang w:eastAsia="zh-CN"/>
              </w:rPr>
              <w:t>88.</w:t>
            </w:r>
            <w:r>
              <w:rPr>
                <w:rFonts w:hint="eastAsia"/>
                <w:szCs w:val="18"/>
                <w:lang w:val="en-US" w:eastAsia="zh-CN"/>
              </w:rPr>
              <w:t>00</w:t>
            </w:r>
            <w:r>
              <w:rPr>
                <w:szCs w:val="18"/>
                <w:lang w:eastAsia="zh-CN"/>
              </w:rPr>
              <w:t>%</w:t>
            </w:r>
          </w:p>
        </w:tc>
        <w:tc>
          <w:tcPr>
            <w:tcW w:w="672" w:type="dxa"/>
            <w:tcBorders>
              <w:tl2br w:val="nil"/>
              <w:tr2bl w:val="nil"/>
            </w:tcBorders>
            <w:vAlign w:val="top"/>
          </w:tcPr>
          <w:p>
            <w:pPr>
              <w:autoSpaceDE w:val="0"/>
              <w:autoSpaceDN w:val="0"/>
              <w:adjustRightInd w:val="0"/>
              <w:spacing w:after="120"/>
              <w:rPr>
                <w:szCs w:val="18"/>
                <w:lang w:val="en-US" w:eastAsia="zh-CN"/>
              </w:rPr>
            </w:pPr>
            <w:r>
              <w:rPr>
                <w:rFonts w:hint="eastAsia"/>
                <w:szCs w:val="18"/>
                <w:lang w:val="en-US" w:eastAsia="zh-CN"/>
              </w:rPr>
              <w:t>22%</w:t>
            </w:r>
          </w:p>
        </w:tc>
        <w:tc>
          <w:tcPr>
            <w:tcW w:w="1212" w:type="dxa"/>
            <w:tcBorders>
              <w:tl2br w:val="nil"/>
              <w:tr2bl w:val="nil"/>
            </w:tcBorders>
            <w:vAlign w:val="top"/>
          </w:tcPr>
          <w:p>
            <w:pPr>
              <w:autoSpaceDE w:val="0"/>
              <w:autoSpaceDN w:val="0"/>
              <w:adjustRightInd w:val="0"/>
              <w:spacing w:after="120"/>
              <w:rPr>
                <w:szCs w:val="18"/>
                <w:lang w:eastAsia="zh-CN"/>
              </w:rPr>
            </w:pPr>
            <w:r>
              <w:rPr>
                <w:szCs w:val="18"/>
                <w:lang w:eastAsia="zh-CN"/>
              </w:rPr>
              <w:t>3</w:t>
            </w:r>
            <w:r>
              <w:rPr>
                <w:rFonts w:hint="eastAsia"/>
                <w:szCs w:val="18"/>
                <w:lang w:val="en-US" w:eastAsia="zh-CN"/>
              </w:rPr>
              <w:t>9.00</w:t>
            </w:r>
            <w:r>
              <w:rPr>
                <w:szCs w:val="18"/>
                <w:lang w:eastAsia="zh-CN"/>
              </w:rPr>
              <w:t>%</w:t>
            </w:r>
          </w:p>
        </w:tc>
        <w:tc>
          <w:tcPr>
            <w:tcW w:w="1093" w:type="dxa"/>
            <w:tcBorders>
              <w:tl2br w:val="nil"/>
              <w:tr2bl w:val="nil"/>
            </w:tcBorders>
            <w:vAlign w:val="top"/>
          </w:tcPr>
          <w:p>
            <w:pPr>
              <w:autoSpaceDE w:val="0"/>
              <w:autoSpaceDN w:val="0"/>
              <w:adjustRightInd w:val="0"/>
              <w:spacing w:after="120"/>
              <w:rPr>
                <w:szCs w:val="18"/>
                <w:lang w:val="en-US" w:eastAsia="zh-CN"/>
              </w:rPr>
            </w:pPr>
            <w:r>
              <w:rPr>
                <w:rFonts w:hint="eastAsia"/>
                <w:szCs w:val="18"/>
                <w:lang w:val="en-US" w:eastAsia="zh-CN"/>
              </w:rPr>
              <w:t>61%</w:t>
            </w:r>
          </w:p>
        </w:tc>
        <w:tc>
          <w:tcPr>
            <w:tcW w:w="1748" w:type="dxa"/>
            <w:tcBorders>
              <w:tl2br w:val="nil"/>
              <w:tr2bl w:val="nil"/>
            </w:tcBorders>
            <w:vAlign w:val="top"/>
          </w:tcPr>
          <w:p>
            <w:pPr>
              <w:autoSpaceDE w:val="0"/>
              <w:autoSpaceDN w:val="0"/>
              <w:adjustRightInd w:val="0"/>
              <w:spacing w:after="120"/>
              <w:rPr>
                <w:szCs w:val="18"/>
                <w:lang w:eastAsia="zh-CN"/>
              </w:rPr>
            </w:pPr>
            <w:r>
              <w:rPr>
                <w:rFonts w:hint="eastAsia"/>
                <w:szCs w:val="18"/>
                <w:lang w:val="en-US" w:eastAsia="zh-CN"/>
              </w:rPr>
              <w:t>1918(1105</w:t>
            </w:r>
            <w:r>
              <w:rPr>
                <w:szCs w:val="18"/>
                <w:lang w:eastAsia="zh-CN"/>
              </w:rPr>
              <w:t>;</w:t>
            </w:r>
            <w:r>
              <w:rPr>
                <w:rFonts w:hint="eastAsia"/>
                <w:szCs w:val="18"/>
                <w:lang w:val="en-US" w:eastAsia="zh-CN"/>
              </w:rPr>
              <w:t>41.00-4795)</w:t>
            </w:r>
          </w:p>
        </w:tc>
      </w:tr>
    </w:tbl>
    <w:p>
      <w:pPr>
        <w:autoSpaceDE w:val="0"/>
        <w:autoSpaceDN w:val="0"/>
        <w:adjustRightInd w:val="0"/>
        <w:spacing w:after="120"/>
        <w:rPr>
          <w:rFonts w:hint="eastAsia" w:ascii="Arial" w:hAnsi="Arial" w:eastAsia="SimSun" w:cs="Arial"/>
          <w:b/>
          <w:bCs/>
          <w:i w:val="0"/>
          <w:color w:val="000000"/>
          <w:kern w:val="0"/>
          <w:sz w:val="24"/>
          <w:szCs w:val="24"/>
          <w:u w:val="none"/>
          <w:vertAlign w:val="superscript"/>
          <w:lang w:val="en-US" w:eastAsia="zh-CN" w:bidi="ar-SA"/>
        </w:rPr>
      </w:pPr>
      <w:r>
        <w:rPr>
          <w:sz w:val="22"/>
          <w:szCs w:val="22"/>
          <w:vertAlign w:val="superscript"/>
          <w:lang w:eastAsia="zh-CN"/>
        </w:rPr>
        <w:t>1</w:t>
      </w:r>
      <w:r>
        <w:rPr>
          <w:sz w:val="22"/>
          <w:szCs w:val="22"/>
          <w:lang w:eastAsia="zh-CN"/>
        </w:rPr>
        <w:t xml:space="preserve"> </w:t>
      </w:r>
      <w:r>
        <w:rPr>
          <w:rFonts w:hint="eastAsia" w:ascii="Arial" w:hAnsi="Arial" w:eastAsia="SimSun" w:cs="Arial"/>
          <w:b/>
          <w:bCs/>
          <w:i w:val="0"/>
          <w:color w:val="000000"/>
          <w:kern w:val="0"/>
          <w:sz w:val="24"/>
          <w:szCs w:val="24"/>
          <w:u w:val="none"/>
          <w:vertAlign w:val="superscript"/>
          <w:lang w:val="en-US" w:eastAsia="zh-CN" w:bidi="ar-SA"/>
        </w:rPr>
        <w:t>Descriptive statistics: mean(standard deviation;minimum-maximum)</w:t>
      </w:r>
    </w:p>
    <w:p>
      <w:pPr>
        <w:autoSpaceDE w:val="0"/>
        <w:autoSpaceDN w:val="0"/>
        <w:adjustRightInd w:val="0"/>
        <w:spacing w:after="120"/>
        <w:rPr>
          <w:rFonts w:hint="eastAsia" w:ascii="Arial" w:hAnsi="Arial" w:eastAsia="SimSun" w:cs="Arial"/>
          <w:b/>
          <w:bCs/>
          <w:i w:val="0"/>
          <w:color w:val="000000"/>
          <w:kern w:val="0"/>
          <w:sz w:val="24"/>
          <w:szCs w:val="24"/>
          <w:u w:val="none"/>
          <w:vertAlign w:val="superscript"/>
          <w:lang w:val="en-US" w:eastAsia="zh-CN" w:bidi="ar-SA"/>
        </w:rPr>
      </w:pPr>
      <w:r>
        <w:rPr>
          <w:sz w:val="22"/>
          <w:szCs w:val="22"/>
          <w:vertAlign w:val="superscript"/>
          <w:lang w:eastAsia="zh-CN"/>
        </w:rPr>
        <w:t>2</w:t>
      </w:r>
      <w:r>
        <w:rPr>
          <w:sz w:val="22"/>
          <w:szCs w:val="22"/>
          <w:lang w:eastAsia="zh-CN"/>
        </w:rPr>
        <w:t xml:space="preserve"> </w:t>
      </w:r>
      <w:r>
        <w:rPr>
          <w:rFonts w:hint="eastAsia" w:ascii="Arial" w:hAnsi="Arial" w:eastAsia="SimSun" w:cs="Arial"/>
          <w:b/>
          <w:bCs/>
          <w:i w:val="0"/>
          <w:color w:val="000000"/>
          <w:kern w:val="0"/>
          <w:sz w:val="24"/>
          <w:szCs w:val="24"/>
          <w:u w:val="none"/>
          <w:vertAlign w:val="superscript"/>
          <w:lang w:val="en-US" w:eastAsia="zh-CN" w:bidi="ar-SA"/>
        </w:rPr>
        <w:t>106 participants having missing values for sex</w:t>
      </w:r>
    </w:p>
    <w:p>
      <w:pPr>
        <w:autoSpaceDE w:val="0"/>
        <w:autoSpaceDN w:val="0"/>
        <w:adjustRightInd w:val="0"/>
        <w:spacing w:after="120"/>
        <w:jc w:val="both"/>
        <w:rPr>
          <w:rFonts w:hint="eastAsia" w:ascii="Arial" w:hAnsi="Arial" w:eastAsia="SimSun" w:cs="Arial"/>
          <w:b/>
          <w:bCs/>
          <w:i w:val="0"/>
          <w:color w:val="000000"/>
          <w:kern w:val="0"/>
          <w:sz w:val="24"/>
          <w:szCs w:val="24"/>
          <w:u w:val="none"/>
          <w:vertAlign w:val="superscript"/>
          <w:lang w:val="en-US" w:eastAsia="zh-CN" w:bidi="ar-SA"/>
        </w:rPr>
      </w:pPr>
      <w:r>
        <w:rPr>
          <w:rFonts w:hint="eastAsia"/>
          <w:sz w:val="22"/>
          <w:szCs w:val="22"/>
          <w:lang w:val="en-US" w:eastAsia="zh-CN"/>
        </w:rPr>
        <w:t xml:space="preserve">       </w:t>
      </w:r>
      <w:r>
        <w:rPr>
          <w:rFonts w:hint="eastAsia"/>
          <w:b/>
          <w:bCs/>
          <w:sz w:val="22"/>
          <w:szCs w:val="22"/>
          <w:lang w:eastAsia="zh-CN"/>
        </w:rPr>
        <w:t>Figure1</w:t>
      </w:r>
      <w:r>
        <w:rPr>
          <w:rFonts w:hint="eastAsia"/>
          <w:sz w:val="22"/>
          <w:szCs w:val="22"/>
          <w:lang w:eastAsia="zh-CN"/>
        </w:rPr>
        <w:t>. Kaplan-Meier curve for strat</w:t>
      </w:r>
      <w:r>
        <w:rPr>
          <w:rFonts w:hint="eastAsia"/>
          <w:sz w:val="22"/>
          <w:szCs w:val="22"/>
          <w:lang w:val="en-US" w:eastAsia="zh-CN"/>
        </w:rPr>
        <w:t>a</w:t>
      </w:r>
      <w:r>
        <w:rPr>
          <w:rFonts w:hint="eastAsia"/>
          <w:sz w:val="22"/>
          <w:szCs w:val="22"/>
          <w:lang w:eastAsia="zh-CN"/>
        </w:rPr>
        <w:t xml:space="preserve"> defined by serum bilirubin </w:t>
      </w:r>
      <w:r>
        <w:rPr>
          <w:rFonts w:hint="eastAsia"/>
          <w:sz w:val="22"/>
          <w:szCs w:val="22"/>
          <w:lang w:val="en-US" w:eastAsia="zh-CN"/>
        </w:rPr>
        <w:t>levels</w:t>
      </w:r>
      <w:r>
        <w:rPr>
          <w:rFonts w:hint="eastAsia"/>
          <w:sz w:val="22"/>
          <w:szCs w:val="22"/>
          <w:vertAlign w:val="superscript"/>
          <w:lang w:val="en-US" w:eastAsia="zh-CN"/>
        </w:rPr>
        <w:t>1</w:t>
      </w:r>
    </w:p>
    <w:p>
      <w:pPr>
        <w:numPr>
          <w:numId w:val="0"/>
        </w:numPr>
        <w:autoSpaceDE w:val="0"/>
        <w:autoSpaceDN w:val="0"/>
        <w:adjustRightInd w:val="0"/>
        <w:spacing w:after="120"/>
        <w:ind w:left="360" w:leftChars="0"/>
      </w:pPr>
      <w:r>
        <w:rPr>
          <w:lang w:val="en-US" w:eastAsia="en-US" w:bidi="ar-SA"/>
        </w:rPr>
        <w:pict>
          <v:shape id="图片 1" o:spid="_x0000_s1026" type="#_x0000_t75" style="height:294.9pt;width:402.8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autoSpaceDE w:val="0"/>
        <w:autoSpaceDN w:val="0"/>
        <w:adjustRightInd w:val="0"/>
        <w:spacing w:after="120"/>
        <w:rPr>
          <w:rFonts w:hint="eastAsia"/>
          <w:sz w:val="22"/>
          <w:szCs w:val="22"/>
          <w:lang w:val="en-US" w:eastAsia="zh-CN"/>
        </w:rPr>
      </w:pPr>
      <w:r>
        <w:rPr>
          <w:rFonts w:hint="eastAsia"/>
          <w:sz w:val="22"/>
          <w:szCs w:val="22"/>
          <w:vertAlign w:val="superscript"/>
          <w:lang w:val="en-US" w:eastAsia="zh-CN"/>
        </w:rPr>
        <w:t>1</w:t>
      </w:r>
      <w:r>
        <w:rPr>
          <w:rFonts w:hint="eastAsia"/>
          <w:b/>
          <w:bCs/>
          <w:sz w:val="18"/>
          <w:szCs w:val="18"/>
          <w:lang w:val="en-US" w:eastAsia="zh-CN"/>
        </w:rPr>
        <w:t>For serum bilirubin level [0.3-1.5)mg/dl, biliCAT5a=1, for serum bilirubin level [1.5-7.5)mg/dl, biliCAT5a=2,for serum bilirubin level [7.5-28]mg/dl, biliCAT5a=3</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eastAsia="SimSun"/>
          <w:sz w:val="22"/>
          <w:szCs w:val="22"/>
          <w:lang w:val="en-US" w:eastAsia="zh-CN"/>
        </w:rPr>
        <w:t>I also calculated the estimates of surviving probability at specific times(here I chose 365</w:t>
      </w:r>
      <w:r>
        <w:rPr>
          <w:rFonts w:hint="eastAsia" w:eastAsia="SimSun"/>
          <w:sz w:val="22"/>
          <w:szCs w:val="22"/>
          <w:vertAlign w:val="superscript"/>
          <w:lang w:val="en-US" w:eastAsia="zh-CN"/>
        </w:rPr>
        <w:t>th</w:t>
      </w:r>
      <w:r>
        <w:rPr>
          <w:rFonts w:hint="eastAsia" w:eastAsia="SimSun"/>
          <w:sz w:val="22"/>
          <w:szCs w:val="22"/>
          <w:lang w:val="en-US" w:eastAsia="zh-CN"/>
        </w:rPr>
        <w:t xml:space="preserve"> , 1825</w:t>
      </w:r>
      <w:r>
        <w:rPr>
          <w:rFonts w:hint="eastAsia" w:eastAsia="SimSun"/>
          <w:sz w:val="22"/>
          <w:szCs w:val="22"/>
          <w:vertAlign w:val="superscript"/>
          <w:lang w:val="en-US" w:eastAsia="zh-CN"/>
        </w:rPr>
        <w:t>th</w:t>
      </w:r>
      <w:r>
        <w:rPr>
          <w:rFonts w:hint="eastAsia" w:eastAsia="SimSun"/>
          <w:sz w:val="22"/>
          <w:szCs w:val="22"/>
          <w:lang w:val="en-US" w:eastAsia="zh-CN"/>
        </w:rPr>
        <w:t xml:space="preserve"> , 2920</w:t>
      </w:r>
      <w:r>
        <w:rPr>
          <w:rFonts w:hint="eastAsia" w:eastAsia="SimSun"/>
          <w:sz w:val="22"/>
          <w:szCs w:val="22"/>
          <w:vertAlign w:val="superscript"/>
          <w:lang w:val="en-US" w:eastAsia="zh-CN"/>
        </w:rPr>
        <w:t>th</w:t>
      </w:r>
      <w:r>
        <w:rPr>
          <w:rFonts w:hint="eastAsia" w:eastAsia="SimSun"/>
          <w:sz w:val="22"/>
          <w:szCs w:val="22"/>
          <w:lang w:val="en-US" w:eastAsia="zh-CN"/>
        </w:rPr>
        <w:t xml:space="preserve">  days, corresponding to 1</w:t>
      </w:r>
      <w:r>
        <w:rPr>
          <w:rFonts w:hint="eastAsia" w:eastAsia="SimSun"/>
          <w:sz w:val="22"/>
          <w:szCs w:val="22"/>
          <w:vertAlign w:val="superscript"/>
          <w:lang w:val="en-US" w:eastAsia="zh-CN"/>
        </w:rPr>
        <w:t>st</w:t>
      </w:r>
      <w:r>
        <w:rPr>
          <w:rFonts w:hint="eastAsia" w:eastAsia="SimSun"/>
          <w:sz w:val="22"/>
          <w:szCs w:val="22"/>
          <w:lang w:val="en-US" w:eastAsia="zh-CN"/>
        </w:rPr>
        <w:t xml:space="preserve"> , 5</w:t>
      </w:r>
      <w:r>
        <w:rPr>
          <w:rFonts w:hint="eastAsia" w:eastAsia="SimSun"/>
          <w:sz w:val="22"/>
          <w:szCs w:val="22"/>
          <w:vertAlign w:val="superscript"/>
          <w:lang w:val="en-US" w:eastAsia="zh-CN"/>
        </w:rPr>
        <w:t>th</w:t>
      </w:r>
      <w:r>
        <w:rPr>
          <w:rFonts w:hint="eastAsia" w:eastAsia="SimSun"/>
          <w:sz w:val="22"/>
          <w:szCs w:val="22"/>
          <w:lang w:val="en-US" w:eastAsia="zh-CN"/>
        </w:rPr>
        <w:t xml:space="preserve">  and 8</w:t>
      </w:r>
      <w:r>
        <w:rPr>
          <w:rFonts w:hint="eastAsia" w:eastAsia="SimSun"/>
          <w:sz w:val="22"/>
          <w:szCs w:val="22"/>
          <w:vertAlign w:val="superscript"/>
          <w:lang w:val="en-US" w:eastAsia="zh-CN"/>
        </w:rPr>
        <w:t>th</w:t>
      </w:r>
      <w:r>
        <w:rPr>
          <w:rFonts w:hint="eastAsia" w:eastAsia="SimSun"/>
          <w:sz w:val="22"/>
          <w:szCs w:val="22"/>
          <w:lang w:val="en-US" w:eastAsia="zh-CN"/>
        </w:rPr>
        <w:t xml:space="preserve">  year).  For patients with serum bilirubin level [0.3-1.5)mg/dl, the survival probabilities at these three time points were 0.98, 0.90 and 0.77 respectively. for patients with serum bilirubin level [1.5-7.5)mg/dl, the survival probabilities at these three time points were 0.85, 0.43 and 0.28 respectively.For those with serum bilirubin level [7.5-28]mg/dl, the survival probabilities at these three time points were 0.70, 0.21 and 0.08 respectively. These results agreed with the KM curves in Figure1, suggesting a better survival for patients with lower serum bilirubin levels in the follow-up time.</w:t>
      </w:r>
    </w:p>
    <w:p>
      <w:pPr>
        <w:numPr>
          <w:ilvl w:val="0"/>
          <w:numId w:val="1"/>
        </w:numPr>
        <w:autoSpaceDE w:val="0"/>
        <w:autoSpaceDN w:val="0"/>
        <w:adjustRightInd w:val="0"/>
        <w:spacing w:after="120"/>
        <w:rPr>
          <w:color w:val="969696"/>
          <w:sz w:val="22"/>
          <w:szCs w:val="22"/>
        </w:rPr>
      </w:pPr>
      <w:r>
        <w:rPr>
          <w:color w:val="969696"/>
          <w:sz w:val="22"/>
          <w:szCs w:val="22"/>
        </w:rPr>
        <w:t>In prior homeworks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eastAsia="SimSun"/>
          <w:b/>
          <w:bCs/>
          <w:sz w:val="22"/>
          <w:szCs w:val="22"/>
          <w:lang w:val="en-US" w:eastAsia="zh-CN"/>
        </w:rPr>
        <w:t>Answer:</w:t>
      </w:r>
      <w:r>
        <w:rPr>
          <w:b/>
          <w:bCs/>
          <w:sz w:val="22"/>
          <w:szCs w:val="22"/>
        </w:rPr>
        <w:t xml:space="preserve"> </w:t>
      </w:r>
      <w:r>
        <w:rPr>
          <w:rFonts w:hint="eastAsia" w:eastAsia="SimSun"/>
          <w:sz w:val="22"/>
          <w:szCs w:val="22"/>
          <w:lang w:val="en-US" w:eastAsia="zh-CN"/>
        </w:rPr>
        <w:t>Because for the Cardiovascular Health Study, the minimal observed time of censoring data is just 1480 days(a little bit more than 4 years).  Then we dichotomized the time to death according to death within 4 years of study enrollment or death after 4 years. Our outcome became a binary variable-death within 4 years or not. So we could use logistic regression to conduct the analyses relevant to our scientific question.  However, in this dataset, we are investigating the associations between death from any cause and age, sex and serum bilirubin . We are not fixed at one point of time, instead we want to comparing the survival situation across groups during the entire follow up time. Our outcome here is not a binary variable anymore.  So our scientific question doesn</w:t>
      </w:r>
      <w:r>
        <w:rPr>
          <w:rFonts w:hint="default" w:eastAsia="SimSun"/>
          <w:sz w:val="22"/>
          <w:szCs w:val="22"/>
          <w:lang w:val="en-US" w:eastAsia="zh-CN"/>
        </w:rPr>
        <w:t>’</w:t>
      </w:r>
      <w:r>
        <w:rPr>
          <w:rFonts w:hint="eastAsia" w:eastAsia="SimSun"/>
          <w:sz w:val="22"/>
          <w:szCs w:val="22"/>
          <w:lang w:val="en-US" w:eastAsia="zh-CN"/>
        </w:rPr>
        <w:t xml:space="preserve">t allow for a logistic regression.  </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eastAsia="SimSun"/>
          <w:sz w:val="22"/>
          <w:szCs w:val="22"/>
          <w:lang w:val="en-US" w:eastAsia="zh-CN"/>
        </w:rPr>
        <w:t>Even if we changed our scientific question to investigating the association between death after or before the minimum censored time and age, sex or serum bilirubin. Our minimum censored time here is 533 days, with only 36 deaths happened before 533th day. This would be too little events and would not make much scientific sense to investigate the survival of an approximately 1.46 years (533 days) follow up for a chronic disease.</w:t>
      </w:r>
    </w:p>
    <w:p>
      <w:pPr>
        <w:numPr>
          <w:ilvl w:val="0"/>
          <w:numId w:val="1"/>
        </w:numPr>
        <w:autoSpaceDE w:val="0"/>
        <w:autoSpaceDN w:val="0"/>
        <w:adjustRightInd w:val="0"/>
        <w:spacing w:after="120"/>
        <w:rPr>
          <w:color w:val="969696"/>
          <w:sz w:val="22"/>
          <w:szCs w:val="22"/>
        </w:rPr>
      </w:pPr>
      <w:r>
        <w:rPr>
          <w:color w:val="969696"/>
          <w:sz w:val="22"/>
          <w:szCs w:val="22"/>
        </w:rPr>
        <w:t xml:space="preserve">Perform a statistical regression analysis evaluating an association between serum bilirubin and all-cause mortality by comparing the instantaneous risk (hazard) of death over the entire period of observation across groups defined by serum bilirubin modeled as a continuous variable. </w:t>
      </w:r>
    </w:p>
    <w:p>
      <w:pPr>
        <w:numPr>
          <w:numId w:val="0"/>
        </w:numPr>
        <w:autoSpaceDE w:val="0"/>
        <w:autoSpaceDN w:val="0"/>
        <w:adjustRightInd w:val="0"/>
        <w:spacing w:after="120"/>
        <w:ind w:left="360" w:leftChars="0"/>
        <w:rPr>
          <w:color w:val="969696"/>
          <w:sz w:val="22"/>
          <w:szCs w:val="22"/>
        </w:rPr>
      </w:pPr>
    </w:p>
    <w:p>
      <w:pPr>
        <w:numPr>
          <w:ilvl w:val="1"/>
          <w:numId w:val="1"/>
        </w:numPr>
        <w:autoSpaceDE w:val="0"/>
        <w:autoSpaceDN w:val="0"/>
        <w:adjustRightInd w:val="0"/>
        <w:spacing w:after="120"/>
        <w:rPr>
          <w:color w:val="969696"/>
          <w:sz w:val="22"/>
          <w:szCs w:val="22"/>
        </w:rPr>
      </w:pPr>
      <w:r>
        <w:rPr>
          <w:color w:val="969696"/>
          <w:sz w:val="22"/>
          <w:szCs w:val="22"/>
        </w:rPr>
        <w:t>Include a full report of your inference about the association.</w:t>
      </w:r>
    </w:p>
    <w:p>
      <w:pPr>
        <w:numPr>
          <w:numId w:val="0"/>
        </w:numPr>
        <w:autoSpaceDE w:val="0"/>
        <w:autoSpaceDN w:val="0"/>
        <w:adjustRightInd w:val="0"/>
        <w:spacing w:after="120"/>
        <w:ind w:left="1080" w:leftChars="0"/>
        <w:rPr>
          <w:rFonts w:hint="eastAsia" w:eastAsia="SimSun"/>
          <w:b/>
          <w:bCs/>
          <w:sz w:val="22"/>
          <w:szCs w:val="22"/>
          <w:lang w:val="en-US" w:eastAsia="zh-CN"/>
        </w:rPr>
      </w:pPr>
      <w:r>
        <w:rPr>
          <w:rFonts w:hint="eastAsia" w:eastAsia="SimSun"/>
          <w:b/>
          <w:bCs/>
          <w:sz w:val="22"/>
          <w:szCs w:val="22"/>
          <w:lang w:val="en-US" w:eastAsia="zh-CN"/>
        </w:rPr>
        <w:t>Answer:</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u w:val="single" w:color="auto"/>
          <w:lang w:val="en-US" w:eastAsia="zh-CN"/>
        </w:rPr>
        <w:t>Methods:</w:t>
      </w:r>
      <w:r>
        <w:rPr>
          <w:rFonts w:hint="eastAsia" w:eastAsia="SimSun"/>
          <w:sz w:val="22"/>
          <w:szCs w:val="22"/>
          <w:lang w:val="en-US" w:eastAsia="zh-CN"/>
        </w:rPr>
        <w:t xml:space="preserve"> </w:t>
      </w:r>
      <w:r>
        <w:rPr>
          <w:rFonts w:hint="eastAsia" w:eastAsia="SimSun"/>
          <w:color w:val="000000"/>
          <w:sz w:val="22"/>
          <w:szCs w:val="22"/>
          <w:lang w:val="en-US" w:eastAsia="zh-CN"/>
        </w:rPr>
        <w:t xml:space="preserve">Participants with missing values in either </w:t>
      </w:r>
      <w:r>
        <w:rPr>
          <w:rFonts w:hint="eastAsia" w:eastAsia="SimSun"/>
          <w:sz w:val="22"/>
          <w:szCs w:val="22"/>
          <w:lang w:val="en-US" w:eastAsia="zh-CN"/>
        </w:rPr>
        <w:t>serum bilirubin , observation time or survival status</w:t>
      </w:r>
      <w:r>
        <w:rPr>
          <w:rFonts w:hint="eastAsia" w:eastAsia="SimSun"/>
          <w:color w:val="000000"/>
          <w:sz w:val="22"/>
          <w:szCs w:val="22"/>
          <w:lang w:val="en-US" w:eastAsia="zh-CN"/>
        </w:rPr>
        <w:t xml:space="preserve"> were excluded from analysis. </w:t>
      </w:r>
      <w:r>
        <w:rPr>
          <w:rFonts w:hint="eastAsia" w:eastAsia="SimSun"/>
          <w:sz w:val="22"/>
          <w:szCs w:val="22"/>
          <w:lang w:val="en-US" w:eastAsia="zh-CN"/>
        </w:rPr>
        <w:t xml:space="preserve"> Hazards of death over the entire follow up time are compared across groups defined by serum bilirubin using proportional hazards regression with Robust standard error. Serum bilirubin level is modeled as a continuous variable. Hazard ratio is summarized to evaluate the association between all-cause mortality and serum bilirubin level. Confidence interval and two-sided p value is computed using Wald statistics based on the Huber-White sandwich estimator.</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u w:val="single" w:color="auto"/>
          <w:lang w:val="en-US" w:eastAsia="zh-CN"/>
        </w:rPr>
        <w:t xml:space="preserve">Results: </w:t>
      </w:r>
      <w:r>
        <w:rPr>
          <w:rFonts w:hint="eastAsia" w:eastAsia="SimSun"/>
          <w:sz w:val="22"/>
          <w:szCs w:val="22"/>
          <w:lang w:val="en-US" w:eastAsia="zh-CN"/>
        </w:rPr>
        <w:t xml:space="preserve">418 patients had full data on serum bilirubin , observation time and survival status. From proportional hazards regression analysis, we estimate that for each 1 mg/dl unit difference in serum bilirubin , the risk of all-cause death is 15.24% higher in the group with higher serum bilirubin. This estimate is highly statistically significant (P&lt;0.001). A 95% CI suggests that this observation is not unusual if a group that has a 1 mg/dL higher bilirubin might have risk of death that was anywhere from 12.09% higher to 18.47% higher than the group with the lower serum bilirubin. </w:t>
      </w:r>
    </w:p>
    <w:p>
      <w:pPr>
        <w:numPr>
          <w:numId w:val="0"/>
        </w:numPr>
        <w:autoSpaceDE w:val="0"/>
        <w:autoSpaceDN w:val="0"/>
        <w:adjustRightInd w:val="0"/>
        <w:spacing w:after="120"/>
        <w:ind w:left="1080" w:leftChars="0"/>
        <w:rPr>
          <w:rFonts w:hint="eastAsia"/>
          <w:b/>
          <w:color w:val="969696"/>
          <w:sz w:val="22"/>
          <w:szCs w:val="22"/>
          <w:lang w:val="en-US" w:eastAsia="zh-CN"/>
        </w:rPr>
      </w:pPr>
    </w:p>
    <w:p>
      <w:pPr>
        <w:numPr>
          <w:ilvl w:val="1"/>
          <w:numId w:val="1"/>
        </w:numPr>
        <w:autoSpaceDE w:val="0"/>
        <w:autoSpaceDN w:val="0"/>
        <w:adjustRightInd w:val="0"/>
        <w:spacing w:after="120"/>
        <w:rPr>
          <w:color w:val="969696"/>
          <w:sz w:val="22"/>
          <w:szCs w:val="22"/>
        </w:rPr>
      </w:pPr>
      <w:r>
        <w:rPr>
          <w:color w:val="969696"/>
          <w:sz w:val="22"/>
          <w:szCs w:val="22"/>
        </w:rPr>
        <w:t xml:space="preserve">For each population defined by serum bilirubin value, compute the hazard ratio relative to a group having serum bilirubin of 1 mg/dL. (This will be used in problem 6). If </w:t>
      </w:r>
      <w:r>
        <w:rPr>
          <w:i/>
          <w:iCs/>
          <w:color w:val="969696"/>
          <w:sz w:val="22"/>
          <w:szCs w:val="22"/>
        </w:rPr>
        <w:t>HR</w:t>
      </w:r>
      <w:r>
        <w:rPr>
          <w:color w:val="969696"/>
          <w:sz w:val="22"/>
          <w:szCs w:val="22"/>
        </w:rPr>
        <w:t xml:space="preserve"> is the hazard ratio (use the actual hazard ratio estimate) obtained from your regression model, this can be effected by the Stata code</w:t>
      </w:r>
    </w:p>
    <w:p>
      <w:pPr>
        <w:autoSpaceDE w:val="0"/>
        <w:autoSpaceDN w:val="0"/>
        <w:adjustRightInd w:val="0"/>
        <w:spacing w:after="120"/>
        <w:ind w:left="2160"/>
        <w:rPr>
          <w:rFonts w:ascii="Courier New" w:hAnsi="Courier New" w:cs="Courier New"/>
          <w:color w:val="969696"/>
          <w:sz w:val="22"/>
          <w:szCs w:val="22"/>
        </w:rPr>
      </w:pPr>
      <w:r>
        <w:rPr>
          <w:rFonts w:ascii="Courier New" w:hAnsi="Courier New" w:cs="Courier New"/>
          <w:color w:val="969696"/>
          <w:sz w:val="22"/>
          <w:szCs w:val="22"/>
        </w:rPr>
        <w:t xml:space="preserve">gen fithrA = </w:t>
      </w:r>
      <w:r>
        <w:rPr>
          <w:rFonts w:ascii="Courier New" w:hAnsi="Courier New" w:cs="Courier New"/>
          <w:i/>
          <w:iCs/>
          <w:color w:val="969696"/>
          <w:sz w:val="22"/>
          <w:szCs w:val="22"/>
        </w:rPr>
        <w:t>HR ^ (bili</w:t>
      </w:r>
      <w:r>
        <w:rPr>
          <w:rFonts w:ascii="Courier New" w:hAnsi="Courier New" w:cs="Courier New"/>
          <w:color w:val="969696"/>
          <w:sz w:val="22"/>
          <w:szCs w:val="22"/>
        </w:rPr>
        <w:t xml:space="preserve"> – 1)</w:t>
      </w:r>
    </w:p>
    <w:p>
      <w:pPr>
        <w:autoSpaceDE w:val="0"/>
        <w:autoSpaceDN w:val="0"/>
        <w:adjustRightInd w:val="0"/>
        <w:spacing w:after="120"/>
        <w:ind w:left="1440"/>
        <w:rPr>
          <w:color w:val="969696"/>
          <w:sz w:val="22"/>
          <w:szCs w:val="22"/>
        </w:rPr>
      </w:pPr>
      <w:r>
        <w:rPr>
          <w:color w:val="969696"/>
          <w:sz w:val="22"/>
          <w:szCs w:val="22"/>
        </w:rPr>
        <w:t xml:space="preserve">It could also be computed by creating a centered bilirubin variable, and then using the Stata </w:t>
      </w:r>
      <w:r>
        <w:rPr>
          <w:rFonts w:ascii="Courier New" w:hAnsi="Courier New" w:cs="Courier New"/>
          <w:color w:val="969696"/>
          <w:sz w:val="22"/>
          <w:szCs w:val="22"/>
        </w:rPr>
        <w:t>predict</w:t>
      </w:r>
      <w:r>
        <w:rPr>
          <w:color w:val="969696"/>
          <w:sz w:val="22"/>
          <w:szCs w:val="22"/>
        </w:rPr>
        <w:t xml:space="preserve"> command</w:t>
      </w:r>
    </w:p>
    <w:p>
      <w:pPr>
        <w:autoSpaceDE w:val="0"/>
        <w:autoSpaceDN w:val="0"/>
        <w:adjustRightInd w:val="0"/>
        <w:spacing w:after="120"/>
        <w:rPr>
          <w:rFonts w:ascii="Courier New" w:hAnsi="Courier New" w:cs="Courier New"/>
          <w:color w:val="969696"/>
          <w:sz w:val="22"/>
          <w:szCs w:val="22"/>
        </w:rPr>
      </w:pPr>
      <w:r>
        <w:rPr>
          <w:color w:val="969696"/>
          <w:sz w:val="22"/>
          <w:szCs w:val="22"/>
        </w:rPr>
        <w:tab/>
      </w:r>
      <w:r>
        <w:rPr>
          <w:color w:val="969696"/>
          <w:sz w:val="22"/>
          <w:szCs w:val="22"/>
        </w:rPr>
        <w:tab/>
      </w:r>
      <w:r>
        <w:rPr>
          <w:color w:val="969696"/>
          <w:sz w:val="22"/>
          <w:szCs w:val="22"/>
        </w:rPr>
        <w:tab/>
      </w:r>
      <w:r>
        <w:rPr>
          <w:rFonts w:ascii="Courier New" w:hAnsi="Courier New" w:cs="Courier New"/>
          <w:color w:val="969696"/>
          <w:sz w:val="22"/>
          <w:szCs w:val="22"/>
        </w:rPr>
        <w:t>gen cbili = bili – 1</w:t>
      </w:r>
    </w:p>
    <w:p>
      <w:pPr>
        <w:autoSpaceDE w:val="0"/>
        <w:autoSpaceDN w:val="0"/>
        <w:adjustRightInd w:val="0"/>
        <w:spacing w:after="120"/>
        <w:ind w:left="1440" w:firstLine="720"/>
        <w:rPr>
          <w:rFonts w:ascii="Courier New" w:hAnsi="Courier New" w:cs="Courier New"/>
          <w:color w:val="969696"/>
          <w:sz w:val="22"/>
          <w:szCs w:val="22"/>
        </w:rPr>
      </w:pPr>
      <w:r>
        <w:rPr>
          <w:rFonts w:ascii="Courier New" w:hAnsi="Courier New" w:cs="Courier New"/>
          <w:color w:val="969696"/>
          <w:sz w:val="22"/>
          <w:szCs w:val="22"/>
        </w:rPr>
        <w:t>stcox cbili</w:t>
      </w:r>
    </w:p>
    <w:p>
      <w:pPr>
        <w:autoSpaceDE w:val="0"/>
        <w:autoSpaceDN w:val="0"/>
        <w:adjustRightInd w:val="0"/>
        <w:spacing w:after="120"/>
        <w:ind w:left="1440" w:firstLine="720"/>
        <w:rPr>
          <w:color w:val="969696"/>
          <w:sz w:val="22"/>
          <w:szCs w:val="22"/>
        </w:rPr>
      </w:pPr>
      <w:r>
        <w:rPr>
          <w:rFonts w:ascii="Courier New" w:hAnsi="Courier New" w:cs="Courier New"/>
          <w:color w:val="969696"/>
          <w:sz w:val="22"/>
          <w:szCs w:val="22"/>
        </w:rPr>
        <w:t xml:space="preserve">predict fithrA </w:t>
      </w:r>
      <w:r>
        <w:rPr>
          <w:color w:val="969696"/>
          <w:sz w:val="22"/>
          <w:szCs w:val="22"/>
        </w:rPr>
        <w:t xml:space="preserve"> </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lang w:val="en-US" w:eastAsia="zh-CN"/>
        </w:rPr>
        <w:t>Answer:</w:t>
      </w:r>
      <w:r>
        <w:rPr>
          <w:rFonts w:hint="eastAsia" w:eastAsia="SimSun"/>
          <w:sz w:val="22"/>
          <w:szCs w:val="22"/>
          <w:lang w:val="en-US" w:eastAsia="zh-CN"/>
        </w:rPr>
        <w:t xml:space="preserve"> See problem 6</w:t>
      </w:r>
    </w:p>
    <w:p>
      <w:pPr>
        <w:autoSpaceDE w:val="0"/>
        <w:autoSpaceDN w:val="0"/>
        <w:adjustRightInd w:val="0"/>
        <w:spacing w:after="120"/>
        <w:rPr>
          <w:rFonts w:hint="eastAsia" w:eastAsia="SimSun"/>
          <w:sz w:val="22"/>
          <w:szCs w:val="22"/>
          <w:lang w:val="en-US" w:eastAsia="zh-CN"/>
        </w:rPr>
      </w:pPr>
    </w:p>
    <w:p>
      <w:pPr>
        <w:numPr>
          <w:ilvl w:val="0"/>
          <w:numId w:val="1"/>
        </w:numPr>
        <w:autoSpaceDE w:val="0"/>
        <w:autoSpaceDN w:val="0"/>
        <w:adjustRightInd w:val="0"/>
        <w:spacing w:after="120"/>
        <w:rPr>
          <w:b/>
          <w:bCs/>
          <w:color w:val="969696"/>
          <w:sz w:val="22"/>
          <w:szCs w:val="22"/>
        </w:rPr>
      </w:pPr>
      <w:r>
        <w:rPr>
          <w:color w:val="969696"/>
          <w:sz w:val="22"/>
          <w:szCs w:val="22"/>
        </w:rPr>
        <w:t>Perform a statistical regression analysis evaluating an association between serum bilirubin and all-cause mortality by comparing the instantaneous risk (hazard) of death over the entire period of observation across groups defined by serum bilirubin modeled as a continuous</w:t>
      </w:r>
      <w:r>
        <w:rPr>
          <w:b/>
          <w:bCs/>
          <w:color w:val="969696"/>
          <w:sz w:val="22"/>
          <w:szCs w:val="22"/>
        </w:rPr>
        <w:t xml:space="preserve"> logarithmically transformed variable. </w:t>
      </w:r>
    </w:p>
    <w:p>
      <w:pPr>
        <w:numPr>
          <w:ilvl w:val="1"/>
          <w:numId w:val="1"/>
        </w:numPr>
        <w:autoSpaceDE w:val="0"/>
        <w:autoSpaceDN w:val="0"/>
        <w:adjustRightInd w:val="0"/>
        <w:spacing w:after="120"/>
        <w:rPr>
          <w:color w:val="969696"/>
          <w:sz w:val="22"/>
          <w:szCs w:val="22"/>
        </w:rPr>
      </w:pPr>
      <w:r>
        <w:rPr>
          <w:color w:val="969696"/>
          <w:sz w:val="22"/>
          <w:szCs w:val="22"/>
        </w:rPr>
        <w:t xml:space="preserve">Why might this analysis be preferred </w:t>
      </w:r>
      <w:r>
        <w:rPr>
          <w:i/>
          <w:iCs/>
          <w:color w:val="969696"/>
          <w:sz w:val="22"/>
          <w:szCs w:val="22"/>
        </w:rPr>
        <w:t>a priori?</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lang w:val="en-US" w:eastAsia="zh-CN"/>
        </w:rPr>
        <w:t>Answer:</w:t>
      </w:r>
      <w:r>
        <w:rPr>
          <w:rFonts w:hint="eastAsia" w:eastAsia="SimSun"/>
          <w:sz w:val="22"/>
          <w:szCs w:val="22"/>
          <w:lang w:val="en-US" w:eastAsia="zh-CN"/>
        </w:rPr>
        <w:t xml:space="preserve"> Based on our knowledge, a constant difference in serum bilirubin level would not be expected to confer the same increase in risk. A multiplicative effect on risk may be better, as we would expect the same increase in risk for each doubling of serum bilirubin. Thus we use log transformed serum bilirubin to fit the model. </w:t>
      </w:r>
    </w:p>
    <w:p>
      <w:pPr>
        <w:numPr>
          <w:numId w:val="0"/>
        </w:numPr>
        <w:autoSpaceDE w:val="0"/>
        <w:autoSpaceDN w:val="0"/>
        <w:adjustRightInd w:val="0"/>
        <w:spacing w:after="120"/>
        <w:ind w:left="1080" w:leftChars="0"/>
        <w:rPr>
          <w:sz w:val="22"/>
          <w:szCs w:val="22"/>
        </w:rPr>
      </w:pPr>
    </w:p>
    <w:p>
      <w:pPr>
        <w:numPr>
          <w:ilvl w:val="1"/>
          <w:numId w:val="1"/>
        </w:numPr>
        <w:autoSpaceDE w:val="0"/>
        <w:autoSpaceDN w:val="0"/>
        <w:adjustRightInd w:val="0"/>
        <w:spacing w:after="120"/>
        <w:rPr>
          <w:color w:val="969696"/>
          <w:sz w:val="22"/>
          <w:szCs w:val="22"/>
        </w:rPr>
      </w:pPr>
      <w:r>
        <w:rPr>
          <w:color w:val="969696"/>
          <w:sz w:val="22"/>
          <w:szCs w:val="22"/>
        </w:rPr>
        <w:t>Include a full report of your inference about the association.</w:t>
      </w:r>
    </w:p>
    <w:p>
      <w:pPr>
        <w:numPr>
          <w:numId w:val="0"/>
        </w:numPr>
        <w:autoSpaceDE w:val="0"/>
        <w:autoSpaceDN w:val="0"/>
        <w:adjustRightInd w:val="0"/>
        <w:spacing w:after="120"/>
        <w:ind w:left="1080" w:leftChars="0"/>
        <w:rPr>
          <w:rFonts w:hint="eastAsia" w:eastAsia="SimSun"/>
          <w:b/>
          <w:bCs/>
          <w:sz w:val="22"/>
          <w:szCs w:val="22"/>
          <w:lang w:val="en-US" w:eastAsia="zh-CN"/>
        </w:rPr>
      </w:pPr>
      <w:r>
        <w:rPr>
          <w:rFonts w:hint="eastAsia" w:eastAsia="SimSun"/>
          <w:b/>
          <w:bCs/>
          <w:sz w:val="22"/>
          <w:szCs w:val="22"/>
          <w:lang w:val="en-US" w:eastAsia="zh-CN"/>
        </w:rPr>
        <w:t>Answer:</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u w:val="single" w:color="auto"/>
          <w:lang w:val="en-US" w:eastAsia="zh-CN"/>
        </w:rPr>
        <w:t>Methods:</w:t>
      </w:r>
      <w:r>
        <w:rPr>
          <w:rFonts w:hint="eastAsia" w:eastAsia="SimSun"/>
          <w:sz w:val="22"/>
          <w:szCs w:val="22"/>
          <w:lang w:val="en-US" w:eastAsia="zh-CN"/>
        </w:rPr>
        <w:t xml:space="preserve"> </w:t>
      </w:r>
      <w:r>
        <w:rPr>
          <w:rFonts w:hint="eastAsia" w:eastAsia="SimSun"/>
          <w:color w:val="000000"/>
          <w:sz w:val="22"/>
          <w:szCs w:val="22"/>
          <w:lang w:val="en-US" w:eastAsia="zh-CN"/>
        </w:rPr>
        <w:t xml:space="preserve">Participants with missing values in either </w:t>
      </w:r>
      <w:r>
        <w:rPr>
          <w:rFonts w:hint="eastAsia" w:eastAsia="SimSun"/>
          <w:sz w:val="22"/>
          <w:szCs w:val="22"/>
          <w:lang w:val="en-US" w:eastAsia="zh-CN"/>
        </w:rPr>
        <w:t>serum bilirubin , observation time or survival status</w:t>
      </w:r>
      <w:r>
        <w:rPr>
          <w:rFonts w:hint="eastAsia" w:eastAsia="SimSun"/>
          <w:color w:val="000000"/>
          <w:sz w:val="22"/>
          <w:szCs w:val="22"/>
          <w:lang w:val="en-US" w:eastAsia="zh-CN"/>
        </w:rPr>
        <w:t xml:space="preserve"> were excluded from analysis. </w:t>
      </w:r>
      <w:r>
        <w:rPr>
          <w:rFonts w:hint="eastAsia" w:eastAsia="SimSun"/>
          <w:sz w:val="22"/>
          <w:szCs w:val="22"/>
          <w:lang w:val="en-US" w:eastAsia="zh-CN"/>
        </w:rPr>
        <w:t xml:space="preserve"> Hazards of death over the entire follow up time are compared across groups defined by log transformed (base=2) serum bilirubin using proportional hazards regression with Robust standard error. Log transformed (base=2) serum bilirubin level is modeled as a continuous variable. Hazard ratio is summarized to evaluate the association between all-cause mortality and serum bilirubin level. Confidence interval and two-sided p value is computed using Wald statistics based on the Huber-White sandwich estimator.</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u w:val="single" w:color="auto"/>
          <w:lang w:val="en-US" w:eastAsia="zh-CN"/>
        </w:rPr>
        <w:t xml:space="preserve">Results: </w:t>
      </w:r>
      <w:r>
        <w:rPr>
          <w:rFonts w:hint="eastAsia" w:eastAsia="SimSun"/>
          <w:sz w:val="22"/>
          <w:szCs w:val="22"/>
          <w:lang w:val="en-US" w:eastAsia="zh-CN"/>
        </w:rPr>
        <w:t xml:space="preserve">418 patients had full data on serum bilirubin , observation time and survival status. From proportional hazards regression analysis, we estimate that for each doubling in serum bilirubin , the risk of all-cause death is 98.45% higher in the group with higher serum bilirubin. This estimate is highly statistically significant (P&lt;0.001). A 95% CI suggests that this observation is not unusual if a group that has a serum bilirubin twice as high as another might have risk of all cause death that was anywhere from 1.78  to 2.21 times as high as  the group with the lower serum bilirubin. </w:t>
      </w:r>
    </w:p>
    <w:p>
      <w:pPr>
        <w:numPr>
          <w:numId w:val="0"/>
        </w:numPr>
        <w:autoSpaceDE w:val="0"/>
        <w:autoSpaceDN w:val="0"/>
        <w:adjustRightInd w:val="0"/>
        <w:spacing w:after="120"/>
        <w:ind w:left="1080" w:leftChars="0"/>
        <w:rPr>
          <w:sz w:val="22"/>
          <w:szCs w:val="22"/>
        </w:rPr>
      </w:pPr>
    </w:p>
    <w:p>
      <w:pPr>
        <w:numPr>
          <w:ilvl w:val="1"/>
          <w:numId w:val="1"/>
        </w:numPr>
        <w:autoSpaceDE w:val="0"/>
        <w:autoSpaceDN w:val="0"/>
        <w:adjustRightInd w:val="0"/>
        <w:spacing w:after="120"/>
        <w:rPr>
          <w:color w:val="969696"/>
          <w:sz w:val="22"/>
          <w:szCs w:val="22"/>
        </w:rPr>
      </w:pPr>
      <w:r>
        <w:rPr>
          <w:color w:val="969696"/>
          <w:sz w:val="22"/>
          <w:szCs w:val="22"/>
        </w:rPr>
        <w:t xml:space="preserve">For each population defined by serum bilirubin value, compute the hazard ratio relative to a group having serum LDL of 1 mg/dL. (This will be used in problem 6). If </w:t>
      </w:r>
      <w:r>
        <w:rPr>
          <w:i/>
          <w:iCs/>
          <w:color w:val="969696"/>
          <w:sz w:val="22"/>
          <w:szCs w:val="22"/>
        </w:rPr>
        <w:t>HR</w:t>
      </w:r>
      <w:r>
        <w:rPr>
          <w:color w:val="969696"/>
          <w:sz w:val="22"/>
          <w:szCs w:val="22"/>
        </w:rPr>
        <w:t xml:space="preserve"> is the hazard ratio (use the actual hazard ratio estimate) obtained from your regression model, this can be effected by the Stata code </w:t>
      </w:r>
    </w:p>
    <w:p>
      <w:pPr>
        <w:autoSpaceDE w:val="0"/>
        <w:autoSpaceDN w:val="0"/>
        <w:adjustRightInd w:val="0"/>
        <w:spacing w:after="120"/>
        <w:ind w:left="2160"/>
        <w:rPr>
          <w:rFonts w:ascii="Courier New" w:hAnsi="Courier New" w:cs="Courier New"/>
          <w:color w:val="969696"/>
          <w:sz w:val="22"/>
          <w:szCs w:val="22"/>
          <w:lang/>
        </w:rPr>
      </w:pPr>
      <w:r>
        <w:rPr>
          <w:rFonts w:ascii="Courier New" w:hAnsi="Courier New" w:cs="Courier New"/>
          <w:color w:val="969696"/>
          <w:sz w:val="22"/>
          <w:szCs w:val="22"/>
          <w:lang/>
        </w:rPr>
        <w:t>gen logbili = log(bili)</w:t>
      </w:r>
    </w:p>
    <w:p>
      <w:pPr>
        <w:autoSpaceDE w:val="0"/>
        <w:autoSpaceDN w:val="0"/>
        <w:adjustRightInd w:val="0"/>
        <w:spacing w:after="120"/>
        <w:ind w:left="2160"/>
        <w:rPr>
          <w:rFonts w:ascii="Courier New" w:hAnsi="Courier New" w:cs="Courier New"/>
          <w:color w:val="969696"/>
          <w:sz w:val="22"/>
          <w:szCs w:val="22"/>
          <w:lang/>
        </w:rPr>
      </w:pPr>
      <w:r>
        <w:rPr>
          <w:rFonts w:ascii="Courier New" w:hAnsi="Courier New" w:cs="Courier New"/>
          <w:color w:val="969696"/>
          <w:sz w:val="22"/>
          <w:szCs w:val="22"/>
          <w:lang/>
        </w:rPr>
        <w:t>stcox logbili</w:t>
      </w:r>
    </w:p>
    <w:p>
      <w:pPr>
        <w:autoSpaceDE w:val="0"/>
        <w:autoSpaceDN w:val="0"/>
        <w:adjustRightInd w:val="0"/>
        <w:spacing w:after="120"/>
        <w:ind w:left="2160"/>
        <w:rPr>
          <w:rFonts w:ascii="Courier New" w:hAnsi="Courier New" w:cs="Courier New"/>
          <w:color w:val="969696"/>
          <w:sz w:val="22"/>
          <w:szCs w:val="22"/>
        </w:rPr>
      </w:pPr>
      <w:r>
        <w:rPr>
          <w:rFonts w:ascii="Courier New" w:hAnsi="Courier New" w:cs="Courier New"/>
          <w:color w:val="969696"/>
          <w:sz w:val="22"/>
          <w:szCs w:val="22"/>
        </w:rPr>
        <w:t xml:space="preserve">fithrB = </w:t>
      </w:r>
      <w:r>
        <w:rPr>
          <w:rFonts w:ascii="Courier New" w:hAnsi="Courier New" w:cs="Courier New"/>
          <w:i/>
          <w:iCs/>
          <w:color w:val="969696"/>
          <w:sz w:val="22"/>
          <w:szCs w:val="22"/>
        </w:rPr>
        <w:t>HR ^ (logbili</w:t>
      </w:r>
      <w:r>
        <w:rPr>
          <w:rFonts w:ascii="Courier New" w:hAnsi="Courier New" w:cs="Courier New"/>
          <w:color w:val="969696"/>
          <w:sz w:val="22"/>
          <w:szCs w:val="22"/>
        </w:rPr>
        <w:t>)</w:t>
      </w:r>
    </w:p>
    <w:p>
      <w:pPr>
        <w:autoSpaceDE w:val="0"/>
        <w:autoSpaceDN w:val="0"/>
        <w:adjustRightInd w:val="0"/>
        <w:spacing w:after="120"/>
        <w:ind w:left="1440"/>
        <w:rPr>
          <w:color w:val="969696"/>
          <w:sz w:val="22"/>
          <w:szCs w:val="22"/>
        </w:rPr>
      </w:pPr>
      <w:r>
        <w:rPr>
          <w:color w:val="969696"/>
          <w:sz w:val="22"/>
          <w:szCs w:val="22"/>
        </w:rPr>
        <w:t>(Note that the log(1) = 0 when using any base, so there is no need to rescale by the bilirubin values. Note also that you might want to use a different base in your logarithmic transformation in order to facilitate more natural reporting of effects.)</w:t>
      </w:r>
      <w:r>
        <w:rPr>
          <w:rFonts w:ascii="Courier New" w:hAnsi="Courier New" w:cs="Courier New"/>
          <w:color w:val="969696"/>
          <w:sz w:val="22"/>
          <w:szCs w:val="22"/>
        </w:rPr>
        <w:t xml:space="preserve"> </w:t>
      </w:r>
      <w:r>
        <w:rPr>
          <w:color w:val="969696"/>
          <w:sz w:val="22"/>
          <w:szCs w:val="22"/>
        </w:rPr>
        <w:t xml:space="preserve"> </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lang w:val="en-US" w:eastAsia="zh-CN"/>
        </w:rPr>
        <w:t>Answer:</w:t>
      </w:r>
      <w:r>
        <w:rPr>
          <w:rFonts w:hint="eastAsia" w:eastAsia="SimSun"/>
          <w:sz w:val="22"/>
          <w:szCs w:val="22"/>
          <w:lang w:val="en-US" w:eastAsia="zh-CN"/>
        </w:rPr>
        <w:t xml:space="preserve"> See problem 6</w:t>
      </w:r>
    </w:p>
    <w:p>
      <w:pPr>
        <w:autoSpaceDE w:val="0"/>
        <w:autoSpaceDN w:val="0"/>
        <w:adjustRightInd w:val="0"/>
        <w:spacing w:after="120"/>
        <w:ind w:left="1440"/>
        <w:rPr>
          <w:sz w:val="22"/>
          <w:szCs w:val="22"/>
        </w:rPr>
      </w:pPr>
    </w:p>
    <w:p>
      <w:pPr>
        <w:numPr>
          <w:ilvl w:val="0"/>
          <w:numId w:val="1"/>
        </w:numPr>
        <w:autoSpaceDE w:val="0"/>
        <w:autoSpaceDN w:val="0"/>
        <w:adjustRightInd w:val="0"/>
        <w:spacing w:after="120"/>
        <w:rPr>
          <w:color w:val="969696"/>
          <w:sz w:val="22"/>
          <w:szCs w:val="22"/>
        </w:rPr>
      </w:pPr>
      <w:r>
        <w:rPr>
          <w:color w:val="969696"/>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color w:val="969696"/>
          <w:sz w:val="22"/>
          <w:szCs w:val="22"/>
        </w:rPr>
        <w:t xml:space="preserve">a priori </w:t>
      </w:r>
      <w:r>
        <w:rPr>
          <w:color w:val="969696"/>
          <w:sz w:val="22"/>
          <w:szCs w:val="22"/>
        </w:rPr>
        <w:t xml:space="preserve">interest in the log bilirubin might drive us to the specified analysis.) </w:t>
      </w:r>
    </w:p>
    <w:p>
      <w:pPr>
        <w:numPr>
          <w:ilvl w:val="1"/>
          <w:numId w:val="1"/>
        </w:numPr>
        <w:autoSpaceDE w:val="0"/>
        <w:autoSpaceDN w:val="0"/>
        <w:adjustRightInd w:val="0"/>
        <w:spacing w:after="120"/>
        <w:rPr>
          <w:color w:val="969696"/>
          <w:sz w:val="22"/>
          <w:szCs w:val="22"/>
        </w:rPr>
      </w:pPr>
      <w:r>
        <w:rPr>
          <w:color w:val="969696"/>
          <w:sz w:val="22"/>
          <w:szCs w:val="22"/>
        </w:rPr>
        <w:t>Provide full inference related to the question of whether the association is linear.</w:t>
      </w:r>
    </w:p>
    <w:p>
      <w:pPr>
        <w:numPr>
          <w:numId w:val="0"/>
        </w:numPr>
        <w:autoSpaceDE w:val="0"/>
        <w:autoSpaceDN w:val="0"/>
        <w:adjustRightInd w:val="0"/>
        <w:spacing w:after="120"/>
        <w:ind w:left="1080" w:leftChars="0"/>
        <w:rPr>
          <w:rFonts w:hint="eastAsia" w:eastAsia="SimSun"/>
          <w:b/>
          <w:bCs/>
          <w:sz w:val="22"/>
          <w:szCs w:val="22"/>
          <w:lang w:val="en-US" w:eastAsia="zh-CN"/>
        </w:rPr>
      </w:pPr>
      <w:r>
        <w:rPr>
          <w:rFonts w:hint="eastAsia" w:eastAsia="SimSun"/>
          <w:b/>
          <w:bCs/>
          <w:sz w:val="22"/>
          <w:szCs w:val="22"/>
          <w:lang w:val="en-US" w:eastAsia="zh-CN"/>
        </w:rPr>
        <w:t>Answer:</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u w:val="single" w:color="auto"/>
          <w:lang w:val="en-US" w:eastAsia="zh-CN"/>
        </w:rPr>
        <w:t>Methods:</w:t>
      </w:r>
      <w:r>
        <w:rPr>
          <w:rFonts w:hint="eastAsia" w:eastAsia="SimSun"/>
          <w:sz w:val="22"/>
          <w:szCs w:val="22"/>
          <w:lang w:val="en-US" w:eastAsia="zh-CN"/>
        </w:rPr>
        <w:t xml:space="preserve"> </w:t>
      </w:r>
      <w:r>
        <w:rPr>
          <w:rFonts w:hint="eastAsia" w:eastAsia="SimSun"/>
          <w:color w:val="000000"/>
          <w:sz w:val="22"/>
          <w:szCs w:val="22"/>
          <w:lang w:val="en-US" w:eastAsia="zh-CN"/>
        </w:rPr>
        <w:t xml:space="preserve">Participants with missing values in either </w:t>
      </w:r>
      <w:r>
        <w:rPr>
          <w:rFonts w:hint="eastAsia" w:eastAsia="SimSun"/>
          <w:sz w:val="22"/>
          <w:szCs w:val="22"/>
          <w:lang w:val="en-US" w:eastAsia="zh-CN"/>
        </w:rPr>
        <w:t>serum bilirubin , observation time or survival status</w:t>
      </w:r>
      <w:r>
        <w:rPr>
          <w:rFonts w:hint="eastAsia" w:eastAsia="SimSun"/>
          <w:color w:val="000000"/>
          <w:sz w:val="22"/>
          <w:szCs w:val="22"/>
          <w:lang w:val="en-US" w:eastAsia="zh-CN"/>
        </w:rPr>
        <w:t xml:space="preserve"> were excluded from analysis. </w:t>
      </w:r>
      <w:r>
        <w:rPr>
          <w:rFonts w:hint="eastAsia" w:eastAsia="SimSun"/>
          <w:sz w:val="22"/>
          <w:szCs w:val="22"/>
          <w:lang w:val="en-US" w:eastAsia="zh-CN"/>
        </w:rPr>
        <w:t xml:space="preserve"> Hazards of death over the entire follow up time are compared across groups defined by log transformed (base=2)and untransformed serum bilirubin using proportional hazards regression with Robust standard error. Log transformed (base=2) and untransformed serum bilirubin level are modeled as a continuous variables. Hazard ratio is summarized to evaluate the association between all-cause mortality and serum bilirubin level. Confidence interval and two-sided p value is computed using Wald statistics based on the Huber-White sandwich estimator.</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u w:val="single" w:color="auto"/>
          <w:lang w:val="en-US" w:eastAsia="zh-CN"/>
        </w:rPr>
        <w:t xml:space="preserve">Results: </w:t>
      </w:r>
      <w:r>
        <w:rPr>
          <w:rFonts w:hint="eastAsia" w:eastAsia="SimSun"/>
          <w:sz w:val="22"/>
          <w:szCs w:val="22"/>
          <w:lang w:val="en-US" w:eastAsia="zh-CN"/>
        </w:rPr>
        <w:t xml:space="preserve">418 patients had full data on serum bilirubin , observation time and survival status. From proportional hazards regression analysis, the point estimate for log transformed (base=2) serum bilirubin is 2.27, with a confidence interval of 1.83-2.82, and a statistically significant P value (P&lt;0.001). While the point estimate for untransformed bilirubin is 0.96, with a confidence interval of -1.45-1.01, and a statistically non-significant P value of 0.148.This suggests that by including both Log transformed (base=2) and untransformed serum bilirubin, log transformed (base=2) serum bilirubin could sufficiently capture most of the association between all-cause death and serum bilirubin, hence we can with high confidence reject the null hypothesis for the </w:t>
      </w:r>
      <w:r>
        <w:rPr>
          <w:color w:val="969696"/>
          <w:sz w:val="22"/>
          <w:szCs w:val="22"/>
        </w:rPr>
        <w:t>“</w:t>
      </w:r>
      <w:r>
        <w:rPr>
          <w:rFonts w:hint="eastAsia" w:eastAsia="SimSun"/>
          <w:sz w:val="22"/>
          <w:szCs w:val="22"/>
          <w:lang w:val="en-US" w:eastAsia="zh-CN"/>
        </w:rPr>
        <w:t>linearity” of the bilirubin association with the log hazard ratio or the association between all-cause death and serum bilirubin is adequately modeled by an untransformed continuous serum bilirubin.</w:t>
      </w:r>
    </w:p>
    <w:p>
      <w:pPr>
        <w:numPr>
          <w:ilvl w:val="1"/>
          <w:numId w:val="1"/>
        </w:numPr>
        <w:autoSpaceDE w:val="0"/>
        <w:autoSpaceDN w:val="0"/>
        <w:adjustRightInd w:val="0"/>
        <w:spacing w:after="120"/>
        <w:rPr>
          <w:color w:val="969696"/>
          <w:sz w:val="22"/>
          <w:szCs w:val="22"/>
        </w:rPr>
      </w:pPr>
      <w:r>
        <w:rPr>
          <w:color w:val="969696"/>
          <w:sz w:val="22"/>
          <w:szCs w:val="22"/>
        </w:rPr>
        <w:t>Again, save the fitted values from this model by obtaining the estimated HRs relative to a group with bilirubin of 1 mg/dl. (This will be used in problem 6.)</w:t>
      </w:r>
    </w:p>
    <w:p>
      <w:pPr>
        <w:numPr>
          <w:numId w:val="0"/>
        </w:numPr>
        <w:autoSpaceDE w:val="0"/>
        <w:autoSpaceDN w:val="0"/>
        <w:adjustRightInd w:val="0"/>
        <w:spacing w:after="120"/>
        <w:ind w:left="1080" w:leftChars="0"/>
        <w:rPr>
          <w:sz w:val="22"/>
          <w:szCs w:val="22"/>
        </w:rPr>
      </w:pPr>
      <w:r>
        <w:rPr>
          <w:rFonts w:hint="eastAsia" w:eastAsia="SimSun"/>
          <w:b/>
          <w:bCs/>
          <w:sz w:val="22"/>
          <w:szCs w:val="22"/>
          <w:lang w:val="en-US" w:eastAsia="zh-CN"/>
        </w:rPr>
        <w:t>Answer:</w:t>
      </w:r>
      <w:r>
        <w:rPr>
          <w:rFonts w:hint="eastAsia" w:eastAsia="SimSun"/>
          <w:sz w:val="22"/>
          <w:szCs w:val="22"/>
          <w:lang w:val="en-US" w:eastAsia="zh-CN"/>
        </w:rPr>
        <w:t xml:space="preserve"> See problem 6</w:t>
      </w:r>
    </w:p>
    <w:p>
      <w:pPr>
        <w:numPr>
          <w:ilvl w:val="0"/>
          <w:numId w:val="1"/>
        </w:numPr>
        <w:autoSpaceDE w:val="0"/>
        <w:autoSpaceDN w:val="0"/>
        <w:adjustRightInd w:val="0"/>
        <w:spacing w:after="120"/>
        <w:rPr>
          <w:color w:val="969696"/>
          <w:sz w:val="22"/>
          <w:szCs w:val="22"/>
        </w:rPr>
      </w:pPr>
      <w:r>
        <w:rPr>
          <w:color w:val="969696"/>
          <w:sz w:val="22"/>
          <w:szCs w:val="22"/>
        </w:rPr>
        <w:t>Display a graph with the fitted hazard ratios from problems 3 - 5. Comment on any similarities or differences of the fitted values from the three models.</w:t>
      </w:r>
    </w:p>
    <w:p>
      <w:pPr>
        <w:numPr>
          <w:numId w:val="0"/>
        </w:numPr>
        <w:autoSpaceDE w:val="0"/>
        <w:autoSpaceDN w:val="0"/>
        <w:adjustRightInd w:val="0"/>
        <w:spacing w:after="120"/>
        <w:ind w:left="360" w:leftChars="0"/>
      </w:pPr>
      <w:r>
        <w:rPr>
          <w:rFonts w:hint="eastAsia"/>
          <w:b/>
          <w:bCs/>
          <w:sz w:val="22"/>
          <w:szCs w:val="22"/>
          <w:lang w:eastAsia="zh-CN"/>
        </w:rPr>
        <w:t>Figure 2</w:t>
      </w:r>
      <w:r>
        <w:rPr>
          <w:rFonts w:hint="eastAsia"/>
          <w:sz w:val="22"/>
          <w:szCs w:val="22"/>
          <w:lang w:eastAsia="zh-CN"/>
        </w:rPr>
        <w:t xml:space="preserve">. Fitted hazard ratios from proportional regressions modeling on </w:t>
      </w:r>
      <w:r>
        <w:rPr>
          <w:rFonts w:hint="default"/>
          <w:sz w:val="22"/>
          <w:szCs w:val="22"/>
          <w:lang w:val="en-US" w:eastAsia="zh-CN"/>
        </w:rPr>
        <w:t>“</w:t>
      </w:r>
      <w:r>
        <w:rPr>
          <w:sz w:val="22"/>
          <w:szCs w:val="22"/>
          <w:lang w:eastAsia="zh-CN"/>
        </w:rPr>
        <w:t>untransformed</w:t>
      </w:r>
      <w:r>
        <w:rPr>
          <w:rFonts w:hint="eastAsia"/>
          <w:sz w:val="22"/>
          <w:szCs w:val="22"/>
          <w:lang w:eastAsia="zh-CN"/>
        </w:rPr>
        <w:t xml:space="preserve"> serum bilirubin</w:t>
      </w:r>
      <w:r>
        <w:rPr>
          <w:rFonts w:hint="default"/>
          <w:sz w:val="22"/>
          <w:szCs w:val="22"/>
          <w:lang w:val="en-US" w:eastAsia="zh-CN"/>
        </w:rPr>
        <w:t>”</w:t>
      </w:r>
      <w:r>
        <w:rPr>
          <w:rFonts w:hint="eastAsia"/>
          <w:sz w:val="22"/>
          <w:szCs w:val="22"/>
          <w:lang w:eastAsia="zh-CN"/>
        </w:rPr>
        <w:t>,</w:t>
      </w:r>
      <w:r>
        <w:rPr>
          <w:rFonts w:hint="eastAsia"/>
          <w:sz w:val="22"/>
          <w:szCs w:val="22"/>
          <w:lang w:val="en-US" w:eastAsia="zh-CN"/>
        </w:rPr>
        <w:t xml:space="preserve"> on </w:t>
      </w:r>
      <w:r>
        <w:rPr>
          <w:rFonts w:hint="default"/>
          <w:sz w:val="22"/>
          <w:szCs w:val="22"/>
          <w:lang w:val="en-US" w:eastAsia="zh-CN"/>
        </w:rPr>
        <w:t>“</w:t>
      </w:r>
      <w:r>
        <w:rPr>
          <w:rFonts w:hint="eastAsia"/>
          <w:sz w:val="22"/>
          <w:szCs w:val="22"/>
          <w:lang w:eastAsia="zh-CN"/>
        </w:rPr>
        <w:t xml:space="preserve"> log (base 2) transformed serum bilirubin</w:t>
      </w:r>
      <w:r>
        <w:rPr>
          <w:rFonts w:hint="default"/>
          <w:sz w:val="22"/>
          <w:szCs w:val="22"/>
          <w:lang w:val="en-US" w:eastAsia="zh-CN"/>
        </w:rPr>
        <w:t>”</w:t>
      </w:r>
      <w:r>
        <w:rPr>
          <w:rFonts w:hint="eastAsia"/>
          <w:sz w:val="22"/>
          <w:szCs w:val="22"/>
          <w:lang w:eastAsia="zh-CN"/>
        </w:rPr>
        <w:t xml:space="preserve"> and  on a </w:t>
      </w:r>
      <w:r>
        <w:rPr>
          <w:rFonts w:hint="eastAsia"/>
          <w:sz w:val="22"/>
          <w:szCs w:val="22"/>
          <w:lang w:val="en-US" w:eastAsia="zh-CN"/>
        </w:rPr>
        <w:t>both</w:t>
      </w:r>
      <w:r>
        <w:rPr>
          <w:rFonts w:hint="eastAsia"/>
          <w:sz w:val="22"/>
          <w:szCs w:val="22"/>
          <w:lang w:eastAsia="zh-CN"/>
        </w:rPr>
        <w:t xml:space="preserve"> </w:t>
      </w:r>
      <w:r>
        <w:rPr>
          <w:rFonts w:hint="default"/>
          <w:sz w:val="22"/>
          <w:szCs w:val="22"/>
          <w:lang w:val="en-US" w:eastAsia="zh-CN"/>
        </w:rPr>
        <w:t>“</w:t>
      </w:r>
      <w:r>
        <w:rPr>
          <w:rFonts w:hint="eastAsia"/>
          <w:sz w:val="22"/>
          <w:szCs w:val="22"/>
          <w:lang w:eastAsia="zh-CN"/>
        </w:rPr>
        <w:t>untransformed and log (base 2) transformed serum bilirubin</w:t>
      </w:r>
      <w:r>
        <w:rPr>
          <w:rFonts w:hint="default"/>
          <w:sz w:val="22"/>
          <w:szCs w:val="22"/>
          <w:lang w:val="en-US" w:eastAsia="zh-CN"/>
        </w:rPr>
        <w:t>”</w:t>
      </w:r>
      <w:r>
        <w:rPr>
          <w:rFonts w:hint="eastAsia"/>
          <w:sz w:val="22"/>
          <w:szCs w:val="22"/>
          <w:lang w:eastAsia="zh-CN"/>
        </w:rPr>
        <w:t xml:space="preserve">. </w:t>
      </w:r>
      <w:r>
        <w:rPr>
          <w:lang w:val="en-US" w:eastAsia="en-US" w:bidi="ar-SA"/>
        </w:rPr>
        <w:pict>
          <v:shape id="图片 3" o:spid="_x0000_s1027" type="#_x0000_t75" style="height:294.9pt;width:402.8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numPr>
          <w:numId w:val="0"/>
        </w:numPr>
        <w:autoSpaceDE w:val="0"/>
        <w:autoSpaceDN w:val="0"/>
        <w:adjustRightInd w:val="0"/>
        <w:spacing w:after="120"/>
        <w:ind w:left="360" w:leftChars="0"/>
        <w:rPr>
          <w:rFonts w:hint="eastAsia" w:eastAsia="SimSun"/>
          <w:b/>
          <w:bCs/>
          <w:sz w:val="22"/>
          <w:szCs w:val="22"/>
          <w:lang w:val="en-US" w:eastAsia="zh-CN"/>
        </w:rPr>
      </w:pPr>
      <w:r>
        <w:rPr>
          <w:rFonts w:hint="eastAsia" w:eastAsia="SimSun"/>
          <w:b/>
          <w:bCs/>
          <w:sz w:val="22"/>
          <w:szCs w:val="22"/>
          <w:lang w:val="en-US" w:eastAsia="zh-CN"/>
        </w:rPr>
        <w:t>Answer:</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eastAsia="SimSun"/>
          <w:sz w:val="22"/>
          <w:szCs w:val="22"/>
          <w:lang w:val="en-US" w:eastAsia="zh-CN"/>
        </w:rPr>
        <w:t>The first order trends are all upwards, indicating that the hazard ratio for all cause deaths increases on average with higher level of serum bilirubin. However, the red line (modeled on the log transformed（base 2)) has the best linear fit, it is more straighter than the other two lines. This suggests by log transforming our serum bilirubin, it adequately captured a linear trend (on average) between hazard ratio for all cause deaths and serum bilirubin. The 1</w:t>
      </w:r>
      <w:r>
        <w:rPr>
          <w:rFonts w:hint="eastAsia" w:eastAsia="SimSun"/>
          <w:sz w:val="22"/>
          <w:szCs w:val="22"/>
          <w:vertAlign w:val="superscript"/>
          <w:lang w:val="en-US" w:eastAsia="zh-CN"/>
        </w:rPr>
        <w:t>st</w:t>
      </w:r>
      <w:r>
        <w:rPr>
          <w:rFonts w:hint="eastAsia" w:eastAsia="SimSun"/>
          <w:sz w:val="22"/>
          <w:szCs w:val="22"/>
          <w:lang w:val="en-US" w:eastAsia="zh-CN"/>
        </w:rPr>
        <w:t xml:space="preserve"> line (modeled only with untransformed serum bilirubin), is the least linear one, indicating maybe untransformed serum bilirubin is not a good measurement to investigate the linear association between  hazard ratio for all cause deaths and serum bilirubin. The combination of log transformed and untransformed serum bilirubin gives us a line in the middle of the two lines discussed above in terms of linearity, giving further evidence that including untransformed serum bilirubin in the model is not a good idea. </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eastAsia="SimSun"/>
          <w:sz w:val="22"/>
          <w:szCs w:val="22"/>
          <w:lang w:val="en-US" w:eastAsia="zh-CN"/>
        </w:rPr>
        <w:t xml:space="preserve">This line in return  supports our decision in problem 4 choosing  a log transformed（base 2) serum bilirubin in the model. </w:t>
      </w:r>
    </w:p>
    <w:p>
      <w:pPr>
        <w:numPr>
          <w:numId w:val="0"/>
        </w:numPr>
        <w:autoSpaceDE w:val="0"/>
        <w:autoSpaceDN w:val="0"/>
        <w:adjustRightInd w:val="0"/>
        <w:spacing w:after="120"/>
        <w:ind w:left="360" w:leftChars="0"/>
        <w:rPr>
          <w:rFonts w:hint="eastAsia" w:eastAsia="SimSun"/>
          <w:sz w:val="22"/>
          <w:szCs w:val="22"/>
          <w:lang w:val="en-US" w:eastAsia="zh-CN"/>
        </w:rPr>
      </w:pPr>
      <w:r>
        <w:rPr>
          <w:rFonts w:hint="eastAsia" w:eastAsia="SimSun"/>
          <w:sz w:val="22"/>
          <w:szCs w:val="22"/>
          <w:lang w:val="en-US" w:eastAsia="zh-CN"/>
        </w:rPr>
        <w:t xml:space="preserve">Thus, a constant difference in serum bilirubin level would not be expected to confer the same increase in risk. A multiplicative effect on risk is better, as we would expect the same increase in risk for each doubling of serum bilirubin. Thus we use log transformed serum bilirubin to better fit the model more. </w:t>
      </w:r>
    </w:p>
    <w:p>
      <w:pPr>
        <w:numPr>
          <w:numId w:val="0"/>
        </w:numPr>
        <w:autoSpaceDE w:val="0"/>
        <w:autoSpaceDN w:val="0"/>
        <w:adjustRightInd w:val="0"/>
        <w:spacing w:after="120"/>
        <w:ind w:left="360" w:leftChars="0"/>
      </w:pPr>
    </w:p>
    <w:p>
      <w:pPr>
        <w:numPr>
          <w:ilvl w:val="0"/>
          <w:numId w:val="1"/>
        </w:numPr>
        <w:autoSpaceDE w:val="0"/>
        <w:autoSpaceDN w:val="0"/>
        <w:adjustRightInd w:val="0"/>
        <w:spacing w:after="120"/>
        <w:rPr>
          <w:color w:val="969696"/>
          <w:sz w:val="22"/>
          <w:szCs w:val="22"/>
        </w:rPr>
      </w:pPr>
      <w:r>
        <w:rPr>
          <w:color w:val="969696"/>
          <w:sz w:val="22"/>
          <w:szCs w:val="22"/>
        </w:rPr>
        <w:t>We are interested in considering analyses of the association between all cause mortality and serum bilirubin after adjustment for age and sex.</w:t>
      </w:r>
    </w:p>
    <w:p>
      <w:pPr>
        <w:numPr>
          <w:ilvl w:val="1"/>
          <w:numId w:val="1"/>
        </w:numPr>
        <w:autoSpaceDE w:val="0"/>
        <w:autoSpaceDN w:val="0"/>
        <w:adjustRightInd w:val="0"/>
        <w:spacing w:after="120"/>
        <w:rPr>
          <w:color w:val="969696"/>
          <w:sz w:val="22"/>
          <w:szCs w:val="22"/>
        </w:rPr>
      </w:pPr>
      <w:r>
        <w:rPr>
          <w:color w:val="969696"/>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pPr>
        <w:numPr>
          <w:numId w:val="0"/>
        </w:numPr>
        <w:autoSpaceDE w:val="0"/>
        <w:autoSpaceDN w:val="0"/>
        <w:adjustRightInd w:val="0"/>
        <w:spacing w:after="120"/>
        <w:ind w:left="360" w:leftChars="0"/>
        <w:rPr>
          <w:rFonts w:hint="eastAsia" w:eastAsia="SimSun"/>
          <w:b/>
          <w:bCs/>
          <w:sz w:val="22"/>
          <w:szCs w:val="22"/>
          <w:lang w:val="en-US" w:eastAsia="zh-CN"/>
        </w:rPr>
      </w:pPr>
      <w:r>
        <w:rPr>
          <w:rFonts w:hint="eastAsia" w:eastAsia="SimSun"/>
          <w:b/>
          <w:bCs/>
          <w:sz w:val="22"/>
          <w:szCs w:val="22"/>
          <w:lang w:val="en-US" w:eastAsia="zh-CN"/>
        </w:rPr>
        <w:t xml:space="preserve">            Answer: </w:t>
      </w:r>
    </w:p>
    <w:p>
      <w:pPr>
        <w:numPr>
          <w:numId w:val="0"/>
        </w:numPr>
        <w:autoSpaceDE w:val="0"/>
        <w:autoSpaceDN w:val="0"/>
        <w:adjustRightInd w:val="0"/>
        <w:spacing w:after="120"/>
        <w:ind w:left="360" w:leftChars="0"/>
        <w:rPr>
          <w:rFonts w:hint="eastAsia" w:eastAsia="SimSun"/>
          <w:b w:val="0"/>
          <w:bCs w:val="0"/>
          <w:sz w:val="22"/>
          <w:szCs w:val="22"/>
          <w:lang w:val="en-US" w:eastAsia="zh-CN"/>
        </w:rPr>
      </w:pPr>
      <w:r>
        <w:rPr>
          <w:rFonts w:hint="eastAsia" w:eastAsia="SimSun"/>
          <w:b w:val="0"/>
          <w:bCs w:val="0"/>
          <w:sz w:val="22"/>
          <w:szCs w:val="22"/>
          <w:lang w:val="en-US" w:eastAsia="zh-CN"/>
        </w:rPr>
        <w:t xml:space="preserve">                 As shown in Table 2 below, we can see that in this dataset, the mean age of patients varies according to different strata of serum bilirubin. And the percentage of female patients also differs by serum bilirubin strata. This tells us that age and sex are associated with our POI(predictor of interest: serum bilirubin) in this sample.  </w:t>
      </w:r>
    </w:p>
    <w:p>
      <w:pPr>
        <w:numPr>
          <w:numId w:val="0"/>
        </w:numPr>
        <w:autoSpaceDE w:val="0"/>
        <w:autoSpaceDN w:val="0"/>
        <w:adjustRightInd w:val="0"/>
        <w:spacing w:after="120"/>
        <w:ind w:left="360" w:leftChars="0"/>
        <w:rPr>
          <w:rFonts w:hint="eastAsia" w:eastAsia="SimSun"/>
          <w:b w:val="0"/>
          <w:bCs w:val="0"/>
          <w:sz w:val="22"/>
          <w:szCs w:val="22"/>
          <w:lang w:val="en-US" w:eastAsia="zh-CN"/>
        </w:rPr>
      </w:pPr>
      <w:r>
        <w:rPr>
          <w:rFonts w:hint="eastAsia" w:eastAsia="SimSun"/>
          <w:b w:val="0"/>
          <w:bCs w:val="0"/>
          <w:sz w:val="22"/>
          <w:szCs w:val="22"/>
          <w:lang w:val="en-US" w:eastAsia="zh-CN"/>
        </w:rPr>
        <w:t xml:space="preserve"> Also, based on our common knowledge, age and sex are obviously causally associated with the outcome here(all cause deaths). With the same serum bilirubin level, the survival would very possibly be different for a man and a women, or for a 40-year old and a 60-year old.</w:t>
      </w:r>
    </w:p>
    <w:p>
      <w:pPr>
        <w:numPr>
          <w:numId w:val="0"/>
        </w:numPr>
        <w:autoSpaceDE w:val="0"/>
        <w:autoSpaceDN w:val="0"/>
        <w:adjustRightInd w:val="0"/>
        <w:spacing w:after="120"/>
        <w:ind w:left="360" w:leftChars="0"/>
        <w:rPr>
          <w:rFonts w:hint="eastAsia" w:eastAsia="SimSun"/>
          <w:b w:val="0"/>
          <w:bCs w:val="0"/>
          <w:sz w:val="22"/>
          <w:szCs w:val="22"/>
          <w:lang w:val="en-US" w:eastAsia="zh-CN"/>
        </w:rPr>
      </w:pPr>
      <w:r>
        <w:rPr>
          <w:rFonts w:hint="eastAsia" w:eastAsia="SimSun"/>
          <w:b w:val="0"/>
          <w:bCs w:val="0"/>
          <w:sz w:val="22"/>
          <w:szCs w:val="22"/>
          <w:lang w:val="en-US" w:eastAsia="zh-CN"/>
        </w:rPr>
        <w:t>Thus sex and age could be the potential confounders for the association of our scientific question.</w:t>
      </w:r>
    </w:p>
    <w:p>
      <w:pPr>
        <w:numPr>
          <w:numId w:val="0"/>
        </w:numPr>
        <w:autoSpaceDE w:val="0"/>
        <w:autoSpaceDN w:val="0"/>
        <w:adjustRightInd w:val="0"/>
        <w:spacing w:after="120"/>
        <w:ind w:left="360" w:leftChars="0"/>
        <w:rPr>
          <w:rFonts w:hint="eastAsia" w:eastAsia="SimSun"/>
          <w:b/>
          <w:bCs/>
          <w:sz w:val="22"/>
          <w:szCs w:val="22"/>
          <w:lang w:val="en-US" w:eastAsia="zh-CN"/>
        </w:rPr>
      </w:pPr>
    </w:p>
    <w:p>
      <w:pPr>
        <w:autoSpaceDE w:val="0"/>
        <w:autoSpaceDN w:val="0"/>
        <w:adjustRightInd w:val="0"/>
        <w:spacing w:after="120"/>
        <w:jc w:val="center"/>
        <w:rPr>
          <w:rFonts w:hint="eastAsia" w:eastAsia="SimSun"/>
          <w:b/>
          <w:bCs/>
          <w:sz w:val="22"/>
          <w:szCs w:val="22"/>
          <w:lang w:val="en-US" w:eastAsia="zh-CN"/>
        </w:rPr>
      </w:pPr>
      <w:r>
        <w:rPr>
          <w:rFonts w:hint="eastAsia"/>
          <w:b/>
          <w:bCs/>
          <w:sz w:val="22"/>
          <w:szCs w:val="22"/>
        </w:rPr>
        <w:t xml:space="preserve">Table </w:t>
      </w:r>
      <w:r>
        <w:rPr>
          <w:rFonts w:hint="eastAsia" w:eastAsia="SimSun"/>
          <w:b/>
          <w:bCs/>
          <w:sz w:val="22"/>
          <w:szCs w:val="22"/>
          <w:lang w:val="en-US" w:eastAsia="zh-CN"/>
        </w:rPr>
        <w:t>2</w:t>
      </w:r>
      <w:r>
        <w:rPr>
          <w:rFonts w:hint="eastAsia"/>
          <w:b/>
          <w:bCs/>
          <w:sz w:val="22"/>
          <w:szCs w:val="22"/>
        </w:rPr>
        <w:t>.</w:t>
      </w:r>
      <w:r>
        <w:rPr>
          <w:rFonts w:hint="eastAsia"/>
          <w:sz w:val="22"/>
          <w:szCs w:val="22"/>
        </w:rPr>
        <w:t xml:space="preserve"> </w:t>
      </w:r>
      <w:r>
        <w:rPr>
          <w:rFonts w:hint="eastAsia" w:eastAsia="SimSun"/>
          <w:sz w:val="22"/>
          <w:szCs w:val="22"/>
          <w:lang w:val="en-US" w:eastAsia="zh-CN"/>
        </w:rPr>
        <w:t>Descriptive</w:t>
      </w:r>
      <w:r>
        <w:rPr>
          <w:rFonts w:hint="eastAsia"/>
          <w:sz w:val="22"/>
          <w:szCs w:val="22"/>
        </w:rPr>
        <w:t xml:space="preserve"> Statistics of Age and Sex </w:t>
      </w:r>
      <w:r>
        <w:rPr>
          <w:rFonts w:hint="eastAsia" w:eastAsia="SimSun"/>
          <w:sz w:val="22"/>
          <w:szCs w:val="22"/>
          <w:lang w:val="en-US" w:eastAsia="zh-CN"/>
        </w:rPr>
        <w:t>by</w:t>
      </w:r>
      <w:r>
        <w:rPr>
          <w:rFonts w:hint="eastAsia"/>
          <w:sz w:val="22"/>
          <w:szCs w:val="22"/>
        </w:rPr>
        <w:t xml:space="preserve"> on serum bilirubin </w:t>
      </w:r>
      <w:r>
        <w:rPr>
          <w:rFonts w:hint="eastAsia" w:eastAsia="SimSun"/>
          <w:sz w:val="22"/>
          <w:szCs w:val="22"/>
          <w:lang w:val="en-US" w:eastAsia="zh-CN"/>
        </w:rPr>
        <w:t>category</w:t>
      </w:r>
    </w:p>
    <w:tbl>
      <w:tblPr>
        <w:tblStyle w:val="9"/>
        <w:tblW w:w="713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
        <w:gridCol w:w="2206"/>
        <w:gridCol w:w="2016"/>
        <w:gridCol w:w="20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jc w:val="center"/>
        </w:trPr>
        <w:tc>
          <w:tcPr>
            <w:tcW w:w="874" w:type="dxa"/>
            <w:tcBorders>
              <w:tl2br w:val="nil"/>
              <w:tr2bl w:val="nil"/>
            </w:tcBorders>
            <w:vAlign w:val="top"/>
          </w:tcPr>
          <w:p>
            <w:pPr>
              <w:autoSpaceDE w:val="0"/>
              <w:autoSpaceDN w:val="0"/>
              <w:adjustRightInd w:val="0"/>
              <w:spacing w:after="120"/>
              <w:jc w:val="left"/>
              <w:rPr>
                <w:sz w:val="18"/>
                <w:szCs w:val="22"/>
              </w:rPr>
            </w:pPr>
          </w:p>
        </w:tc>
        <w:tc>
          <w:tcPr>
            <w:tcW w:w="6262" w:type="dxa"/>
            <w:gridSpan w:val="3"/>
            <w:tcBorders>
              <w:bottom w:val="single" w:color="auto" w:sz="4" w:space="0"/>
              <w:tl2br w:val="nil"/>
              <w:tr2bl w:val="nil"/>
            </w:tcBorders>
            <w:vAlign w:val="top"/>
          </w:tcPr>
          <w:p>
            <w:pPr>
              <w:autoSpaceDE w:val="0"/>
              <w:autoSpaceDN w:val="0"/>
              <w:adjustRightInd w:val="0"/>
              <w:spacing w:after="120"/>
              <w:jc w:val="center"/>
              <w:rPr>
                <w:rFonts w:hint="eastAsia"/>
                <w:sz w:val="18"/>
                <w:szCs w:val="22"/>
                <w:lang w:eastAsia="zh-CN"/>
              </w:rPr>
            </w:pPr>
            <w:r>
              <w:rPr>
                <w:rFonts w:hint="eastAsia"/>
                <w:sz w:val="18"/>
                <w:szCs w:val="22"/>
                <w:lang w:eastAsia="zh-CN"/>
              </w:rPr>
              <w:t xml:space="preserve">Serum Bilirubin </w:t>
            </w:r>
            <w:r>
              <w:rPr>
                <w:rFonts w:hint="eastAsia"/>
                <w:sz w:val="18"/>
                <w:szCs w:val="22"/>
                <w:lang w:val="en-US" w:eastAsia="zh-CN"/>
              </w:rPr>
              <w:t>(mg/dl)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74" w:type="dxa"/>
            <w:tcBorders>
              <w:tl2br w:val="nil"/>
              <w:tr2bl w:val="nil"/>
            </w:tcBorders>
            <w:vAlign w:val="top"/>
          </w:tcPr>
          <w:p>
            <w:pPr>
              <w:autoSpaceDE w:val="0"/>
              <w:autoSpaceDN w:val="0"/>
              <w:adjustRightInd w:val="0"/>
              <w:spacing w:after="120"/>
              <w:rPr>
                <w:sz w:val="18"/>
                <w:szCs w:val="22"/>
              </w:rPr>
            </w:pPr>
          </w:p>
        </w:tc>
        <w:tc>
          <w:tcPr>
            <w:tcW w:w="2206" w:type="dxa"/>
            <w:tcBorders>
              <w:top w:val="single" w:color="auto" w:sz="4" w:space="0"/>
              <w:bottom w:val="single" w:color="auto" w:sz="4" w:space="0"/>
              <w:tl2br w:val="none" w:color="auto" w:sz="0" w:space="0"/>
              <w:tr2bl w:val="none" w:color="auto" w:sz="0" w:space="0"/>
            </w:tcBorders>
            <w:vAlign w:val="top"/>
          </w:tcPr>
          <w:p>
            <w:pPr>
              <w:autoSpaceDE w:val="0"/>
              <w:autoSpaceDN w:val="0"/>
              <w:adjustRightInd w:val="0"/>
              <w:spacing w:after="120"/>
              <w:rPr>
                <w:rFonts w:hint="eastAsia"/>
                <w:sz w:val="18"/>
                <w:szCs w:val="22"/>
                <w:lang w:eastAsia="zh-CN"/>
              </w:rPr>
            </w:pPr>
            <w:r>
              <w:rPr>
                <w:rFonts w:hint="eastAsia"/>
                <w:sz w:val="18"/>
                <w:szCs w:val="22"/>
                <w:lang w:val="en-US" w:eastAsia="zh-CN"/>
              </w:rPr>
              <w:t>[</w:t>
            </w:r>
            <w:r>
              <w:rPr>
                <w:rFonts w:hint="eastAsia"/>
                <w:sz w:val="18"/>
                <w:szCs w:val="22"/>
                <w:lang w:eastAsia="zh-CN"/>
              </w:rPr>
              <w:t>0.</w:t>
            </w:r>
            <w:r>
              <w:rPr>
                <w:rFonts w:hint="eastAsia"/>
                <w:sz w:val="18"/>
                <w:szCs w:val="22"/>
                <w:lang w:val="en-US" w:eastAsia="zh-CN"/>
              </w:rPr>
              <w:t>3</w:t>
            </w:r>
            <w:r>
              <w:rPr>
                <w:rFonts w:hint="eastAsia"/>
                <w:sz w:val="18"/>
                <w:szCs w:val="22"/>
                <w:lang w:eastAsia="zh-CN"/>
              </w:rPr>
              <w:t>-</w:t>
            </w:r>
            <w:r>
              <w:rPr>
                <w:rFonts w:hint="eastAsia"/>
                <w:sz w:val="18"/>
                <w:szCs w:val="22"/>
                <w:lang w:val="en-US" w:eastAsia="zh-CN"/>
              </w:rPr>
              <w:t>1.5)</w:t>
            </w:r>
          </w:p>
        </w:tc>
        <w:tc>
          <w:tcPr>
            <w:tcW w:w="2016" w:type="dxa"/>
            <w:tcBorders>
              <w:top w:val="single" w:color="auto" w:sz="4" w:space="0"/>
              <w:bottom w:val="single" w:color="auto" w:sz="4" w:space="0"/>
              <w:tl2br w:val="none" w:color="auto" w:sz="0" w:space="0"/>
              <w:tr2bl w:val="none" w:color="auto" w:sz="0" w:space="0"/>
            </w:tcBorders>
            <w:vAlign w:val="top"/>
          </w:tcPr>
          <w:p>
            <w:pPr>
              <w:autoSpaceDE w:val="0"/>
              <w:autoSpaceDN w:val="0"/>
              <w:adjustRightInd w:val="0"/>
              <w:spacing w:after="120"/>
              <w:rPr>
                <w:sz w:val="18"/>
                <w:szCs w:val="22"/>
                <w:lang w:eastAsia="zh-CN"/>
              </w:rPr>
            </w:pPr>
            <w:r>
              <w:rPr>
                <w:rFonts w:hint="eastAsia"/>
                <w:sz w:val="18"/>
                <w:szCs w:val="22"/>
                <w:lang w:val="en-US" w:eastAsia="zh-CN"/>
              </w:rPr>
              <w:t>[1.5-7.5)</w:t>
            </w:r>
          </w:p>
        </w:tc>
        <w:tc>
          <w:tcPr>
            <w:tcW w:w="2040" w:type="dxa"/>
            <w:tcBorders>
              <w:top w:val="single" w:color="auto" w:sz="4" w:space="0"/>
              <w:bottom w:val="single" w:color="auto" w:sz="4" w:space="0"/>
              <w:tl2br w:val="none" w:color="auto" w:sz="0" w:space="0"/>
              <w:tr2bl w:val="none" w:color="auto" w:sz="0" w:space="0"/>
            </w:tcBorders>
            <w:vAlign w:val="top"/>
          </w:tcPr>
          <w:p>
            <w:pPr>
              <w:autoSpaceDE w:val="0"/>
              <w:autoSpaceDN w:val="0"/>
              <w:adjustRightInd w:val="0"/>
              <w:spacing w:after="120"/>
              <w:rPr>
                <w:rFonts w:hint="eastAsia" w:eastAsia="SimSun"/>
                <w:sz w:val="18"/>
                <w:szCs w:val="22"/>
                <w:lang w:val="en-US" w:eastAsia="zh-CN"/>
              </w:rPr>
            </w:pPr>
            <w:r>
              <w:rPr>
                <w:rFonts w:hint="eastAsia" w:eastAsia="SimSun"/>
                <w:sz w:val="18"/>
                <w:szCs w:val="22"/>
                <w:lang w:val="en-US" w:eastAsia="zh-CN"/>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74" w:type="dxa"/>
            <w:tcBorders>
              <w:tl2br w:val="nil"/>
              <w:tr2bl w:val="nil"/>
            </w:tcBorders>
            <w:vAlign w:val="top"/>
          </w:tcPr>
          <w:p>
            <w:pPr>
              <w:autoSpaceDE w:val="0"/>
              <w:autoSpaceDN w:val="0"/>
              <w:adjustRightInd w:val="0"/>
              <w:spacing w:after="120"/>
              <w:rPr>
                <w:rFonts w:hint="eastAsia"/>
                <w:sz w:val="18"/>
                <w:szCs w:val="22"/>
                <w:lang w:eastAsia="zh-CN"/>
              </w:rPr>
            </w:pPr>
            <w:r>
              <w:rPr>
                <w:rFonts w:hint="eastAsia"/>
                <w:sz w:val="18"/>
                <w:szCs w:val="22"/>
                <w:lang w:eastAsia="zh-CN"/>
              </w:rPr>
              <w:t>Age</w:t>
            </w:r>
            <w:r>
              <w:rPr>
                <w:rFonts w:hint="eastAsia"/>
                <w:sz w:val="18"/>
                <w:szCs w:val="22"/>
                <w:vertAlign w:val="superscript"/>
                <w:lang w:eastAsia="zh-CN"/>
              </w:rPr>
              <w:t>1</w:t>
            </w:r>
            <w:r>
              <w:rPr>
                <w:rFonts w:hint="eastAsia"/>
                <w:sz w:val="18"/>
                <w:szCs w:val="22"/>
                <w:lang w:eastAsia="zh-CN"/>
              </w:rPr>
              <w:t xml:space="preserve"> (year)</w:t>
            </w:r>
          </w:p>
        </w:tc>
        <w:tc>
          <w:tcPr>
            <w:tcW w:w="2206" w:type="dxa"/>
            <w:tcBorders>
              <w:top w:val="single" w:color="auto" w:sz="4" w:space="0"/>
              <w:tl2br w:val="nil"/>
              <w:tr2bl w:val="nil"/>
            </w:tcBorders>
            <w:vAlign w:val="top"/>
          </w:tcPr>
          <w:p>
            <w:pPr>
              <w:autoSpaceDE w:val="0"/>
              <w:autoSpaceDN w:val="0"/>
              <w:adjustRightInd w:val="0"/>
              <w:spacing w:after="120"/>
              <w:rPr>
                <w:rFonts w:hint="eastAsia"/>
                <w:sz w:val="18"/>
                <w:szCs w:val="22"/>
                <w:lang w:eastAsia="zh-CN"/>
              </w:rPr>
            </w:pPr>
            <w:r>
              <w:rPr>
                <w:rFonts w:hint="eastAsia"/>
                <w:sz w:val="18"/>
                <w:szCs w:val="22"/>
                <w:lang w:eastAsia="zh-CN"/>
              </w:rPr>
              <w:t>5</w:t>
            </w:r>
            <w:r>
              <w:rPr>
                <w:rFonts w:hint="eastAsia"/>
                <w:sz w:val="18"/>
                <w:szCs w:val="22"/>
                <w:lang w:val="en-US" w:eastAsia="zh-CN"/>
              </w:rPr>
              <w:t>0.98</w:t>
            </w:r>
            <w:r>
              <w:rPr>
                <w:rFonts w:hint="eastAsia"/>
                <w:sz w:val="18"/>
                <w:szCs w:val="22"/>
                <w:lang w:eastAsia="zh-CN"/>
              </w:rPr>
              <w:t>(</w:t>
            </w:r>
            <w:r>
              <w:rPr>
                <w:rFonts w:hint="eastAsia"/>
                <w:sz w:val="18"/>
                <w:szCs w:val="22"/>
                <w:lang w:val="en-US" w:eastAsia="zh-CN"/>
              </w:rPr>
              <w:t>10.33</w:t>
            </w:r>
            <w:r>
              <w:rPr>
                <w:rFonts w:hint="eastAsia"/>
                <w:sz w:val="18"/>
                <w:szCs w:val="22"/>
                <w:lang w:eastAsia="zh-CN"/>
              </w:rPr>
              <w:t>;</w:t>
            </w:r>
            <w:r>
              <w:rPr>
                <w:sz w:val="18"/>
              </w:rPr>
              <w:t xml:space="preserve"> </w:t>
            </w:r>
            <w:r>
              <w:rPr>
                <w:rFonts w:hint="eastAsia" w:eastAsia="SimSun"/>
                <w:sz w:val="18"/>
                <w:lang w:val="en-US" w:eastAsia="zh-CN"/>
              </w:rPr>
              <w:t>2</w:t>
            </w:r>
            <w:r>
              <w:rPr>
                <w:rFonts w:hint="eastAsia"/>
                <w:sz w:val="18"/>
                <w:szCs w:val="22"/>
                <w:lang w:val="en-US" w:eastAsia="zh-CN"/>
              </w:rPr>
              <w:t>6.28</w:t>
            </w:r>
            <w:r>
              <w:rPr>
                <w:rFonts w:hint="eastAsia"/>
                <w:sz w:val="18"/>
                <w:szCs w:val="22"/>
                <w:lang w:eastAsia="zh-CN"/>
              </w:rPr>
              <w:t>-</w:t>
            </w:r>
            <w:r>
              <w:rPr>
                <w:rFonts w:hint="eastAsia"/>
                <w:sz w:val="18"/>
                <w:szCs w:val="22"/>
                <w:lang w:val="en-US" w:eastAsia="zh-CN"/>
              </w:rPr>
              <w:t>76.71</w:t>
            </w:r>
            <w:r>
              <w:rPr>
                <w:rFonts w:hint="eastAsia"/>
                <w:sz w:val="18"/>
                <w:szCs w:val="22"/>
                <w:lang w:eastAsia="zh-CN"/>
              </w:rPr>
              <w:t>);</w:t>
            </w:r>
          </w:p>
          <w:p>
            <w:pPr>
              <w:autoSpaceDE w:val="0"/>
              <w:autoSpaceDN w:val="0"/>
              <w:adjustRightInd w:val="0"/>
              <w:spacing w:after="120"/>
              <w:rPr>
                <w:rFonts w:hint="eastAsia"/>
                <w:sz w:val="18"/>
                <w:szCs w:val="22"/>
                <w:lang w:eastAsia="zh-CN"/>
              </w:rPr>
            </w:pPr>
            <w:r>
              <w:rPr>
                <w:rFonts w:hint="eastAsia"/>
                <w:sz w:val="18"/>
                <w:szCs w:val="22"/>
                <w:lang w:eastAsia="zh-CN"/>
              </w:rPr>
              <w:t>n=</w:t>
            </w:r>
            <w:r>
              <w:rPr>
                <w:rFonts w:hint="eastAsia"/>
                <w:sz w:val="18"/>
                <w:szCs w:val="22"/>
                <w:lang w:val="en-US" w:eastAsia="zh-CN"/>
              </w:rPr>
              <w:t>223</w:t>
            </w:r>
          </w:p>
        </w:tc>
        <w:tc>
          <w:tcPr>
            <w:tcW w:w="2016" w:type="dxa"/>
            <w:tcBorders>
              <w:top w:val="single" w:color="auto" w:sz="4" w:space="0"/>
              <w:tl2br w:val="nil"/>
              <w:tr2bl w:val="nil"/>
            </w:tcBorders>
            <w:vAlign w:val="top"/>
          </w:tcPr>
          <w:p>
            <w:pPr>
              <w:autoSpaceDE w:val="0"/>
              <w:autoSpaceDN w:val="0"/>
              <w:adjustRightInd w:val="0"/>
              <w:spacing w:after="120"/>
              <w:rPr>
                <w:rFonts w:hint="eastAsia"/>
                <w:sz w:val="18"/>
                <w:szCs w:val="22"/>
                <w:lang w:eastAsia="zh-CN"/>
              </w:rPr>
            </w:pPr>
            <w:r>
              <w:rPr>
                <w:sz w:val="18"/>
                <w:szCs w:val="22"/>
                <w:lang w:eastAsia="zh-CN"/>
              </w:rPr>
              <w:t>50.9</w:t>
            </w:r>
            <w:r>
              <w:rPr>
                <w:rFonts w:hint="eastAsia"/>
                <w:sz w:val="18"/>
                <w:szCs w:val="22"/>
                <w:lang w:eastAsia="zh-CN"/>
              </w:rPr>
              <w:t>(</w:t>
            </w:r>
            <w:r>
              <w:rPr>
                <w:sz w:val="18"/>
                <w:szCs w:val="22"/>
                <w:lang w:eastAsia="zh-CN"/>
              </w:rPr>
              <w:t>10.0</w:t>
            </w:r>
            <w:r>
              <w:rPr>
                <w:rFonts w:hint="eastAsia"/>
                <w:sz w:val="18"/>
                <w:szCs w:val="22"/>
                <w:lang w:eastAsia="zh-CN"/>
              </w:rPr>
              <w:t>1;</w:t>
            </w:r>
            <w:r>
              <w:rPr>
                <w:sz w:val="18"/>
              </w:rPr>
              <w:t xml:space="preserve"> </w:t>
            </w:r>
            <w:r>
              <w:rPr>
                <w:sz w:val="18"/>
                <w:szCs w:val="22"/>
                <w:lang w:eastAsia="zh-CN"/>
              </w:rPr>
              <w:t>30.</w:t>
            </w:r>
            <w:r>
              <w:rPr>
                <w:rFonts w:hint="eastAsia"/>
                <w:sz w:val="18"/>
                <w:szCs w:val="22"/>
                <w:lang w:eastAsia="zh-CN"/>
              </w:rPr>
              <w:t>6-75.0);</w:t>
            </w:r>
          </w:p>
          <w:p>
            <w:pPr>
              <w:autoSpaceDE w:val="0"/>
              <w:autoSpaceDN w:val="0"/>
              <w:adjustRightInd w:val="0"/>
              <w:spacing w:after="120"/>
              <w:rPr>
                <w:rFonts w:hint="eastAsia"/>
                <w:sz w:val="18"/>
                <w:szCs w:val="22"/>
                <w:lang w:eastAsia="zh-CN"/>
              </w:rPr>
            </w:pPr>
            <w:r>
              <w:rPr>
                <w:rFonts w:hint="eastAsia"/>
                <w:sz w:val="18"/>
                <w:szCs w:val="22"/>
                <w:lang w:eastAsia="zh-CN"/>
              </w:rPr>
              <w:t>n=1</w:t>
            </w:r>
            <w:r>
              <w:rPr>
                <w:rFonts w:hint="eastAsia"/>
                <w:sz w:val="18"/>
                <w:szCs w:val="22"/>
                <w:lang w:val="en-US" w:eastAsia="zh-CN"/>
              </w:rPr>
              <w:t>52</w:t>
            </w:r>
          </w:p>
        </w:tc>
        <w:tc>
          <w:tcPr>
            <w:tcW w:w="2040" w:type="dxa"/>
            <w:tcBorders>
              <w:top w:val="single" w:color="auto" w:sz="4" w:space="0"/>
              <w:tl2br w:val="nil"/>
              <w:tr2bl w:val="nil"/>
            </w:tcBorders>
            <w:vAlign w:val="top"/>
          </w:tcPr>
          <w:p>
            <w:pPr>
              <w:autoSpaceDE w:val="0"/>
              <w:autoSpaceDN w:val="0"/>
              <w:adjustRightInd w:val="0"/>
              <w:spacing w:after="120"/>
              <w:rPr>
                <w:rFonts w:hint="eastAsia"/>
                <w:sz w:val="18"/>
                <w:szCs w:val="22"/>
                <w:lang w:eastAsia="zh-CN"/>
              </w:rPr>
            </w:pPr>
            <w:r>
              <w:rPr>
                <w:sz w:val="18"/>
                <w:szCs w:val="22"/>
                <w:lang w:eastAsia="zh-CN"/>
              </w:rPr>
              <w:t>50.6</w:t>
            </w:r>
            <w:r>
              <w:rPr>
                <w:rFonts w:hint="eastAsia"/>
                <w:sz w:val="18"/>
                <w:szCs w:val="22"/>
                <w:lang w:eastAsia="zh-CN"/>
              </w:rPr>
              <w:t>(</w:t>
            </w:r>
            <w:r>
              <w:rPr>
                <w:sz w:val="18"/>
                <w:szCs w:val="22"/>
                <w:lang w:eastAsia="zh-CN"/>
              </w:rPr>
              <w:t>10.79</w:t>
            </w:r>
            <w:r>
              <w:rPr>
                <w:rFonts w:hint="eastAsia"/>
                <w:sz w:val="18"/>
                <w:szCs w:val="22"/>
                <w:lang w:eastAsia="zh-CN"/>
              </w:rPr>
              <w:t>;</w:t>
            </w:r>
            <w:r>
              <w:rPr>
                <w:sz w:val="18"/>
                <w:szCs w:val="22"/>
                <w:lang w:eastAsia="zh-CN"/>
              </w:rPr>
              <w:t xml:space="preserve"> 26.</w:t>
            </w:r>
            <w:r>
              <w:rPr>
                <w:rFonts w:hint="eastAsia"/>
                <w:sz w:val="18"/>
                <w:szCs w:val="22"/>
                <w:lang w:eastAsia="zh-CN"/>
              </w:rPr>
              <w:t>3-</w:t>
            </w:r>
            <w:r>
              <w:rPr>
                <w:sz w:val="18"/>
                <w:szCs w:val="22"/>
                <w:lang w:eastAsia="zh-CN"/>
              </w:rPr>
              <w:t>76.7</w:t>
            </w:r>
            <w:r>
              <w:rPr>
                <w:rFonts w:hint="eastAsia"/>
                <w:sz w:val="18"/>
                <w:szCs w:val="22"/>
                <w:lang w:eastAsia="zh-CN"/>
              </w:rPr>
              <w:t>);</w:t>
            </w:r>
          </w:p>
          <w:p>
            <w:pPr>
              <w:autoSpaceDE w:val="0"/>
              <w:autoSpaceDN w:val="0"/>
              <w:adjustRightInd w:val="0"/>
              <w:spacing w:after="120"/>
              <w:rPr>
                <w:rFonts w:hint="eastAsia"/>
                <w:sz w:val="18"/>
                <w:szCs w:val="22"/>
                <w:lang w:eastAsia="zh-CN"/>
              </w:rPr>
            </w:pPr>
            <w:r>
              <w:rPr>
                <w:rFonts w:hint="eastAsia"/>
                <w:sz w:val="18"/>
                <w:szCs w:val="22"/>
                <w:lang w:eastAsia="zh-CN"/>
              </w:rPr>
              <w:t>n=</w:t>
            </w:r>
            <w:r>
              <w:rPr>
                <w:rFonts w:hint="eastAsia"/>
                <w:sz w:val="18"/>
                <w:szCs w:val="22"/>
                <w:lang w:val="en-US" w:eastAsia="zh-CN"/>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74" w:type="dxa"/>
            <w:tcBorders>
              <w:tl2br w:val="nil"/>
              <w:tr2bl w:val="nil"/>
            </w:tcBorders>
            <w:vAlign w:val="top"/>
          </w:tcPr>
          <w:p>
            <w:pPr>
              <w:autoSpaceDE w:val="0"/>
              <w:autoSpaceDN w:val="0"/>
              <w:adjustRightInd w:val="0"/>
              <w:spacing w:after="120"/>
              <w:rPr>
                <w:rFonts w:hint="eastAsia"/>
                <w:sz w:val="18"/>
                <w:szCs w:val="22"/>
                <w:lang w:eastAsia="zh-CN"/>
              </w:rPr>
            </w:pPr>
            <w:r>
              <w:rPr>
                <w:rFonts w:hint="eastAsia"/>
                <w:sz w:val="18"/>
                <w:szCs w:val="22"/>
                <w:lang w:eastAsia="zh-CN"/>
              </w:rPr>
              <w:t>Femal</w:t>
            </w:r>
            <w:r>
              <w:rPr>
                <w:rFonts w:hint="eastAsia"/>
                <w:sz w:val="18"/>
                <w:szCs w:val="22"/>
                <w:lang w:val="en-US" w:eastAsia="zh-CN"/>
              </w:rPr>
              <w:t>e</w:t>
            </w:r>
            <w:r>
              <w:rPr>
                <w:rFonts w:hint="eastAsia"/>
                <w:sz w:val="18"/>
                <w:szCs w:val="22"/>
                <w:vertAlign w:val="superscript"/>
                <w:lang w:eastAsia="zh-CN"/>
              </w:rPr>
              <w:t>2</w:t>
            </w:r>
          </w:p>
        </w:tc>
        <w:tc>
          <w:tcPr>
            <w:tcW w:w="2206" w:type="dxa"/>
            <w:tcBorders>
              <w:tl2br w:val="nil"/>
              <w:tr2bl w:val="nil"/>
            </w:tcBorders>
            <w:vAlign w:val="top"/>
          </w:tcPr>
          <w:p>
            <w:pPr>
              <w:autoSpaceDE w:val="0"/>
              <w:autoSpaceDN w:val="0"/>
              <w:adjustRightInd w:val="0"/>
              <w:spacing w:after="120"/>
              <w:rPr>
                <w:rFonts w:hint="eastAsia"/>
                <w:sz w:val="18"/>
                <w:szCs w:val="22"/>
                <w:lang w:eastAsia="zh-CN"/>
              </w:rPr>
            </w:pPr>
            <w:r>
              <w:rPr>
                <w:rFonts w:hint="eastAsia"/>
                <w:sz w:val="18"/>
                <w:szCs w:val="22"/>
                <w:lang w:val="en-US" w:eastAsia="zh-CN"/>
              </w:rPr>
              <w:t>92.77%</w:t>
            </w:r>
            <w:r>
              <w:rPr>
                <w:rFonts w:hint="eastAsia"/>
                <w:sz w:val="18"/>
                <w:szCs w:val="22"/>
                <w:lang w:eastAsia="zh-CN"/>
              </w:rPr>
              <w:t>;</w:t>
            </w:r>
          </w:p>
          <w:p>
            <w:pPr>
              <w:autoSpaceDE w:val="0"/>
              <w:autoSpaceDN w:val="0"/>
              <w:adjustRightInd w:val="0"/>
              <w:spacing w:after="120"/>
              <w:rPr>
                <w:rFonts w:hint="eastAsia"/>
                <w:sz w:val="18"/>
                <w:szCs w:val="22"/>
                <w:lang w:eastAsia="zh-CN"/>
              </w:rPr>
            </w:pPr>
            <w:r>
              <w:rPr>
                <w:rFonts w:hint="eastAsia"/>
                <w:sz w:val="18"/>
                <w:szCs w:val="22"/>
                <w:lang w:eastAsia="zh-CN"/>
              </w:rPr>
              <w:t>n=1</w:t>
            </w:r>
            <w:r>
              <w:rPr>
                <w:rFonts w:hint="eastAsia"/>
                <w:sz w:val="18"/>
                <w:szCs w:val="22"/>
                <w:lang w:val="en-US" w:eastAsia="zh-CN"/>
              </w:rPr>
              <w:t>66</w:t>
            </w:r>
          </w:p>
        </w:tc>
        <w:tc>
          <w:tcPr>
            <w:tcW w:w="2016" w:type="dxa"/>
            <w:tcBorders>
              <w:tl2br w:val="nil"/>
              <w:tr2bl w:val="nil"/>
            </w:tcBorders>
            <w:vAlign w:val="top"/>
          </w:tcPr>
          <w:p>
            <w:pPr>
              <w:autoSpaceDE w:val="0"/>
              <w:autoSpaceDN w:val="0"/>
              <w:adjustRightInd w:val="0"/>
              <w:spacing w:after="120"/>
              <w:rPr>
                <w:rFonts w:hint="eastAsia"/>
                <w:sz w:val="18"/>
                <w:szCs w:val="22"/>
                <w:lang w:eastAsia="zh-CN"/>
              </w:rPr>
            </w:pPr>
            <w:r>
              <w:rPr>
                <w:rFonts w:hint="eastAsia"/>
                <w:sz w:val="18"/>
                <w:szCs w:val="22"/>
                <w:lang w:val="en-US" w:eastAsia="zh-CN"/>
              </w:rPr>
              <w:t>50.44%</w:t>
            </w:r>
            <w:r>
              <w:rPr>
                <w:rFonts w:hint="eastAsia"/>
                <w:sz w:val="18"/>
                <w:szCs w:val="22"/>
                <w:lang w:eastAsia="zh-CN"/>
              </w:rPr>
              <w:t>;</w:t>
            </w:r>
          </w:p>
          <w:p>
            <w:pPr>
              <w:autoSpaceDE w:val="0"/>
              <w:autoSpaceDN w:val="0"/>
              <w:adjustRightInd w:val="0"/>
              <w:spacing w:after="120"/>
              <w:rPr>
                <w:rFonts w:hint="eastAsia"/>
                <w:sz w:val="18"/>
                <w:szCs w:val="22"/>
                <w:lang w:eastAsia="zh-CN"/>
              </w:rPr>
            </w:pPr>
            <w:r>
              <w:rPr>
                <w:rFonts w:hint="eastAsia"/>
                <w:sz w:val="18"/>
                <w:szCs w:val="22"/>
                <w:lang w:eastAsia="zh-CN"/>
              </w:rPr>
              <w:t>n=</w:t>
            </w:r>
            <w:r>
              <w:rPr>
                <w:rFonts w:hint="eastAsia"/>
                <w:sz w:val="18"/>
                <w:szCs w:val="22"/>
                <w:lang w:val="en-US" w:eastAsia="zh-CN"/>
              </w:rPr>
              <w:t>116</w:t>
            </w:r>
          </w:p>
        </w:tc>
        <w:tc>
          <w:tcPr>
            <w:tcW w:w="2040" w:type="dxa"/>
            <w:tcBorders>
              <w:tl2br w:val="nil"/>
              <w:tr2bl w:val="nil"/>
            </w:tcBorders>
            <w:vAlign w:val="top"/>
          </w:tcPr>
          <w:p>
            <w:pPr>
              <w:autoSpaceDE w:val="0"/>
              <w:autoSpaceDN w:val="0"/>
              <w:adjustRightInd w:val="0"/>
              <w:spacing w:after="120"/>
              <w:rPr>
                <w:rFonts w:hint="eastAsia"/>
                <w:sz w:val="18"/>
                <w:szCs w:val="22"/>
                <w:lang w:val="en-US" w:eastAsia="zh-CN"/>
              </w:rPr>
            </w:pPr>
            <w:r>
              <w:rPr>
                <w:rFonts w:hint="eastAsia"/>
                <w:sz w:val="18"/>
                <w:szCs w:val="22"/>
                <w:lang w:val="en-US" w:eastAsia="zh-CN"/>
              </w:rPr>
              <w:t>50.56%</w:t>
            </w:r>
          </w:p>
          <w:p>
            <w:pPr>
              <w:autoSpaceDE w:val="0"/>
              <w:autoSpaceDN w:val="0"/>
              <w:adjustRightInd w:val="0"/>
              <w:spacing w:after="120"/>
              <w:rPr>
                <w:rFonts w:hint="eastAsia"/>
                <w:sz w:val="18"/>
                <w:szCs w:val="22"/>
                <w:lang w:eastAsia="zh-CN"/>
              </w:rPr>
            </w:pPr>
            <w:r>
              <w:rPr>
                <w:rFonts w:hint="eastAsia"/>
                <w:sz w:val="18"/>
                <w:szCs w:val="22"/>
                <w:lang w:eastAsia="zh-CN"/>
              </w:rPr>
              <w:t>;n=</w:t>
            </w:r>
            <w:r>
              <w:rPr>
                <w:rFonts w:hint="eastAsia"/>
                <w:sz w:val="18"/>
                <w:szCs w:val="22"/>
                <w:lang w:val="en-US" w:eastAsia="zh-CN"/>
              </w:rPr>
              <w:t>30</w:t>
            </w:r>
          </w:p>
        </w:tc>
      </w:tr>
    </w:tbl>
    <w:p>
      <w:pPr>
        <w:autoSpaceDE w:val="0"/>
        <w:autoSpaceDN w:val="0"/>
        <w:adjustRightInd w:val="0"/>
        <w:spacing w:after="120"/>
        <w:jc w:val="left"/>
        <w:rPr>
          <w:rFonts w:hint="eastAsia" w:ascii="Arial" w:hAnsi="Arial" w:eastAsia="SimSun" w:cs="Arial"/>
          <w:b/>
          <w:bCs/>
          <w:i w:val="0"/>
          <w:color w:val="000000"/>
          <w:kern w:val="0"/>
          <w:sz w:val="24"/>
          <w:szCs w:val="24"/>
          <w:u w:val="none"/>
          <w:vertAlign w:val="superscript"/>
          <w:lang w:val="en-US" w:eastAsia="zh-CN" w:bidi="ar-SA"/>
        </w:rPr>
      </w:pPr>
      <w:r>
        <w:rPr>
          <w:rFonts w:hint="eastAsia"/>
          <w:sz w:val="22"/>
          <w:szCs w:val="22"/>
          <w:vertAlign w:val="superscript"/>
          <w:lang w:val="en-US" w:eastAsia="zh-CN"/>
        </w:rPr>
        <w:t xml:space="preserve">                                    </w:t>
      </w:r>
      <w:r>
        <w:rPr>
          <w:sz w:val="22"/>
          <w:szCs w:val="22"/>
          <w:vertAlign w:val="superscript"/>
          <w:lang w:eastAsia="zh-CN"/>
        </w:rPr>
        <w:t>1</w:t>
      </w:r>
      <w:r>
        <w:rPr>
          <w:sz w:val="22"/>
          <w:szCs w:val="22"/>
          <w:lang w:eastAsia="zh-CN"/>
        </w:rPr>
        <w:t xml:space="preserve"> </w:t>
      </w:r>
      <w:r>
        <w:rPr>
          <w:rFonts w:hint="eastAsia" w:ascii="Arial" w:hAnsi="Arial" w:eastAsia="SimSun" w:cs="Arial"/>
          <w:b/>
          <w:bCs/>
          <w:i w:val="0"/>
          <w:color w:val="000000"/>
          <w:kern w:val="0"/>
          <w:sz w:val="24"/>
          <w:szCs w:val="24"/>
          <w:u w:val="none"/>
          <w:vertAlign w:val="superscript"/>
          <w:lang w:val="en-US" w:eastAsia="zh-CN" w:bidi="ar-SA"/>
        </w:rPr>
        <w:t>Descriptive statistics: mean(standard deviation;minimum-maximum)</w:t>
      </w:r>
    </w:p>
    <w:p>
      <w:pPr>
        <w:autoSpaceDE w:val="0"/>
        <w:autoSpaceDN w:val="0"/>
        <w:adjustRightInd w:val="0"/>
        <w:spacing w:after="120"/>
        <w:jc w:val="left"/>
        <w:rPr>
          <w:rFonts w:hint="eastAsia" w:ascii="Arial" w:hAnsi="Arial" w:eastAsia="SimSun" w:cs="Arial"/>
          <w:b/>
          <w:bCs/>
          <w:i w:val="0"/>
          <w:color w:val="000000"/>
          <w:kern w:val="0"/>
          <w:sz w:val="24"/>
          <w:szCs w:val="24"/>
          <w:u w:val="none"/>
          <w:vertAlign w:val="superscript"/>
          <w:lang w:val="en-US" w:eastAsia="zh-CN" w:bidi="ar-SA"/>
        </w:rPr>
      </w:pPr>
      <w:r>
        <w:rPr>
          <w:rFonts w:hint="eastAsia"/>
          <w:sz w:val="22"/>
          <w:szCs w:val="22"/>
          <w:vertAlign w:val="superscript"/>
          <w:lang w:val="en-US" w:eastAsia="zh-CN"/>
        </w:rPr>
        <w:t xml:space="preserve">                                    </w:t>
      </w:r>
      <w:r>
        <w:rPr>
          <w:sz w:val="22"/>
          <w:szCs w:val="22"/>
          <w:vertAlign w:val="superscript"/>
          <w:lang w:eastAsia="zh-CN"/>
        </w:rPr>
        <w:t>2</w:t>
      </w:r>
      <w:r>
        <w:rPr>
          <w:sz w:val="22"/>
          <w:szCs w:val="22"/>
          <w:lang w:eastAsia="zh-CN"/>
        </w:rPr>
        <w:t xml:space="preserve"> </w:t>
      </w:r>
      <w:r>
        <w:rPr>
          <w:rFonts w:hint="eastAsia" w:ascii="Arial" w:hAnsi="Arial" w:eastAsia="SimSun" w:cs="Arial"/>
          <w:b/>
          <w:bCs/>
          <w:i w:val="0"/>
          <w:color w:val="000000"/>
          <w:kern w:val="0"/>
          <w:sz w:val="24"/>
          <w:szCs w:val="24"/>
          <w:u w:val="none"/>
          <w:vertAlign w:val="superscript"/>
          <w:lang w:val="en-US" w:eastAsia="zh-CN" w:bidi="ar-SA"/>
        </w:rPr>
        <w:t xml:space="preserve">percentage of female </w:t>
      </w:r>
    </w:p>
    <w:p>
      <w:pPr>
        <w:numPr>
          <w:numId w:val="0"/>
        </w:numPr>
        <w:autoSpaceDE w:val="0"/>
        <w:autoSpaceDN w:val="0"/>
        <w:adjustRightInd w:val="0"/>
        <w:spacing w:after="120"/>
        <w:ind w:left="1080" w:leftChars="0"/>
        <w:rPr>
          <w:sz w:val="22"/>
          <w:szCs w:val="22"/>
        </w:rPr>
      </w:pPr>
    </w:p>
    <w:p>
      <w:pPr>
        <w:numPr>
          <w:ilvl w:val="1"/>
          <w:numId w:val="1"/>
        </w:numPr>
        <w:autoSpaceDE w:val="0"/>
        <w:autoSpaceDN w:val="0"/>
        <w:adjustRightInd w:val="0"/>
        <w:spacing w:after="120"/>
        <w:rPr>
          <w:color w:val="969696"/>
          <w:sz w:val="22"/>
          <w:szCs w:val="22"/>
        </w:rPr>
      </w:pPr>
      <w:r>
        <w:rPr>
          <w:color w:val="969696"/>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pPr>
        <w:numPr>
          <w:numId w:val="0"/>
        </w:numPr>
        <w:autoSpaceDE w:val="0"/>
        <w:autoSpaceDN w:val="0"/>
        <w:adjustRightInd w:val="0"/>
        <w:spacing w:after="120"/>
        <w:ind w:left="360" w:leftChars="0"/>
        <w:rPr>
          <w:rFonts w:hint="eastAsia" w:eastAsia="SimSun"/>
          <w:b/>
          <w:bCs/>
          <w:sz w:val="22"/>
          <w:szCs w:val="22"/>
          <w:lang w:val="en-US" w:eastAsia="zh-CN"/>
        </w:rPr>
      </w:pPr>
      <w:r>
        <w:rPr>
          <w:rFonts w:hint="eastAsia" w:eastAsia="SimSun"/>
          <w:b/>
          <w:bCs/>
          <w:sz w:val="22"/>
          <w:szCs w:val="22"/>
          <w:lang w:val="en-US" w:eastAsia="zh-CN"/>
        </w:rPr>
        <w:t>Answer:</w:t>
      </w:r>
    </w:p>
    <w:p>
      <w:pPr>
        <w:numPr>
          <w:numId w:val="0"/>
        </w:numPr>
        <w:autoSpaceDE w:val="0"/>
        <w:autoSpaceDN w:val="0"/>
        <w:adjustRightInd w:val="0"/>
        <w:spacing w:after="120"/>
        <w:ind w:left="1080" w:leftChars="0"/>
        <w:rPr>
          <w:rFonts w:hint="eastAsia"/>
          <w:szCs w:val="18"/>
          <w:lang w:val="en-US" w:eastAsia="zh-CN"/>
        </w:rPr>
      </w:pPr>
      <w:r>
        <w:rPr>
          <w:rFonts w:hint="eastAsia" w:eastAsia="SimSun"/>
          <w:sz w:val="22"/>
          <w:szCs w:val="22"/>
          <w:lang w:val="en-US" w:eastAsia="zh-CN"/>
        </w:rPr>
        <w:t>Comparing the standard deviations of age in Table 1(</w:t>
      </w:r>
      <w:r>
        <w:rPr>
          <w:szCs w:val="18"/>
          <w:lang w:eastAsia="zh-CN"/>
        </w:rPr>
        <w:t>10.4</w:t>
      </w:r>
      <w:r>
        <w:rPr>
          <w:rFonts w:hint="eastAsia"/>
          <w:szCs w:val="18"/>
          <w:lang w:val="en-US" w:eastAsia="zh-CN"/>
        </w:rPr>
        <w:t>5) and the standard deviations of age across different strata (10.33, 10.01 and 10.79), there are not very much difference between these standard deviations. So I don</w:t>
      </w:r>
      <w:r>
        <w:rPr>
          <w:rFonts w:hint="default"/>
          <w:szCs w:val="18"/>
          <w:lang w:val="en-US" w:eastAsia="zh-CN"/>
        </w:rPr>
        <w:t>’</w:t>
      </w:r>
      <w:r>
        <w:rPr>
          <w:rFonts w:hint="eastAsia"/>
          <w:szCs w:val="18"/>
          <w:lang w:val="en-US" w:eastAsia="zh-CN"/>
        </w:rPr>
        <w:t xml:space="preserve">t think  adjust for age would increase our precision of analysis. </w:t>
      </w:r>
    </w:p>
    <w:p>
      <w:pPr>
        <w:numPr>
          <w:numId w:val="0"/>
        </w:numPr>
        <w:autoSpaceDE w:val="0"/>
        <w:autoSpaceDN w:val="0"/>
        <w:adjustRightInd w:val="0"/>
        <w:spacing w:after="120"/>
        <w:ind w:left="1080" w:leftChars="0"/>
        <w:rPr>
          <w:rFonts w:hint="eastAsia"/>
          <w:szCs w:val="18"/>
          <w:lang w:val="en-US" w:eastAsia="zh-CN"/>
        </w:rPr>
      </w:pPr>
      <w:r>
        <w:rPr>
          <w:rFonts w:hint="eastAsia"/>
          <w:szCs w:val="18"/>
          <w:lang w:val="en-US" w:eastAsia="zh-CN"/>
        </w:rPr>
        <w:t>Speaking of sex, only 312 out of 418 patients having information on their sex, there is a too much high proportion on the missing values of sex. I highly doubt it would increase our precision when adjust for sex in our PH regression model.</w:t>
      </w:r>
    </w:p>
    <w:p>
      <w:pPr>
        <w:numPr>
          <w:ilvl w:val="1"/>
          <w:numId w:val="1"/>
        </w:numPr>
        <w:autoSpaceDE w:val="0"/>
        <w:autoSpaceDN w:val="0"/>
        <w:adjustRightInd w:val="0"/>
        <w:spacing w:after="120"/>
        <w:rPr>
          <w:color w:val="969696"/>
          <w:sz w:val="22"/>
          <w:szCs w:val="22"/>
        </w:rPr>
      </w:pPr>
      <w:bookmarkStart w:id="0" w:name="_GoBack"/>
      <w:r>
        <w:rPr>
          <w:color w:val="969696"/>
          <w:sz w:val="22"/>
          <w:szCs w:val="22"/>
        </w:rPr>
        <w:t>Provide full inference regarding an association between death and bilirubin after adjustment for sex and age.</w:t>
      </w:r>
    </w:p>
    <w:bookmarkEnd w:id="0"/>
    <w:p>
      <w:pPr>
        <w:numPr>
          <w:numId w:val="0"/>
        </w:numPr>
        <w:autoSpaceDE w:val="0"/>
        <w:autoSpaceDN w:val="0"/>
        <w:adjustRightInd w:val="0"/>
        <w:spacing w:after="120"/>
        <w:ind w:left="360" w:leftChars="0"/>
        <w:rPr>
          <w:rFonts w:hint="eastAsia" w:eastAsia="SimSun"/>
          <w:b/>
          <w:bCs/>
          <w:sz w:val="22"/>
          <w:szCs w:val="22"/>
          <w:lang w:val="en-US" w:eastAsia="zh-CN"/>
        </w:rPr>
      </w:pPr>
      <w:r>
        <w:rPr>
          <w:rFonts w:hint="eastAsia" w:eastAsia="SimSun"/>
          <w:b/>
          <w:bCs/>
          <w:sz w:val="22"/>
          <w:szCs w:val="22"/>
          <w:lang w:val="en-US" w:eastAsia="zh-CN"/>
        </w:rPr>
        <w:t>Answer:</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u w:val="single" w:color="auto"/>
          <w:lang w:val="en-US" w:eastAsia="zh-CN"/>
        </w:rPr>
        <w:t>Methods:</w:t>
      </w:r>
      <w:r>
        <w:rPr>
          <w:rFonts w:hint="eastAsia" w:eastAsia="SimSun"/>
          <w:sz w:val="22"/>
          <w:szCs w:val="22"/>
          <w:lang w:val="en-US" w:eastAsia="zh-CN"/>
        </w:rPr>
        <w:t xml:space="preserve"> </w:t>
      </w:r>
      <w:r>
        <w:rPr>
          <w:rFonts w:hint="eastAsia" w:eastAsia="SimSun"/>
          <w:color w:val="000000"/>
          <w:sz w:val="22"/>
          <w:szCs w:val="22"/>
          <w:lang w:val="en-US" w:eastAsia="zh-CN"/>
        </w:rPr>
        <w:t xml:space="preserve">Participants with missing values in either </w:t>
      </w:r>
      <w:r>
        <w:rPr>
          <w:rFonts w:hint="eastAsia" w:eastAsia="SimSun"/>
          <w:sz w:val="22"/>
          <w:szCs w:val="22"/>
          <w:lang w:val="en-US" w:eastAsia="zh-CN"/>
        </w:rPr>
        <w:t>serum bilirubin , observation time or survival status</w:t>
      </w:r>
      <w:r>
        <w:rPr>
          <w:rFonts w:hint="eastAsia" w:eastAsia="SimSun"/>
          <w:color w:val="000000"/>
          <w:sz w:val="22"/>
          <w:szCs w:val="22"/>
          <w:lang w:val="en-US" w:eastAsia="zh-CN"/>
        </w:rPr>
        <w:t xml:space="preserve"> were excluded from analysis. </w:t>
      </w:r>
      <w:r>
        <w:rPr>
          <w:rFonts w:hint="eastAsia" w:eastAsia="SimSun"/>
          <w:sz w:val="22"/>
          <w:szCs w:val="22"/>
          <w:lang w:val="en-US" w:eastAsia="zh-CN"/>
        </w:rPr>
        <w:t xml:space="preserve"> Hazards of death over the entire follow up time are compared across groups defined by log transformed (base=2)and age  and sex using proportional hazards regression with Robust standard error. Hazard ratio is summarized to evaluate the association between all-cause mortality and serum bilirubin level. Confidence interval and two-sided p value is computed using Wald statistics based on the Huber-White sandwich estimator.</w:t>
      </w:r>
    </w:p>
    <w:p>
      <w:pPr>
        <w:numPr>
          <w:numId w:val="0"/>
        </w:numPr>
        <w:autoSpaceDE w:val="0"/>
        <w:autoSpaceDN w:val="0"/>
        <w:adjustRightInd w:val="0"/>
        <w:spacing w:after="120"/>
        <w:ind w:left="1080" w:leftChars="0"/>
        <w:rPr>
          <w:rFonts w:hint="eastAsia" w:eastAsia="SimSun"/>
          <w:sz w:val="22"/>
          <w:szCs w:val="22"/>
          <w:lang w:val="en-US" w:eastAsia="zh-CN"/>
        </w:rPr>
      </w:pPr>
      <w:r>
        <w:rPr>
          <w:rFonts w:hint="eastAsia" w:eastAsia="SimSun"/>
          <w:b/>
          <w:bCs/>
          <w:sz w:val="22"/>
          <w:szCs w:val="22"/>
          <w:u w:val="single" w:color="auto"/>
          <w:lang w:val="en-US" w:eastAsia="zh-CN"/>
        </w:rPr>
        <w:t xml:space="preserve">Results: </w:t>
      </w:r>
      <w:r>
        <w:rPr>
          <w:rFonts w:hint="eastAsia" w:eastAsia="SimSun"/>
          <w:sz w:val="22"/>
          <w:szCs w:val="22"/>
          <w:lang w:val="en-US" w:eastAsia="zh-CN"/>
        </w:rPr>
        <w:t xml:space="preserve">312 patients had full data on serum bilirubin , observation time and survival status. From proportional hazards regression analysis, we estimate that for each doubling in serum bilirubin , the risk of all-cause death is 2.11times as high comparing to the group with lower serum bilirubin  but the same sex and of the same age. This estimate is highly statistically significant (P&lt;0.001). A 95% CI suggests that this observation is not unusual if a group with the same age and sex and has a serum bilirubin twice as high as another might have risk of all cause death that was anywhere from 1.83  to 2.42 times as high as  the group with the lower serum bilirubin but same sex and age. </w:t>
      </w:r>
    </w:p>
    <w:p>
      <w:pPr>
        <w:numPr>
          <w:ilvl w:val="0"/>
          <w:numId w:val="1"/>
        </w:numPr>
        <w:autoSpaceDE w:val="0"/>
        <w:autoSpaceDN w:val="0"/>
        <w:adjustRightInd w:val="0"/>
        <w:spacing w:after="120"/>
        <w:rPr>
          <w:color w:val="969696"/>
          <w:sz w:val="22"/>
          <w:szCs w:val="22"/>
        </w:rPr>
      </w:pPr>
      <w:r>
        <w:rPr>
          <w:color w:val="969696"/>
          <w:sz w:val="22"/>
          <w:szCs w:val="22"/>
        </w:rPr>
        <w:t>Note that in the above analyses, we completely ignored the intervention in the RCT? What impact could this have had on our results?</w:t>
      </w:r>
    </w:p>
    <w:p>
      <w:pPr>
        <w:numPr>
          <w:numId w:val="0"/>
        </w:numPr>
        <w:autoSpaceDE w:val="0"/>
        <w:autoSpaceDN w:val="0"/>
        <w:adjustRightInd w:val="0"/>
        <w:spacing w:after="120"/>
        <w:ind w:left="360" w:leftChars="0"/>
        <w:rPr>
          <w:rFonts w:hint="eastAsia" w:ascii="Times New Roman" w:hAnsi="Times New Roman" w:eastAsia="SimSun" w:cs="Times New Roman"/>
          <w:sz w:val="22"/>
          <w:szCs w:val="22"/>
          <w:lang w:val="en-US" w:eastAsia="zh-CN"/>
        </w:rPr>
      </w:pPr>
      <w:r>
        <w:rPr>
          <w:rFonts w:hint="eastAsia" w:eastAsia="SimSun"/>
          <w:b/>
          <w:bCs/>
          <w:sz w:val="22"/>
          <w:szCs w:val="22"/>
          <w:lang w:val="en-US" w:eastAsia="zh-CN"/>
        </w:rPr>
        <w:t xml:space="preserve">Answer: </w:t>
      </w:r>
      <w:r>
        <w:rPr>
          <w:rFonts w:hint="eastAsia" w:ascii="Times New Roman" w:hAnsi="Times New Roman" w:eastAsia="SimSun" w:cs="Times New Roman"/>
          <w:sz w:val="22"/>
          <w:szCs w:val="22"/>
          <w:lang w:val="en-US" w:eastAsia="zh-CN"/>
        </w:rPr>
        <w:t>Randomization would remove the associations between our POI(serum bilirubin) and the potential confounders(measured and unmeasured).  So age and sex would not be confounders to the association between all cause deaths and serum bilirubin.  They would only be precision variables now, as sex and age are only associated with our outcomes here in this sample. Adjusting sex and age would increase our precision in accessing the association between all cause mortality and serum bilirubin.</w:t>
      </w:r>
    </w:p>
    <w:sectPr>
      <w:headerReference r:id="rId4" w:type="default"/>
      <w:pgSz w:w="12240" w:h="15840"/>
      <w:pgMar w:top="1296" w:right="1296" w:bottom="1296" w:left="1296" w:header="720" w:footer="720" w:gutter="0"/>
      <w:pgBorders>
        <w:top w:val="none" w:color="auto" w:sz="0" w:space="0"/>
        <w:left w:val="none" w:color="auto" w:sz="0" w:space="0"/>
        <w:bottom w:val="none" w:color="auto" w:sz="0" w:space="0"/>
        <w:right w:val="none" w:color="auto"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t>Biost 518 / 515, Winter 2015</w:t>
    </w:r>
    <w:r>
      <w:tab/>
    </w:r>
    <w:r>
      <w:t>Homework #4</w:t>
    </w:r>
    <w:r>
      <w:tab/>
    </w:r>
    <w:r>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lang/>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snapToGrid w:val="0"/>
        <w:lang/>
      </w:rPr>
      <w:t>3</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7389290">
    <w:nsid w:val="665D47EA"/>
    <w:multiLevelType w:val="multilevel"/>
    <w:tmpl w:val="665D47EA"/>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rPr>
        <w:sz w:val="24"/>
        <w:szCs w:val="24"/>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1717389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720"/>
  <w:displayHorizontalDrawingGridEvery w:val="0"/>
  <w:displayVerticalDrawingGridEvery w:val="0"/>
  <w:doNotUseMarginsForDrawingGridOrigin w:val="1"/>
  <w:drawingGridHorizontalOrigin w:val="1701"/>
  <w:drawingGridVerticalOrigin w:val="1984"/>
  <w:noPunctuationKerning w:val="1"/>
  <w:characterSpacingControl w:val="doNotCompress"/>
  <w:compat>
    <w:spaceForUL/>
    <w:doNotLeaveBackslashAlone/>
    <w:splitPgBreakAndParaMark/>
    <w:shapeLayoutLikeWW8/>
    <w:alignTablesRowByRow/>
    <w:doNotUseHTMLParagraphAutoSpacing/>
    <w:useWord97LineBreakRules/>
    <w:doNotBreakWrappedTables/>
    <w:doNotWrapTextWithPunct/>
    <w:doNotUseEastAsianBreakRules/>
    <w:growAutofi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10B89"/>
    <w:rsid w:val="00004547"/>
    <w:rsid w:val="00021A79"/>
    <w:rsid w:val="000263C2"/>
    <w:rsid w:val="0004432C"/>
    <w:rsid w:val="00054A42"/>
    <w:rsid w:val="00060C13"/>
    <w:rsid w:val="0006333F"/>
    <w:rsid w:val="000817A7"/>
    <w:rsid w:val="000A3E09"/>
    <w:rsid w:val="000F52B6"/>
    <w:rsid w:val="0010428A"/>
    <w:rsid w:val="00115B08"/>
    <w:rsid w:val="00125DD5"/>
    <w:rsid w:val="00132AEC"/>
    <w:rsid w:val="00132BA1"/>
    <w:rsid w:val="00140EC9"/>
    <w:rsid w:val="00160820"/>
    <w:rsid w:val="00195B2D"/>
    <w:rsid w:val="001D2DC2"/>
    <w:rsid w:val="001E36FF"/>
    <w:rsid w:val="001E5158"/>
    <w:rsid w:val="001E79FA"/>
    <w:rsid w:val="001F053D"/>
    <w:rsid w:val="001F135D"/>
    <w:rsid w:val="00202909"/>
    <w:rsid w:val="0021517E"/>
    <w:rsid w:val="002213A5"/>
    <w:rsid w:val="00225E67"/>
    <w:rsid w:val="002365E3"/>
    <w:rsid w:val="0024368C"/>
    <w:rsid w:val="00261CFB"/>
    <w:rsid w:val="002777EC"/>
    <w:rsid w:val="002D5B86"/>
    <w:rsid w:val="002F0282"/>
    <w:rsid w:val="003471E3"/>
    <w:rsid w:val="00353B06"/>
    <w:rsid w:val="0036127B"/>
    <w:rsid w:val="00385CD1"/>
    <w:rsid w:val="003A6D85"/>
    <w:rsid w:val="003C0FBE"/>
    <w:rsid w:val="003D7C8C"/>
    <w:rsid w:val="003F3001"/>
    <w:rsid w:val="00410986"/>
    <w:rsid w:val="00410B89"/>
    <w:rsid w:val="00415759"/>
    <w:rsid w:val="0042294F"/>
    <w:rsid w:val="00422D91"/>
    <w:rsid w:val="00443606"/>
    <w:rsid w:val="004514C0"/>
    <w:rsid w:val="00452963"/>
    <w:rsid w:val="004664FD"/>
    <w:rsid w:val="00474EF6"/>
    <w:rsid w:val="004D1289"/>
    <w:rsid w:val="004D1292"/>
    <w:rsid w:val="004D7832"/>
    <w:rsid w:val="00501EC4"/>
    <w:rsid w:val="0050703D"/>
    <w:rsid w:val="00510B41"/>
    <w:rsid w:val="00511C56"/>
    <w:rsid w:val="00523AA4"/>
    <w:rsid w:val="00567523"/>
    <w:rsid w:val="00586C10"/>
    <w:rsid w:val="005B14E3"/>
    <w:rsid w:val="005C35DF"/>
    <w:rsid w:val="005C5726"/>
    <w:rsid w:val="005D7E06"/>
    <w:rsid w:val="005E10EC"/>
    <w:rsid w:val="005E415C"/>
    <w:rsid w:val="006138F9"/>
    <w:rsid w:val="006152BE"/>
    <w:rsid w:val="0062265F"/>
    <w:rsid w:val="006268D1"/>
    <w:rsid w:val="006336A9"/>
    <w:rsid w:val="00634D47"/>
    <w:rsid w:val="0063762C"/>
    <w:rsid w:val="006508C5"/>
    <w:rsid w:val="00654208"/>
    <w:rsid w:val="00673A26"/>
    <w:rsid w:val="00676B73"/>
    <w:rsid w:val="00693DD6"/>
    <w:rsid w:val="006A5F1B"/>
    <w:rsid w:val="006B1E11"/>
    <w:rsid w:val="006C49EE"/>
    <w:rsid w:val="006E16C5"/>
    <w:rsid w:val="006E5205"/>
    <w:rsid w:val="00705ECB"/>
    <w:rsid w:val="007356DE"/>
    <w:rsid w:val="007366CC"/>
    <w:rsid w:val="00741AE1"/>
    <w:rsid w:val="007506C5"/>
    <w:rsid w:val="00751474"/>
    <w:rsid w:val="007518FF"/>
    <w:rsid w:val="00762DE6"/>
    <w:rsid w:val="00767D4A"/>
    <w:rsid w:val="00785A87"/>
    <w:rsid w:val="007B1360"/>
    <w:rsid w:val="007B4E60"/>
    <w:rsid w:val="00836540"/>
    <w:rsid w:val="0087636D"/>
    <w:rsid w:val="008A45D9"/>
    <w:rsid w:val="008B246D"/>
    <w:rsid w:val="008B53CA"/>
    <w:rsid w:val="008F73A3"/>
    <w:rsid w:val="00905BC9"/>
    <w:rsid w:val="00905E82"/>
    <w:rsid w:val="00927CF6"/>
    <w:rsid w:val="0094708F"/>
    <w:rsid w:val="009B2370"/>
    <w:rsid w:val="009C542B"/>
    <w:rsid w:val="009D5804"/>
    <w:rsid w:val="009F413F"/>
    <w:rsid w:val="00A0233D"/>
    <w:rsid w:val="00A05CD5"/>
    <w:rsid w:val="00A31D8C"/>
    <w:rsid w:val="00A4205F"/>
    <w:rsid w:val="00A44034"/>
    <w:rsid w:val="00A459C8"/>
    <w:rsid w:val="00A620A3"/>
    <w:rsid w:val="00A86F93"/>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A1862"/>
    <w:rsid w:val="00BF5CB8"/>
    <w:rsid w:val="00C00601"/>
    <w:rsid w:val="00C15CDE"/>
    <w:rsid w:val="00C34EBC"/>
    <w:rsid w:val="00C55091"/>
    <w:rsid w:val="00C642DD"/>
    <w:rsid w:val="00C64E34"/>
    <w:rsid w:val="00C74FEC"/>
    <w:rsid w:val="00C8626E"/>
    <w:rsid w:val="00C93A29"/>
    <w:rsid w:val="00CC37A7"/>
    <w:rsid w:val="00CD5115"/>
    <w:rsid w:val="00D16C04"/>
    <w:rsid w:val="00D72BD7"/>
    <w:rsid w:val="00DC01FF"/>
    <w:rsid w:val="00DD6B80"/>
    <w:rsid w:val="00DE3817"/>
    <w:rsid w:val="00E01E38"/>
    <w:rsid w:val="00E03960"/>
    <w:rsid w:val="00E56588"/>
    <w:rsid w:val="00E642DA"/>
    <w:rsid w:val="00E741C7"/>
    <w:rsid w:val="00E81610"/>
    <w:rsid w:val="00E91856"/>
    <w:rsid w:val="00ED47B6"/>
    <w:rsid w:val="00F15D49"/>
    <w:rsid w:val="00F5078F"/>
    <w:rsid w:val="00F507B9"/>
    <w:rsid w:val="00F538AE"/>
    <w:rsid w:val="00FA2C0B"/>
    <w:rsid w:val="00FB663C"/>
    <w:rsid w:val="00FC30D4"/>
    <w:rsid w:val="00FE67F0"/>
    <w:rsid w:val="00FE7942"/>
    <w:rsid w:val="00FF6ACB"/>
    <w:rsid w:val="012723F3"/>
    <w:rsid w:val="02A73B69"/>
    <w:rsid w:val="02BF1210"/>
    <w:rsid w:val="038908D8"/>
    <w:rsid w:val="03BB5C30"/>
    <w:rsid w:val="050E77DB"/>
    <w:rsid w:val="05F2584F"/>
    <w:rsid w:val="072C42D2"/>
    <w:rsid w:val="07B64236"/>
    <w:rsid w:val="08C17BEC"/>
    <w:rsid w:val="0A5C798D"/>
    <w:rsid w:val="0A6F0BAC"/>
    <w:rsid w:val="0D142104"/>
    <w:rsid w:val="0DE15FD5"/>
    <w:rsid w:val="0E773F4A"/>
    <w:rsid w:val="0F295F6C"/>
    <w:rsid w:val="1167461D"/>
    <w:rsid w:val="130265BC"/>
    <w:rsid w:val="13D54396"/>
    <w:rsid w:val="14B95C8D"/>
    <w:rsid w:val="162D57EF"/>
    <w:rsid w:val="19FF64B5"/>
    <w:rsid w:val="1DEA6A1F"/>
    <w:rsid w:val="1E0D5CDA"/>
    <w:rsid w:val="1E726D03"/>
    <w:rsid w:val="20AF62AE"/>
    <w:rsid w:val="24780862"/>
    <w:rsid w:val="27AF712B"/>
    <w:rsid w:val="294604C6"/>
    <w:rsid w:val="2A9F6179"/>
    <w:rsid w:val="2B43250A"/>
    <w:rsid w:val="2B95320E"/>
    <w:rsid w:val="2BD561F6"/>
    <w:rsid w:val="2D397142"/>
    <w:rsid w:val="30C51891"/>
    <w:rsid w:val="315F620C"/>
    <w:rsid w:val="32273A57"/>
    <w:rsid w:val="34E46DD3"/>
    <w:rsid w:val="35A93699"/>
    <w:rsid w:val="367A26EC"/>
    <w:rsid w:val="3B553864"/>
    <w:rsid w:val="3B9D1A5A"/>
    <w:rsid w:val="3BAF51F7"/>
    <w:rsid w:val="3BC14218"/>
    <w:rsid w:val="3CAC7699"/>
    <w:rsid w:val="3D924493"/>
    <w:rsid w:val="3D941B95"/>
    <w:rsid w:val="3E317495"/>
    <w:rsid w:val="40261ECE"/>
    <w:rsid w:val="41B24ED8"/>
    <w:rsid w:val="420610DF"/>
    <w:rsid w:val="43210932"/>
    <w:rsid w:val="44520CA4"/>
    <w:rsid w:val="453A31A0"/>
    <w:rsid w:val="469211D3"/>
    <w:rsid w:val="491237F0"/>
    <w:rsid w:val="4DEA5F62"/>
    <w:rsid w:val="4E005F07"/>
    <w:rsid w:val="4F851586"/>
    <w:rsid w:val="51465964"/>
    <w:rsid w:val="52013E99"/>
    <w:rsid w:val="5251711B"/>
    <w:rsid w:val="52BF589F"/>
    <w:rsid w:val="52E4668A"/>
    <w:rsid w:val="532B0103"/>
    <w:rsid w:val="53E95F37"/>
    <w:rsid w:val="57117A69"/>
    <w:rsid w:val="58086CFC"/>
    <w:rsid w:val="58ED49F0"/>
    <w:rsid w:val="598865E0"/>
    <w:rsid w:val="5A5D394D"/>
    <w:rsid w:val="5A7D1C84"/>
    <w:rsid w:val="5C7A3CC8"/>
    <w:rsid w:val="61B009D1"/>
    <w:rsid w:val="62A969EB"/>
    <w:rsid w:val="62E62FCC"/>
    <w:rsid w:val="645B3E33"/>
    <w:rsid w:val="66A27570"/>
    <w:rsid w:val="67CA2856"/>
    <w:rsid w:val="69CB581E"/>
    <w:rsid w:val="6A7B433D"/>
    <w:rsid w:val="6C5661CD"/>
    <w:rsid w:val="6D3E4E45"/>
    <w:rsid w:val="6E3C4D68"/>
    <w:rsid w:val="6EF36A95"/>
    <w:rsid w:val="77DF03B7"/>
    <w:rsid w:val="78925C5D"/>
    <w:rsid w:val="7A304404"/>
    <w:rsid w:val="7A8B129B"/>
    <w:rsid w:val="7AED003A"/>
    <w:rsid w:val="7B9B3656"/>
    <w:rsid w:val="7DDC4E8A"/>
    <w:rsid w:val="7E474539"/>
    <w:rsid w:val="7EA1175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lang w:val="en-US" w:eastAsia="en-US"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tcPr>
      <w:textDirection w:val="lrTb"/>
    </w:tcPr>
  </w:style>
  <w:style w:type="paragraph" w:styleId="2">
    <w:name w:val="Plain Text"/>
    <w:basedOn w:val="1"/>
    <w:uiPriority w:val="0"/>
    <w:rPr>
      <w:rFonts w:ascii="Courier New" w:hAnsi="Courier New" w:cs="Courier New"/>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7">
    <w:name w:val="Hyperlink"/>
    <w:basedOn w:val="6"/>
    <w:uiPriority w:val="0"/>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Scott Emerson</Company>
  <Pages>1</Pages>
  <Words>903</Words>
  <Characters>5149</Characters>
  <Lines>42</Lines>
  <Paragraphs>12</Paragraphs>
  <ScaleCrop>false</ScaleCrop>
  <LinksUpToDate>false</LinksUpToDate>
  <CharactersWithSpaces>6040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2015-02-02T21:25:00Z</dcterms:created>
  <dc:creator>Scott Emerson</dc:creator>
  <cp:lastModifiedBy>N</cp:lastModifiedBy>
  <dcterms:modified xsi:type="dcterms:W3CDTF">2015-02-10T11:22:47Z</dcterms:modified>
  <dc:title>Homework #2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