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A6343"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41EEC4DA"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0002ABED"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6A5F1B">
        <w:rPr>
          <w:color w:val="000000"/>
          <w:sz w:val="22"/>
          <w:szCs w:val="22"/>
        </w:rPr>
        <w:t>Winter</w:t>
      </w:r>
      <w:proofErr w:type="gramEnd"/>
      <w:r w:rsidR="006A5F1B">
        <w:rPr>
          <w:color w:val="000000"/>
          <w:sz w:val="22"/>
          <w:szCs w:val="22"/>
        </w:rPr>
        <w:t xml:space="preserve"> 2015</w:t>
      </w:r>
    </w:p>
    <w:p w14:paraId="018A5694" w14:textId="77777777" w:rsidR="00C93A29" w:rsidRPr="0036127B" w:rsidRDefault="00C93A29" w:rsidP="00C93A29">
      <w:pPr>
        <w:autoSpaceDE w:val="0"/>
        <w:autoSpaceDN w:val="0"/>
        <w:adjustRightInd w:val="0"/>
        <w:jc w:val="center"/>
        <w:rPr>
          <w:b/>
          <w:color w:val="000000"/>
          <w:sz w:val="22"/>
          <w:szCs w:val="22"/>
        </w:rPr>
      </w:pPr>
    </w:p>
    <w:p w14:paraId="33281714" w14:textId="77777777" w:rsidR="00C93A29" w:rsidRPr="0036127B" w:rsidRDefault="00F538AE" w:rsidP="00C93A29">
      <w:pPr>
        <w:autoSpaceDE w:val="0"/>
        <w:autoSpaceDN w:val="0"/>
        <w:adjustRightInd w:val="0"/>
        <w:jc w:val="center"/>
        <w:rPr>
          <w:b/>
          <w:color w:val="000000"/>
          <w:sz w:val="22"/>
          <w:szCs w:val="22"/>
        </w:rPr>
      </w:pPr>
      <w:commentRangeStart w:id="0"/>
      <w:r>
        <w:rPr>
          <w:b/>
          <w:color w:val="000000"/>
          <w:sz w:val="22"/>
          <w:szCs w:val="22"/>
        </w:rPr>
        <w:t>Homework #4</w:t>
      </w:r>
      <w:commentRangeEnd w:id="0"/>
      <w:r w:rsidR="007C40A2">
        <w:rPr>
          <w:rStyle w:val="CommentReference"/>
        </w:rPr>
        <w:commentReference w:id="0"/>
      </w:r>
    </w:p>
    <w:p w14:paraId="240A1B21" w14:textId="77777777" w:rsidR="00C93A29" w:rsidRPr="0036127B" w:rsidRDefault="006A5F1B" w:rsidP="00C93A29">
      <w:pPr>
        <w:autoSpaceDE w:val="0"/>
        <w:autoSpaceDN w:val="0"/>
        <w:adjustRightInd w:val="0"/>
        <w:jc w:val="center"/>
        <w:rPr>
          <w:color w:val="000000"/>
          <w:sz w:val="22"/>
          <w:szCs w:val="22"/>
        </w:rPr>
      </w:pPr>
      <w:r>
        <w:rPr>
          <w:color w:val="000000"/>
          <w:sz w:val="22"/>
          <w:szCs w:val="22"/>
        </w:rPr>
        <w:t>February 2, 2015</w:t>
      </w:r>
    </w:p>
    <w:p w14:paraId="32BF8416" w14:textId="77777777" w:rsidR="00C93A29" w:rsidRPr="0036127B" w:rsidRDefault="00C93A29" w:rsidP="00410B89">
      <w:pPr>
        <w:autoSpaceDE w:val="0"/>
        <w:autoSpaceDN w:val="0"/>
        <w:adjustRightInd w:val="0"/>
        <w:rPr>
          <w:b/>
          <w:color w:val="000000"/>
          <w:sz w:val="22"/>
          <w:szCs w:val="22"/>
        </w:rPr>
      </w:pPr>
    </w:p>
    <w:p w14:paraId="783B1FEF" w14:textId="77777777"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6A5F1B">
        <w:rPr>
          <w:color w:val="000000"/>
          <w:sz w:val="22"/>
          <w:szCs w:val="22"/>
        </w:rPr>
        <w:t>February 9</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0F451784" w14:textId="77777777" w:rsidR="002F0282" w:rsidRDefault="002F0282" w:rsidP="002F0282">
      <w:pPr>
        <w:autoSpaceDE w:val="0"/>
        <w:autoSpaceDN w:val="0"/>
        <w:adjustRightInd w:val="0"/>
        <w:rPr>
          <w:color w:val="000000"/>
          <w:sz w:val="22"/>
          <w:szCs w:val="22"/>
        </w:rPr>
      </w:pPr>
    </w:p>
    <w:p w14:paraId="68A3CC3D"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6EDF1D38" w14:textId="77777777" w:rsidR="001D2DC2" w:rsidRDefault="001D2DC2" w:rsidP="0036127B">
      <w:pPr>
        <w:autoSpaceDE w:val="0"/>
        <w:autoSpaceDN w:val="0"/>
        <w:adjustRightInd w:val="0"/>
        <w:rPr>
          <w:color w:val="000000"/>
          <w:sz w:val="22"/>
          <w:szCs w:val="22"/>
        </w:rPr>
      </w:pPr>
    </w:p>
    <w:p w14:paraId="0070DE1D"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0505C040"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48AD1631"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bookmarkStart w:id="1" w:name="_GoBack"/>
      <w:bookmarkEnd w:id="1"/>
    </w:p>
    <w:p w14:paraId="33392AF4" w14:textId="77777777" w:rsidR="00132BA1" w:rsidRPr="002F0282" w:rsidRDefault="00132BA1" w:rsidP="00132BA1">
      <w:pPr>
        <w:autoSpaceDE w:val="0"/>
        <w:autoSpaceDN w:val="0"/>
        <w:adjustRightInd w:val="0"/>
        <w:ind w:left="1080"/>
        <w:rPr>
          <w:b/>
          <w:bCs/>
          <w:i/>
          <w:iCs/>
          <w:color w:val="000000"/>
          <w:sz w:val="22"/>
          <w:szCs w:val="22"/>
        </w:rPr>
      </w:pPr>
    </w:p>
    <w:p w14:paraId="3331A25E" w14:textId="77777777" w:rsidR="00261CFB" w:rsidRPr="009D5804" w:rsidRDefault="00C00601" w:rsidP="004D7832">
      <w:pPr>
        <w:autoSpaceDE w:val="0"/>
        <w:autoSpaceDN w:val="0"/>
        <w:adjustRightInd w:val="0"/>
        <w:rPr>
          <w:sz w:val="22"/>
          <w:szCs w:val="22"/>
        </w:rPr>
      </w:pPr>
      <w:r>
        <w:rPr>
          <w:color w:val="000000"/>
          <w:sz w:val="22"/>
          <w:szCs w:val="22"/>
        </w:rPr>
        <w:t xml:space="preserve">This homework </w:t>
      </w:r>
      <w:r w:rsidR="004D7832">
        <w:rPr>
          <w:color w:val="000000"/>
          <w:sz w:val="22"/>
          <w:szCs w:val="22"/>
        </w:rPr>
        <w:t>investigates associations between death from any cause and age, sex, and serum bilirubin in a population of patients with primary biliary cirrhosis who were enrolled in a randomized clinical trial (RCT) of D-penicillamine.</w:t>
      </w:r>
      <w:r>
        <w:rPr>
          <w:color w:val="000000"/>
          <w:sz w:val="22"/>
          <w:szCs w:val="22"/>
        </w:rPr>
        <w:t xml:space="preserve"> </w:t>
      </w:r>
      <w:r w:rsidR="00132BA1" w:rsidRPr="009D5804">
        <w:rPr>
          <w:sz w:val="22"/>
          <w:szCs w:val="22"/>
        </w:rPr>
        <w:t xml:space="preserve">The data can be found on the class web page (follow the link to Datasets) in the file labeled </w:t>
      </w:r>
      <w:r w:rsidR="004D7832">
        <w:rPr>
          <w:sz w:val="22"/>
          <w:szCs w:val="22"/>
        </w:rPr>
        <w:t>liver</w:t>
      </w:r>
      <w:r w:rsidR="00132BA1" w:rsidRPr="009D5804">
        <w:rPr>
          <w:sz w:val="22"/>
          <w:szCs w:val="22"/>
        </w:rPr>
        <w:t>.txt. Docu</w:t>
      </w:r>
      <w:r w:rsidR="00FB663C" w:rsidRPr="009D5804">
        <w:rPr>
          <w:sz w:val="22"/>
          <w:szCs w:val="22"/>
        </w:rPr>
        <w:t xml:space="preserve">mentation is in the file </w:t>
      </w:r>
      <w:r w:rsidR="004D7832">
        <w:rPr>
          <w:sz w:val="22"/>
          <w:szCs w:val="22"/>
        </w:rPr>
        <w:t>liver.doc</w:t>
      </w:r>
      <w:r w:rsidR="00FB663C" w:rsidRPr="009D5804">
        <w:rPr>
          <w:sz w:val="22"/>
          <w:szCs w:val="22"/>
        </w:rPr>
        <w:t xml:space="preserve">. </w:t>
      </w:r>
    </w:p>
    <w:p w14:paraId="122EADD1" w14:textId="77777777" w:rsidR="00261CFB" w:rsidRPr="009D5804" w:rsidRDefault="00261CFB" w:rsidP="00261CFB">
      <w:pPr>
        <w:autoSpaceDE w:val="0"/>
        <w:autoSpaceDN w:val="0"/>
        <w:adjustRightInd w:val="0"/>
        <w:rPr>
          <w:sz w:val="22"/>
          <w:szCs w:val="22"/>
        </w:rPr>
      </w:pPr>
    </w:p>
    <w:p w14:paraId="23CEF136" w14:textId="77777777" w:rsidR="004D7832" w:rsidRDefault="004D7832" w:rsidP="00F538AE">
      <w:pPr>
        <w:numPr>
          <w:ilvl w:val="0"/>
          <w:numId w:val="19"/>
        </w:numPr>
        <w:autoSpaceDE w:val="0"/>
        <w:autoSpaceDN w:val="0"/>
        <w:adjustRightInd w:val="0"/>
        <w:spacing w:after="120"/>
        <w:rPr>
          <w:sz w:val="22"/>
          <w:szCs w:val="22"/>
        </w:rPr>
      </w:pPr>
      <w:commentRangeStart w:id="2"/>
      <w:r>
        <w:rPr>
          <w:sz w:val="22"/>
          <w:szCs w:val="22"/>
        </w:rPr>
        <w:t>Provide suitable descriptive statistics pertinent to the scientific questions addressed in this homework.</w:t>
      </w:r>
      <w:commentRangeEnd w:id="2"/>
      <w:r w:rsidR="007A614B">
        <w:rPr>
          <w:rStyle w:val="CommentReference"/>
        </w:rPr>
        <w:commentReference w:id="2"/>
      </w:r>
    </w:p>
    <w:p w14:paraId="550866A1" w14:textId="77777777" w:rsidR="008E1C1E" w:rsidRPr="00C525D7" w:rsidRDefault="008E1C1E" w:rsidP="008E1C1E">
      <w:pPr>
        <w:autoSpaceDE w:val="0"/>
        <w:autoSpaceDN w:val="0"/>
        <w:adjustRightInd w:val="0"/>
        <w:spacing w:after="120"/>
        <w:ind w:left="720"/>
        <w:jc w:val="both"/>
        <w:rPr>
          <w:color w:val="0070C0"/>
          <w:sz w:val="22"/>
          <w:szCs w:val="22"/>
        </w:rPr>
      </w:pPr>
      <w:r w:rsidRPr="00C525D7">
        <w:rPr>
          <w:b/>
          <w:color w:val="0070C0"/>
          <w:sz w:val="22"/>
          <w:szCs w:val="22"/>
          <w:u w:val="single"/>
        </w:rPr>
        <w:t>Method</w:t>
      </w:r>
      <w:r w:rsidRPr="00C525D7">
        <w:rPr>
          <w:color w:val="0070C0"/>
          <w:sz w:val="22"/>
          <w:szCs w:val="22"/>
        </w:rPr>
        <w:t xml:space="preserve">: </w:t>
      </w:r>
      <w:r w:rsidR="00642C2C" w:rsidRPr="00C525D7">
        <w:rPr>
          <w:color w:val="0070C0"/>
          <w:sz w:val="22"/>
          <w:szCs w:val="22"/>
        </w:rPr>
        <w:t>I performed a descriptive statistics on ag</w:t>
      </w:r>
      <w:r w:rsidR="004C4390" w:rsidRPr="00C525D7">
        <w:rPr>
          <w:color w:val="0070C0"/>
          <w:sz w:val="22"/>
          <w:szCs w:val="22"/>
        </w:rPr>
        <w:t>e and sex by bilirubin level</w:t>
      </w:r>
      <w:r w:rsidR="00C10F4B">
        <w:rPr>
          <w:color w:val="0070C0"/>
          <w:sz w:val="22"/>
          <w:szCs w:val="22"/>
        </w:rPr>
        <w:t>s</w:t>
      </w:r>
      <w:r w:rsidR="004C4390" w:rsidRPr="00C525D7">
        <w:rPr>
          <w:color w:val="0070C0"/>
          <w:sz w:val="22"/>
          <w:szCs w:val="22"/>
        </w:rPr>
        <w:t>. For this</w:t>
      </w:r>
      <w:r w:rsidR="002C1A8F">
        <w:rPr>
          <w:color w:val="0070C0"/>
          <w:sz w:val="22"/>
          <w:szCs w:val="22"/>
        </w:rPr>
        <w:t>,</w:t>
      </w:r>
      <w:r w:rsidR="004C4390" w:rsidRPr="00C525D7">
        <w:rPr>
          <w:color w:val="0070C0"/>
          <w:sz w:val="22"/>
          <w:szCs w:val="22"/>
        </w:rPr>
        <w:t xml:space="preserve"> </w:t>
      </w:r>
      <w:r w:rsidR="002C1A8F">
        <w:rPr>
          <w:color w:val="0070C0"/>
          <w:sz w:val="22"/>
          <w:szCs w:val="22"/>
        </w:rPr>
        <w:t>serum</w:t>
      </w:r>
      <w:r w:rsidR="004C4390" w:rsidRPr="00C525D7">
        <w:rPr>
          <w:color w:val="0070C0"/>
          <w:sz w:val="22"/>
          <w:szCs w:val="22"/>
        </w:rPr>
        <w:t xml:space="preserve"> bilirubin </w:t>
      </w:r>
      <w:r w:rsidR="002C1A8F">
        <w:rPr>
          <w:color w:val="0070C0"/>
          <w:sz w:val="22"/>
          <w:szCs w:val="22"/>
        </w:rPr>
        <w:t>was</w:t>
      </w:r>
      <w:r w:rsidR="004C4390" w:rsidRPr="00C525D7">
        <w:rPr>
          <w:color w:val="0070C0"/>
          <w:sz w:val="22"/>
          <w:szCs w:val="22"/>
        </w:rPr>
        <w:t xml:space="preserve"> categorized</w:t>
      </w:r>
      <w:r w:rsidR="00C10F4B">
        <w:rPr>
          <w:color w:val="0070C0"/>
          <w:sz w:val="22"/>
          <w:szCs w:val="22"/>
        </w:rPr>
        <w:t xml:space="preserve"> into 0, 1, 2, 4, 8 and 16mg/dl</w:t>
      </w:r>
      <w:r w:rsidR="004C4390" w:rsidRPr="00C525D7">
        <w:rPr>
          <w:color w:val="0070C0"/>
          <w:sz w:val="22"/>
          <w:szCs w:val="22"/>
        </w:rPr>
        <w:t xml:space="preserve">. For each bilirubin level, the mean age, its standard deviations, and minimum and maximum values were determined. For gender, percent male and female </w:t>
      </w:r>
      <w:proofErr w:type="gramStart"/>
      <w:r w:rsidR="004C4390" w:rsidRPr="00C525D7">
        <w:rPr>
          <w:color w:val="0070C0"/>
          <w:sz w:val="22"/>
          <w:szCs w:val="22"/>
        </w:rPr>
        <w:t>were</w:t>
      </w:r>
      <w:proofErr w:type="gramEnd"/>
      <w:r w:rsidR="004C4390" w:rsidRPr="00C525D7">
        <w:rPr>
          <w:color w:val="0070C0"/>
          <w:sz w:val="22"/>
          <w:szCs w:val="22"/>
        </w:rPr>
        <w:t xml:space="preserve"> determined. A</w:t>
      </w:r>
      <w:r w:rsidR="00C10F4B">
        <w:rPr>
          <w:color w:val="0070C0"/>
          <w:sz w:val="22"/>
          <w:szCs w:val="22"/>
        </w:rPr>
        <w:t>nd, a Kaplan Meier c</w:t>
      </w:r>
      <w:r w:rsidR="004C4390" w:rsidRPr="00C525D7">
        <w:rPr>
          <w:color w:val="0070C0"/>
          <w:sz w:val="22"/>
          <w:szCs w:val="22"/>
        </w:rPr>
        <w:t>urve was generated for each bilirubin level</w:t>
      </w:r>
      <w:r w:rsidR="002C1A8F">
        <w:rPr>
          <w:color w:val="0070C0"/>
          <w:sz w:val="22"/>
          <w:szCs w:val="22"/>
        </w:rPr>
        <w:t xml:space="preserve"> to look at survival probabilitie</w:t>
      </w:r>
      <w:r w:rsidR="00863551">
        <w:rPr>
          <w:color w:val="0070C0"/>
          <w:sz w:val="22"/>
          <w:szCs w:val="22"/>
        </w:rPr>
        <w:t>s at different bilirubin concentrations</w:t>
      </w:r>
      <w:r w:rsidR="004C4390" w:rsidRPr="00C525D7">
        <w:rPr>
          <w:color w:val="0070C0"/>
          <w:sz w:val="22"/>
          <w:szCs w:val="22"/>
        </w:rPr>
        <w:t xml:space="preserve">. </w:t>
      </w:r>
    </w:p>
    <w:p w14:paraId="3E56094D" w14:textId="77777777" w:rsidR="008E1C1E" w:rsidRDefault="008E1C1E" w:rsidP="00852CBF">
      <w:pPr>
        <w:autoSpaceDE w:val="0"/>
        <w:autoSpaceDN w:val="0"/>
        <w:adjustRightInd w:val="0"/>
        <w:spacing w:after="120"/>
        <w:ind w:left="720"/>
        <w:jc w:val="both"/>
        <w:rPr>
          <w:color w:val="0070C0"/>
          <w:sz w:val="22"/>
          <w:szCs w:val="22"/>
        </w:rPr>
      </w:pPr>
      <w:r w:rsidRPr="00C525D7">
        <w:rPr>
          <w:b/>
          <w:color w:val="0070C0"/>
          <w:sz w:val="22"/>
          <w:szCs w:val="22"/>
          <w:u w:val="single"/>
        </w:rPr>
        <w:t>Result</w:t>
      </w:r>
      <w:r w:rsidRPr="00C525D7">
        <w:rPr>
          <w:color w:val="0070C0"/>
          <w:sz w:val="22"/>
          <w:szCs w:val="22"/>
        </w:rPr>
        <w:t xml:space="preserve">: </w:t>
      </w:r>
      <w:r w:rsidR="00866D32">
        <w:rPr>
          <w:color w:val="0070C0"/>
          <w:sz w:val="22"/>
          <w:szCs w:val="22"/>
        </w:rPr>
        <w:t xml:space="preserve">The analysis shows that </w:t>
      </w:r>
      <w:r w:rsidR="00866D32" w:rsidRPr="00C525D7">
        <w:rPr>
          <w:color w:val="0070C0"/>
          <w:sz w:val="22"/>
          <w:szCs w:val="22"/>
        </w:rPr>
        <w:t>106 out of 418 patients were missing data on sex.</w:t>
      </w:r>
      <w:r w:rsidR="00866D32">
        <w:rPr>
          <w:color w:val="0070C0"/>
          <w:sz w:val="22"/>
          <w:szCs w:val="22"/>
        </w:rPr>
        <w:t xml:space="preserve"> </w:t>
      </w:r>
      <w:r w:rsidR="00866D32" w:rsidRPr="00C525D7">
        <w:rPr>
          <w:color w:val="0070C0"/>
          <w:sz w:val="22"/>
          <w:szCs w:val="22"/>
        </w:rPr>
        <w:t>As per the available data, number of patients is predominantly female</w:t>
      </w:r>
      <w:r w:rsidR="00866D32">
        <w:rPr>
          <w:color w:val="0070C0"/>
          <w:sz w:val="22"/>
          <w:szCs w:val="22"/>
        </w:rPr>
        <w:t>. T</w:t>
      </w:r>
      <w:r w:rsidR="00273FD1" w:rsidRPr="00C525D7">
        <w:rPr>
          <w:color w:val="0070C0"/>
          <w:sz w:val="22"/>
          <w:szCs w:val="22"/>
        </w:rPr>
        <w:t>he mean age of patients acro</w:t>
      </w:r>
      <w:r w:rsidR="00866D32">
        <w:rPr>
          <w:color w:val="0070C0"/>
          <w:sz w:val="22"/>
          <w:szCs w:val="22"/>
        </w:rPr>
        <w:t>ss bilirubin groups are similar,</w:t>
      </w:r>
      <w:r w:rsidR="0047716B" w:rsidRPr="00C525D7">
        <w:rPr>
          <w:color w:val="0070C0"/>
          <w:sz w:val="22"/>
          <w:szCs w:val="22"/>
        </w:rPr>
        <w:t xml:space="preserve"> and the percent dead is higher at higher bilirubin level, the mean of which is 3.22mg/dl with standard deviation of 4.41mg/dl and range of 0.3 to 38mg/dl. </w:t>
      </w:r>
    </w:p>
    <w:p w14:paraId="05AFAE83" w14:textId="77777777" w:rsidR="00E82587" w:rsidRPr="00E82587" w:rsidRDefault="00E82587" w:rsidP="00852CBF">
      <w:pPr>
        <w:autoSpaceDE w:val="0"/>
        <w:autoSpaceDN w:val="0"/>
        <w:adjustRightInd w:val="0"/>
        <w:spacing w:after="120"/>
        <w:ind w:left="720"/>
        <w:jc w:val="both"/>
        <w:rPr>
          <w:bCs/>
          <w:color w:val="0070C0"/>
          <w:sz w:val="22"/>
          <w:szCs w:val="22"/>
        </w:rPr>
      </w:pPr>
      <w:r>
        <w:rPr>
          <w:bCs/>
          <w:color w:val="0070C0"/>
          <w:sz w:val="22"/>
          <w:szCs w:val="22"/>
        </w:rPr>
        <w:t xml:space="preserve">From the Kaplan-Meier curve, it is seen that survival probability is low for patients with higher bilirubin </w:t>
      </w:r>
      <w:commentRangeStart w:id="3"/>
      <w:r>
        <w:rPr>
          <w:bCs/>
          <w:color w:val="0070C0"/>
          <w:sz w:val="22"/>
          <w:szCs w:val="22"/>
        </w:rPr>
        <w:t xml:space="preserve">levels and it decreases with increasing number of years. </w:t>
      </w:r>
    </w:p>
    <w:tbl>
      <w:tblPr>
        <w:tblW w:w="84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804"/>
        <w:gridCol w:w="1220"/>
        <w:gridCol w:w="856"/>
        <w:gridCol w:w="804"/>
        <w:gridCol w:w="1220"/>
        <w:gridCol w:w="856"/>
      </w:tblGrid>
      <w:tr w:rsidR="00273FD1" w:rsidRPr="00273FD1" w14:paraId="0C95D714" w14:textId="77777777" w:rsidTr="00273FD1">
        <w:trPr>
          <w:trHeight w:val="300"/>
        </w:trPr>
        <w:tc>
          <w:tcPr>
            <w:tcW w:w="2680" w:type="dxa"/>
            <w:tcBorders>
              <w:top w:val="single" w:sz="4" w:space="0" w:color="auto"/>
              <w:left w:val="single" w:sz="4" w:space="0" w:color="auto"/>
              <w:bottom w:val="nil"/>
              <w:right w:val="single" w:sz="4" w:space="0" w:color="auto"/>
            </w:tcBorders>
            <w:shd w:val="clear" w:color="auto" w:fill="auto"/>
            <w:noWrap/>
            <w:vAlign w:val="bottom"/>
            <w:hideMark/>
          </w:tcPr>
          <w:p w14:paraId="3FC67B68" w14:textId="77777777" w:rsidR="00273FD1" w:rsidRPr="00273FD1" w:rsidRDefault="00273FD1" w:rsidP="00273FD1">
            <w:pPr>
              <w:rPr>
                <w:rFonts w:ascii="Calibri" w:hAnsi="Calibri" w:cs="Calibri"/>
                <w:color w:val="000000"/>
                <w:sz w:val="22"/>
                <w:szCs w:val="22"/>
                <w:lang w:bidi="ne-NP"/>
              </w:rPr>
            </w:pPr>
          </w:p>
        </w:tc>
        <w:tc>
          <w:tcPr>
            <w:tcW w:w="5760" w:type="dxa"/>
            <w:gridSpan w:val="6"/>
            <w:tcBorders>
              <w:left w:val="single" w:sz="4" w:space="0" w:color="auto"/>
            </w:tcBorders>
            <w:shd w:val="clear" w:color="auto" w:fill="auto"/>
            <w:noWrap/>
            <w:vAlign w:val="center"/>
            <w:hideMark/>
          </w:tcPr>
          <w:p w14:paraId="3C7917E1"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Bilirubin Levels in mg/dl (n = 418)</w:t>
            </w:r>
          </w:p>
        </w:tc>
      </w:tr>
      <w:tr w:rsidR="00273FD1" w:rsidRPr="00273FD1" w14:paraId="071E4C5F" w14:textId="77777777" w:rsidTr="00273FD1">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6B68C08D" w14:textId="77777777" w:rsidR="00273FD1" w:rsidRPr="00273FD1" w:rsidRDefault="00273FD1" w:rsidP="00273FD1">
            <w:pPr>
              <w:rPr>
                <w:rFonts w:ascii="Calibri" w:hAnsi="Calibri" w:cs="Calibri"/>
                <w:color w:val="000000"/>
                <w:sz w:val="22"/>
                <w:szCs w:val="22"/>
                <w:lang w:bidi="ne-NP"/>
              </w:rPr>
            </w:pPr>
          </w:p>
        </w:tc>
        <w:tc>
          <w:tcPr>
            <w:tcW w:w="2880" w:type="dxa"/>
            <w:gridSpan w:val="3"/>
            <w:tcBorders>
              <w:left w:val="single" w:sz="4" w:space="0" w:color="auto"/>
            </w:tcBorders>
            <w:shd w:val="clear" w:color="auto" w:fill="auto"/>
            <w:noWrap/>
            <w:vAlign w:val="center"/>
            <w:hideMark/>
          </w:tcPr>
          <w:p w14:paraId="2CAFDA75"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0</w:t>
            </w:r>
            <w:r w:rsidR="00E82587">
              <w:rPr>
                <w:rFonts w:ascii="Calibri" w:hAnsi="Calibri" w:cs="Calibri"/>
                <w:b/>
                <w:bCs/>
                <w:color w:val="000000"/>
                <w:sz w:val="22"/>
                <w:szCs w:val="22"/>
                <w:lang w:bidi="ne-NP"/>
              </w:rPr>
              <w:t>-1</w:t>
            </w:r>
            <w:r w:rsidRPr="00273FD1">
              <w:rPr>
                <w:rFonts w:ascii="Calibri" w:hAnsi="Calibri" w:cs="Calibri"/>
                <w:b/>
                <w:bCs/>
                <w:color w:val="000000"/>
                <w:sz w:val="22"/>
                <w:szCs w:val="22"/>
                <w:lang w:bidi="ne-NP"/>
              </w:rPr>
              <w:t xml:space="preserve"> (n = 142)</w:t>
            </w:r>
          </w:p>
        </w:tc>
        <w:tc>
          <w:tcPr>
            <w:tcW w:w="2880" w:type="dxa"/>
            <w:gridSpan w:val="3"/>
            <w:shd w:val="clear" w:color="auto" w:fill="auto"/>
            <w:noWrap/>
            <w:vAlign w:val="center"/>
            <w:hideMark/>
          </w:tcPr>
          <w:p w14:paraId="715C9072"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1</w:t>
            </w:r>
            <w:r w:rsidR="00E82587">
              <w:rPr>
                <w:rFonts w:ascii="Calibri" w:hAnsi="Calibri" w:cs="Calibri"/>
                <w:b/>
                <w:bCs/>
                <w:color w:val="000000"/>
                <w:sz w:val="22"/>
                <w:szCs w:val="22"/>
                <w:lang w:bidi="ne-NP"/>
              </w:rPr>
              <w:t>-2</w:t>
            </w:r>
            <w:r w:rsidRPr="00273FD1">
              <w:rPr>
                <w:rFonts w:ascii="Calibri" w:hAnsi="Calibri" w:cs="Calibri"/>
                <w:b/>
                <w:bCs/>
                <w:color w:val="000000"/>
                <w:sz w:val="22"/>
                <w:szCs w:val="22"/>
                <w:lang w:bidi="ne-NP"/>
              </w:rPr>
              <w:t xml:space="preserve"> (n = 107)</w:t>
            </w:r>
          </w:p>
        </w:tc>
      </w:tr>
      <w:tr w:rsidR="00273FD1" w:rsidRPr="00273FD1" w14:paraId="07A8D4C6" w14:textId="77777777" w:rsidTr="00273FD1">
        <w:trPr>
          <w:trHeight w:val="300"/>
        </w:trPr>
        <w:tc>
          <w:tcPr>
            <w:tcW w:w="2680" w:type="dxa"/>
            <w:tcBorders>
              <w:top w:val="single" w:sz="4" w:space="0" w:color="auto"/>
            </w:tcBorders>
            <w:shd w:val="clear" w:color="auto" w:fill="auto"/>
            <w:noWrap/>
            <w:vAlign w:val="bottom"/>
            <w:hideMark/>
          </w:tcPr>
          <w:p w14:paraId="30647BCE" w14:textId="77777777" w:rsidR="00273FD1" w:rsidRPr="00273FD1" w:rsidRDefault="00273FD1" w:rsidP="00273FD1">
            <w:pPr>
              <w:rPr>
                <w:rFonts w:ascii="Calibri" w:hAnsi="Calibri" w:cs="Calibri"/>
                <w:color w:val="000000"/>
                <w:sz w:val="22"/>
                <w:szCs w:val="22"/>
                <w:lang w:bidi="ne-NP"/>
              </w:rPr>
            </w:pPr>
          </w:p>
        </w:tc>
        <w:tc>
          <w:tcPr>
            <w:tcW w:w="804" w:type="dxa"/>
            <w:shd w:val="clear" w:color="auto" w:fill="auto"/>
            <w:noWrap/>
            <w:vAlign w:val="center"/>
            <w:hideMark/>
          </w:tcPr>
          <w:p w14:paraId="19EE5685"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 xml:space="preserve">Mean </w:t>
            </w:r>
          </w:p>
        </w:tc>
        <w:tc>
          <w:tcPr>
            <w:tcW w:w="1220" w:type="dxa"/>
            <w:shd w:val="clear" w:color="auto" w:fill="auto"/>
            <w:noWrap/>
            <w:vAlign w:val="center"/>
            <w:hideMark/>
          </w:tcPr>
          <w:p w14:paraId="6779E722"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Std. Dev.</w:t>
            </w:r>
          </w:p>
        </w:tc>
        <w:tc>
          <w:tcPr>
            <w:tcW w:w="856" w:type="dxa"/>
            <w:shd w:val="clear" w:color="auto" w:fill="auto"/>
            <w:noWrap/>
            <w:vAlign w:val="center"/>
            <w:hideMark/>
          </w:tcPr>
          <w:p w14:paraId="4AA4F3BE"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Range</w:t>
            </w:r>
          </w:p>
        </w:tc>
        <w:tc>
          <w:tcPr>
            <w:tcW w:w="804" w:type="dxa"/>
            <w:shd w:val="clear" w:color="auto" w:fill="auto"/>
            <w:noWrap/>
            <w:vAlign w:val="center"/>
            <w:hideMark/>
          </w:tcPr>
          <w:p w14:paraId="3527AB8C"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 xml:space="preserve">Mean </w:t>
            </w:r>
          </w:p>
        </w:tc>
        <w:tc>
          <w:tcPr>
            <w:tcW w:w="1220" w:type="dxa"/>
            <w:shd w:val="clear" w:color="auto" w:fill="auto"/>
            <w:noWrap/>
            <w:vAlign w:val="center"/>
            <w:hideMark/>
          </w:tcPr>
          <w:p w14:paraId="4DECE670"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Std. Dev.</w:t>
            </w:r>
          </w:p>
        </w:tc>
        <w:tc>
          <w:tcPr>
            <w:tcW w:w="856" w:type="dxa"/>
            <w:shd w:val="clear" w:color="auto" w:fill="auto"/>
            <w:noWrap/>
            <w:vAlign w:val="center"/>
            <w:hideMark/>
          </w:tcPr>
          <w:p w14:paraId="14512298"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Range</w:t>
            </w:r>
          </w:p>
        </w:tc>
      </w:tr>
      <w:tr w:rsidR="00273FD1" w:rsidRPr="00273FD1" w14:paraId="4A008DDF" w14:textId="77777777" w:rsidTr="00273FD1">
        <w:trPr>
          <w:trHeight w:val="300"/>
        </w:trPr>
        <w:tc>
          <w:tcPr>
            <w:tcW w:w="2680" w:type="dxa"/>
            <w:shd w:val="clear" w:color="auto" w:fill="auto"/>
            <w:noWrap/>
            <w:vAlign w:val="center"/>
            <w:hideMark/>
          </w:tcPr>
          <w:p w14:paraId="72F76234" w14:textId="77777777" w:rsidR="00273FD1" w:rsidRPr="00273FD1" w:rsidRDefault="00273FD1" w:rsidP="00273FD1">
            <w:pPr>
              <w:rPr>
                <w:rFonts w:ascii="Calibri" w:hAnsi="Calibri" w:cs="Calibri"/>
                <w:b/>
                <w:bCs/>
                <w:color w:val="000000"/>
                <w:sz w:val="22"/>
                <w:szCs w:val="22"/>
                <w:lang w:bidi="ne-NP"/>
              </w:rPr>
            </w:pPr>
            <w:r w:rsidRPr="00273FD1">
              <w:rPr>
                <w:rFonts w:ascii="Calibri" w:hAnsi="Calibri" w:cs="Calibri"/>
                <w:b/>
                <w:bCs/>
                <w:color w:val="000000"/>
                <w:sz w:val="22"/>
                <w:szCs w:val="22"/>
                <w:lang w:bidi="ne-NP"/>
              </w:rPr>
              <w:t>Age (years)</w:t>
            </w:r>
          </w:p>
        </w:tc>
        <w:tc>
          <w:tcPr>
            <w:tcW w:w="804" w:type="dxa"/>
            <w:shd w:val="clear" w:color="auto" w:fill="auto"/>
            <w:noWrap/>
            <w:vAlign w:val="center"/>
            <w:hideMark/>
          </w:tcPr>
          <w:p w14:paraId="177F6086"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51</w:t>
            </w:r>
          </w:p>
        </w:tc>
        <w:tc>
          <w:tcPr>
            <w:tcW w:w="1220" w:type="dxa"/>
            <w:shd w:val="clear" w:color="auto" w:fill="auto"/>
            <w:noWrap/>
            <w:vAlign w:val="center"/>
            <w:hideMark/>
          </w:tcPr>
          <w:p w14:paraId="0CA6C36F"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9.80</w:t>
            </w:r>
          </w:p>
        </w:tc>
        <w:tc>
          <w:tcPr>
            <w:tcW w:w="856" w:type="dxa"/>
            <w:shd w:val="clear" w:color="auto" w:fill="auto"/>
            <w:noWrap/>
            <w:vAlign w:val="center"/>
            <w:hideMark/>
          </w:tcPr>
          <w:p w14:paraId="74A42920"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31-75</w:t>
            </w:r>
          </w:p>
        </w:tc>
        <w:tc>
          <w:tcPr>
            <w:tcW w:w="804" w:type="dxa"/>
            <w:shd w:val="clear" w:color="auto" w:fill="auto"/>
            <w:noWrap/>
            <w:vAlign w:val="center"/>
            <w:hideMark/>
          </w:tcPr>
          <w:p w14:paraId="58CAAC7B"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51</w:t>
            </w:r>
          </w:p>
        </w:tc>
        <w:tc>
          <w:tcPr>
            <w:tcW w:w="1220" w:type="dxa"/>
            <w:shd w:val="clear" w:color="auto" w:fill="auto"/>
            <w:noWrap/>
            <w:vAlign w:val="center"/>
            <w:hideMark/>
          </w:tcPr>
          <w:p w14:paraId="7247CE43"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10.79</w:t>
            </w:r>
          </w:p>
        </w:tc>
        <w:tc>
          <w:tcPr>
            <w:tcW w:w="856" w:type="dxa"/>
            <w:shd w:val="clear" w:color="auto" w:fill="auto"/>
            <w:noWrap/>
            <w:vAlign w:val="center"/>
            <w:hideMark/>
          </w:tcPr>
          <w:p w14:paraId="47C0C98A"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26-77</w:t>
            </w:r>
          </w:p>
        </w:tc>
      </w:tr>
      <w:tr w:rsidR="00273FD1" w:rsidRPr="00273FD1" w14:paraId="3D414A99" w14:textId="77777777" w:rsidTr="00273FD1">
        <w:trPr>
          <w:trHeight w:val="300"/>
        </w:trPr>
        <w:tc>
          <w:tcPr>
            <w:tcW w:w="2680" w:type="dxa"/>
            <w:tcBorders>
              <w:bottom w:val="single" w:sz="4" w:space="0" w:color="auto"/>
            </w:tcBorders>
            <w:shd w:val="clear" w:color="auto" w:fill="auto"/>
            <w:noWrap/>
            <w:vAlign w:val="center"/>
            <w:hideMark/>
          </w:tcPr>
          <w:p w14:paraId="124F7C94" w14:textId="77777777" w:rsidR="00273FD1" w:rsidRPr="00273FD1" w:rsidRDefault="00273FD1" w:rsidP="00273FD1">
            <w:pPr>
              <w:rPr>
                <w:rFonts w:ascii="Calibri" w:hAnsi="Calibri" w:cs="Calibri"/>
                <w:b/>
                <w:bCs/>
                <w:color w:val="000000"/>
                <w:sz w:val="22"/>
                <w:szCs w:val="22"/>
                <w:lang w:bidi="ne-NP"/>
              </w:rPr>
            </w:pPr>
            <w:r w:rsidRPr="00273FD1">
              <w:rPr>
                <w:rFonts w:ascii="Calibri" w:hAnsi="Calibri" w:cs="Calibri"/>
                <w:b/>
                <w:bCs/>
                <w:color w:val="000000"/>
                <w:sz w:val="22"/>
                <w:szCs w:val="22"/>
                <w:lang w:bidi="ne-NP"/>
              </w:rPr>
              <w:t>Female (%)</w:t>
            </w:r>
          </w:p>
        </w:tc>
        <w:tc>
          <w:tcPr>
            <w:tcW w:w="804" w:type="dxa"/>
            <w:shd w:val="clear" w:color="auto" w:fill="auto"/>
            <w:noWrap/>
            <w:vAlign w:val="center"/>
            <w:hideMark/>
          </w:tcPr>
          <w:p w14:paraId="0E6B0812"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68.31</w:t>
            </w:r>
          </w:p>
        </w:tc>
        <w:tc>
          <w:tcPr>
            <w:tcW w:w="1220" w:type="dxa"/>
            <w:shd w:val="clear" w:color="auto" w:fill="auto"/>
            <w:noWrap/>
            <w:vAlign w:val="center"/>
            <w:hideMark/>
          </w:tcPr>
          <w:p w14:paraId="3B2146E6" w14:textId="77777777" w:rsidR="00273FD1" w:rsidRPr="00273FD1" w:rsidRDefault="00273FD1" w:rsidP="00273FD1">
            <w:pPr>
              <w:jc w:val="center"/>
              <w:rPr>
                <w:rFonts w:ascii="Calibri" w:hAnsi="Calibri" w:cs="Calibri"/>
                <w:color w:val="000000"/>
                <w:sz w:val="22"/>
                <w:szCs w:val="22"/>
                <w:lang w:bidi="ne-NP"/>
              </w:rPr>
            </w:pPr>
          </w:p>
        </w:tc>
        <w:tc>
          <w:tcPr>
            <w:tcW w:w="856" w:type="dxa"/>
            <w:shd w:val="clear" w:color="auto" w:fill="auto"/>
            <w:noWrap/>
            <w:vAlign w:val="center"/>
            <w:hideMark/>
          </w:tcPr>
          <w:p w14:paraId="06A9AD6A" w14:textId="77777777" w:rsidR="00273FD1" w:rsidRPr="00273FD1" w:rsidRDefault="00273FD1" w:rsidP="00273FD1">
            <w:pPr>
              <w:jc w:val="center"/>
              <w:rPr>
                <w:rFonts w:ascii="Calibri" w:hAnsi="Calibri" w:cs="Calibri"/>
                <w:color w:val="000000"/>
                <w:sz w:val="22"/>
                <w:szCs w:val="22"/>
                <w:lang w:bidi="ne-NP"/>
              </w:rPr>
            </w:pPr>
          </w:p>
        </w:tc>
        <w:tc>
          <w:tcPr>
            <w:tcW w:w="804" w:type="dxa"/>
            <w:shd w:val="clear" w:color="auto" w:fill="auto"/>
            <w:noWrap/>
            <w:vAlign w:val="center"/>
            <w:hideMark/>
          </w:tcPr>
          <w:p w14:paraId="366E7667" w14:textId="77777777" w:rsidR="00273FD1" w:rsidRPr="00273FD1" w:rsidRDefault="00273FD1" w:rsidP="00273FD1">
            <w:pPr>
              <w:jc w:val="center"/>
              <w:rPr>
                <w:rFonts w:ascii="Calibri" w:hAnsi="Calibri" w:cs="Calibri"/>
                <w:color w:val="000000"/>
                <w:sz w:val="22"/>
                <w:szCs w:val="22"/>
                <w:lang w:bidi="ne-NP"/>
              </w:rPr>
            </w:pPr>
          </w:p>
        </w:tc>
        <w:tc>
          <w:tcPr>
            <w:tcW w:w="1220" w:type="dxa"/>
            <w:shd w:val="clear" w:color="auto" w:fill="auto"/>
            <w:noWrap/>
            <w:vAlign w:val="center"/>
            <w:hideMark/>
          </w:tcPr>
          <w:p w14:paraId="46C11E6A"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63.55</w:t>
            </w:r>
          </w:p>
        </w:tc>
        <w:tc>
          <w:tcPr>
            <w:tcW w:w="856" w:type="dxa"/>
            <w:shd w:val="clear" w:color="auto" w:fill="auto"/>
            <w:noWrap/>
            <w:vAlign w:val="center"/>
            <w:hideMark/>
          </w:tcPr>
          <w:p w14:paraId="79B8AFE8" w14:textId="77777777" w:rsidR="00273FD1" w:rsidRPr="00273FD1" w:rsidRDefault="00273FD1" w:rsidP="00273FD1">
            <w:pPr>
              <w:jc w:val="center"/>
              <w:rPr>
                <w:rFonts w:ascii="Calibri" w:hAnsi="Calibri" w:cs="Calibri"/>
                <w:color w:val="000000"/>
                <w:sz w:val="22"/>
                <w:szCs w:val="22"/>
                <w:lang w:bidi="ne-NP"/>
              </w:rPr>
            </w:pPr>
          </w:p>
        </w:tc>
      </w:tr>
      <w:tr w:rsidR="00273FD1" w:rsidRPr="00273FD1" w14:paraId="70B4B11A" w14:textId="77777777" w:rsidTr="00273FD1">
        <w:trPr>
          <w:trHeight w:val="300"/>
        </w:trPr>
        <w:tc>
          <w:tcPr>
            <w:tcW w:w="2680" w:type="dxa"/>
            <w:tcBorders>
              <w:bottom w:val="single" w:sz="4" w:space="0" w:color="auto"/>
            </w:tcBorders>
            <w:shd w:val="clear" w:color="auto" w:fill="auto"/>
            <w:noWrap/>
            <w:vAlign w:val="center"/>
            <w:hideMark/>
          </w:tcPr>
          <w:p w14:paraId="0CD7980B" w14:textId="77777777" w:rsidR="00273FD1" w:rsidRPr="00273FD1" w:rsidRDefault="00273FD1" w:rsidP="00273FD1">
            <w:pPr>
              <w:rPr>
                <w:rFonts w:ascii="Calibri" w:hAnsi="Calibri" w:cs="Calibri"/>
                <w:b/>
                <w:bCs/>
                <w:color w:val="000000"/>
                <w:sz w:val="22"/>
                <w:szCs w:val="22"/>
                <w:lang w:bidi="ne-NP"/>
              </w:rPr>
            </w:pPr>
            <w:r w:rsidRPr="00273FD1">
              <w:rPr>
                <w:rFonts w:ascii="Calibri" w:hAnsi="Calibri" w:cs="Calibri"/>
                <w:b/>
                <w:bCs/>
                <w:color w:val="000000"/>
                <w:sz w:val="22"/>
                <w:szCs w:val="22"/>
                <w:lang w:bidi="ne-NP"/>
              </w:rPr>
              <w:t>Dead (%)</w:t>
            </w:r>
          </w:p>
        </w:tc>
        <w:tc>
          <w:tcPr>
            <w:tcW w:w="804" w:type="dxa"/>
            <w:tcBorders>
              <w:bottom w:val="single" w:sz="4" w:space="0" w:color="auto"/>
            </w:tcBorders>
            <w:shd w:val="clear" w:color="auto" w:fill="auto"/>
            <w:noWrap/>
            <w:vAlign w:val="center"/>
            <w:hideMark/>
          </w:tcPr>
          <w:p w14:paraId="45F083E9"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85.92</w:t>
            </w:r>
          </w:p>
        </w:tc>
        <w:tc>
          <w:tcPr>
            <w:tcW w:w="1220" w:type="dxa"/>
            <w:tcBorders>
              <w:bottom w:val="single" w:sz="4" w:space="0" w:color="auto"/>
            </w:tcBorders>
            <w:shd w:val="clear" w:color="auto" w:fill="auto"/>
            <w:noWrap/>
            <w:vAlign w:val="center"/>
            <w:hideMark/>
          </w:tcPr>
          <w:p w14:paraId="3701580A" w14:textId="77777777" w:rsidR="00273FD1" w:rsidRPr="00273FD1" w:rsidRDefault="00273FD1" w:rsidP="00273FD1">
            <w:pPr>
              <w:jc w:val="center"/>
              <w:rPr>
                <w:rFonts w:ascii="Calibri" w:hAnsi="Calibri" w:cs="Calibri"/>
                <w:color w:val="000000"/>
                <w:sz w:val="22"/>
                <w:szCs w:val="22"/>
                <w:lang w:bidi="ne-NP"/>
              </w:rPr>
            </w:pPr>
          </w:p>
        </w:tc>
        <w:tc>
          <w:tcPr>
            <w:tcW w:w="856" w:type="dxa"/>
            <w:tcBorders>
              <w:bottom w:val="single" w:sz="4" w:space="0" w:color="auto"/>
            </w:tcBorders>
            <w:shd w:val="clear" w:color="auto" w:fill="auto"/>
            <w:noWrap/>
            <w:vAlign w:val="center"/>
            <w:hideMark/>
          </w:tcPr>
          <w:p w14:paraId="499B3BAB" w14:textId="77777777" w:rsidR="00273FD1" w:rsidRPr="00273FD1" w:rsidRDefault="00273FD1" w:rsidP="00273FD1">
            <w:pPr>
              <w:jc w:val="center"/>
              <w:rPr>
                <w:rFonts w:ascii="Calibri" w:hAnsi="Calibri" w:cs="Calibri"/>
                <w:color w:val="000000"/>
                <w:sz w:val="22"/>
                <w:szCs w:val="22"/>
                <w:lang w:bidi="ne-NP"/>
              </w:rPr>
            </w:pPr>
          </w:p>
        </w:tc>
        <w:tc>
          <w:tcPr>
            <w:tcW w:w="804" w:type="dxa"/>
            <w:shd w:val="clear" w:color="auto" w:fill="auto"/>
            <w:noWrap/>
            <w:vAlign w:val="center"/>
            <w:hideMark/>
          </w:tcPr>
          <w:p w14:paraId="634CE643" w14:textId="77777777" w:rsidR="00273FD1" w:rsidRPr="00273FD1" w:rsidRDefault="00273FD1" w:rsidP="00273FD1">
            <w:pPr>
              <w:jc w:val="center"/>
              <w:rPr>
                <w:rFonts w:ascii="Calibri" w:hAnsi="Calibri" w:cs="Calibri"/>
                <w:color w:val="000000"/>
                <w:sz w:val="22"/>
                <w:szCs w:val="22"/>
                <w:lang w:bidi="ne-NP"/>
              </w:rPr>
            </w:pPr>
          </w:p>
        </w:tc>
        <w:tc>
          <w:tcPr>
            <w:tcW w:w="1220" w:type="dxa"/>
            <w:shd w:val="clear" w:color="auto" w:fill="auto"/>
            <w:noWrap/>
            <w:vAlign w:val="center"/>
            <w:hideMark/>
          </w:tcPr>
          <w:p w14:paraId="182A7BB3"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71.96</w:t>
            </w:r>
          </w:p>
        </w:tc>
        <w:tc>
          <w:tcPr>
            <w:tcW w:w="856" w:type="dxa"/>
            <w:shd w:val="clear" w:color="auto" w:fill="auto"/>
            <w:noWrap/>
            <w:vAlign w:val="center"/>
            <w:hideMark/>
          </w:tcPr>
          <w:p w14:paraId="30D82FF6" w14:textId="77777777" w:rsidR="00273FD1" w:rsidRPr="00273FD1" w:rsidRDefault="00273FD1" w:rsidP="00273FD1">
            <w:pPr>
              <w:jc w:val="center"/>
              <w:rPr>
                <w:rFonts w:ascii="Calibri" w:hAnsi="Calibri" w:cs="Calibri"/>
                <w:color w:val="000000"/>
                <w:sz w:val="22"/>
                <w:szCs w:val="22"/>
                <w:lang w:bidi="ne-NP"/>
              </w:rPr>
            </w:pPr>
          </w:p>
        </w:tc>
      </w:tr>
      <w:tr w:rsidR="00273FD1" w:rsidRPr="00273FD1" w14:paraId="7C354C3E" w14:textId="77777777" w:rsidTr="00273FD1">
        <w:trPr>
          <w:trHeight w:val="300"/>
        </w:trPr>
        <w:tc>
          <w:tcPr>
            <w:tcW w:w="2680" w:type="dxa"/>
            <w:tcBorders>
              <w:top w:val="single" w:sz="4" w:space="0" w:color="auto"/>
              <w:left w:val="single" w:sz="4" w:space="0" w:color="auto"/>
              <w:bottom w:val="nil"/>
              <w:right w:val="single" w:sz="4" w:space="0" w:color="auto"/>
            </w:tcBorders>
            <w:shd w:val="clear" w:color="auto" w:fill="auto"/>
            <w:noWrap/>
            <w:vAlign w:val="bottom"/>
            <w:hideMark/>
          </w:tcPr>
          <w:p w14:paraId="5EFB3040" w14:textId="77777777" w:rsidR="00273FD1" w:rsidRPr="00273FD1" w:rsidRDefault="00273FD1" w:rsidP="00273FD1">
            <w:pPr>
              <w:rPr>
                <w:rFonts w:ascii="Calibri" w:hAnsi="Calibri" w:cs="Calibri"/>
                <w:color w:val="000000"/>
                <w:sz w:val="22"/>
                <w:szCs w:val="22"/>
                <w:lang w:bidi="ne-NP"/>
              </w:rPr>
            </w:pPr>
          </w:p>
        </w:tc>
        <w:tc>
          <w:tcPr>
            <w:tcW w:w="2880" w:type="dxa"/>
            <w:gridSpan w:val="3"/>
            <w:tcBorders>
              <w:left w:val="single" w:sz="4" w:space="0" w:color="auto"/>
            </w:tcBorders>
            <w:shd w:val="clear" w:color="auto" w:fill="auto"/>
            <w:noWrap/>
            <w:vAlign w:val="center"/>
            <w:hideMark/>
          </w:tcPr>
          <w:p w14:paraId="6576E030"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2</w:t>
            </w:r>
            <w:r w:rsidR="00E82587">
              <w:rPr>
                <w:rFonts w:ascii="Calibri" w:hAnsi="Calibri" w:cs="Calibri"/>
                <w:b/>
                <w:bCs/>
                <w:color w:val="000000"/>
                <w:sz w:val="22"/>
                <w:szCs w:val="22"/>
                <w:lang w:bidi="ne-NP"/>
              </w:rPr>
              <w:t>-4</w:t>
            </w:r>
            <w:r w:rsidRPr="00273FD1">
              <w:rPr>
                <w:rFonts w:ascii="Calibri" w:hAnsi="Calibri" w:cs="Calibri"/>
                <w:b/>
                <w:bCs/>
                <w:color w:val="000000"/>
                <w:sz w:val="22"/>
                <w:szCs w:val="22"/>
                <w:lang w:bidi="ne-NP"/>
              </w:rPr>
              <w:t xml:space="preserve"> (n = 78)</w:t>
            </w:r>
          </w:p>
        </w:tc>
        <w:tc>
          <w:tcPr>
            <w:tcW w:w="2880" w:type="dxa"/>
            <w:gridSpan w:val="3"/>
            <w:shd w:val="clear" w:color="auto" w:fill="auto"/>
            <w:noWrap/>
            <w:vAlign w:val="center"/>
            <w:hideMark/>
          </w:tcPr>
          <w:p w14:paraId="1C838295"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4</w:t>
            </w:r>
            <w:r w:rsidR="00E82587">
              <w:rPr>
                <w:rFonts w:ascii="Calibri" w:hAnsi="Calibri" w:cs="Calibri"/>
                <w:b/>
                <w:bCs/>
                <w:color w:val="000000"/>
                <w:sz w:val="22"/>
                <w:szCs w:val="22"/>
                <w:lang w:bidi="ne-NP"/>
              </w:rPr>
              <w:t>-8</w:t>
            </w:r>
            <w:r w:rsidRPr="00273FD1">
              <w:rPr>
                <w:rFonts w:ascii="Calibri" w:hAnsi="Calibri" w:cs="Calibri"/>
                <w:b/>
                <w:bCs/>
                <w:color w:val="000000"/>
                <w:sz w:val="22"/>
                <w:szCs w:val="22"/>
                <w:lang w:bidi="ne-NP"/>
              </w:rPr>
              <w:t xml:space="preserve"> (n = 48)</w:t>
            </w:r>
          </w:p>
        </w:tc>
      </w:tr>
      <w:tr w:rsidR="00273FD1" w:rsidRPr="00273FD1" w14:paraId="124E4659" w14:textId="77777777" w:rsidTr="00273FD1">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23BAD69E" w14:textId="77777777" w:rsidR="00273FD1" w:rsidRPr="00273FD1" w:rsidRDefault="00273FD1" w:rsidP="00273FD1">
            <w:pPr>
              <w:rPr>
                <w:rFonts w:ascii="Calibri" w:hAnsi="Calibri" w:cs="Calibri"/>
                <w:color w:val="000000"/>
                <w:sz w:val="22"/>
                <w:szCs w:val="22"/>
                <w:lang w:bidi="ne-NP"/>
              </w:rPr>
            </w:pPr>
          </w:p>
        </w:tc>
        <w:tc>
          <w:tcPr>
            <w:tcW w:w="804" w:type="dxa"/>
            <w:tcBorders>
              <w:left w:val="single" w:sz="4" w:space="0" w:color="auto"/>
            </w:tcBorders>
            <w:shd w:val="clear" w:color="auto" w:fill="auto"/>
            <w:noWrap/>
            <w:vAlign w:val="center"/>
            <w:hideMark/>
          </w:tcPr>
          <w:p w14:paraId="51C83B0C"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 xml:space="preserve">Mean </w:t>
            </w:r>
          </w:p>
        </w:tc>
        <w:tc>
          <w:tcPr>
            <w:tcW w:w="1220" w:type="dxa"/>
            <w:shd w:val="clear" w:color="auto" w:fill="auto"/>
            <w:noWrap/>
            <w:vAlign w:val="center"/>
            <w:hideMark/>
          </w:tcPr>
          <w:p w14:paraId="098E186D"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Std. Dev.</w:t>
            </w:r>
          </w:p>
        </w:tc>
        <w:tc>
          <w:tcPr>
            <w:tcW w:w="856" w:type="dxa"/>
            <w:shd w:val="clear" w:color="auto" w:fill="auto"/>
            <w:noWrap/>
            <w:vAlign w:val="center"/>
            <w:hideMark/>
          </w:tcPr>
          <w:p w14:paraId="2B4BB1A4"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Range</w:t>
            </w:r>
          </w:p>
        </w:tc>
        <w:tc>
          <w:tcPr>
            <w:tcW w:w="804" w:type="dxa"/>
            <w:shd w:val="clear" w:color="auto" w:fill="auto"/>
            <w:noWrap/>
            <w:vAlign w:val="center"/>
            <w:hideMark/>
          </w:tcPr>
          <w:p w14:paraId="11EAA238"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 xml:space="preserve">Mean </w:t>
            </w:r>
          </w:p>
        </w:tc>
        <w:tc>
          <w:tcPr>
            <w:tcW w:w="1220" w:type="dxa"/>
            <w:shd w:val="clear" w:color="auto" w:fill="auto"/>
            <w:noWrap/>
            <w:vAlign w:val="center"/>
            <w:hideMark/>
          </w:tcPr>
          <w:p w14:paraId="715DF650"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Std. Dev.</w:t>
            </w:r>
          </w:p>
        </w:tc>
        <w:tc>
          <w:tcPr>
            <w:tcW w:w="856" w:type="dxa"/>
            <w:shd w:val="clear" w:color="auto" w:fill="auto"/>
            <w:noWrap/>
            <w:vAlign w:val="center"/>
            <w:hideMark/>
          </w:tcPr>
          <w:p w14:paraId="3CBF4F34"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Range</w:t>
            </w:r>
          </w:p>
        </w:tc>
      </w:tr>
      <w:commentRangeEnd w:id="3"/>
      <w:tr w:rsidR="00273FD1" w:rsidRPr="00273FD1" w14:paraId="0DBB3208" w14:textId="77777777" w:rsidTr="00273FD1">
        <w:trPr>
          <w:trHeight w:val="300"/>
        </w:trPr>
        <w:tc>
          <w:tcPr>
            <w:tcW w:w="2680" w:type="dxa"/>
            <w:tcBorders>
              <w:top w:val="single" w:sz="4" w:space="0" w:color="auto"/>
            </w:tcBorders>
            <w:shd w:val="clear" w:color="auto" w:fill="auto"/>
            <w:noWrap/>
            <w:vAlign w:val="center"/>
            <w:hideMark/>
          </w:tcPr>
          <w:p w14:paraId="5FED909B" w14:textId="77777777" w:rsidR="00273FD1" w:rsidRPr="00273FD1" w:rsidRDefault="007A614B" w:rsidP="00273FD1">
            <w:pPr>
              <w:rPr>
                <w:rFonts w:ascii="Calibri" w:hAnsi="Calibri" w:cs="Calibri"/>
                <w:b/>
                <w:bCs/>
                <w:color w:val="000000"/>
                <w:sz w:val="22"/>
                <w:szCs w:val="22"/>
                <w:lang w:bidi="ne-NP"/>
              </w:rPr>
            </w:pPr>
            <w:r>
              <w:rPr>
                <w:rStyle w:val="CommentReference"/>
              </w:rPr>
              <w:lastRenderedPageBreak/>
              <w:commentReference w:id="3"/>
            </w:r>
            <w:r w:rsidR="00273FD1" w:rsidRPr="00273FD1">
              <w:rPr>
                <w:rFonts w:ascii="Calibri" w:hAnsi="Calibri" w:cs="Calibri"/>
                <w:b/>
                <w:bCs/>
                <w:color w:val="000000"/>
                <w:sz w:val="22"/>
                <w:szCs w:val="22"/>
                <w:lang w:bidi="ne-NP"/>
              </w:rPr>
              <w:t>Age (years)</w:t>
            </w:r>
          </w:p>
        </w:tc>
        <w:tc>
          <w:tcPr>
            <w:tcW w:w="804" w:type="dxa"/>
            <w:shd w:val="clear" w:color="auto" w:fill="auto"/>
            <w:noWrap/>
            <w:vAlign w:val="center"/>
            <w:hideMark/>
          </w:tcPr>
          <w:p w14:paraId="37D18711"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50</w:t>
            </w:r>
          </w:p>
        </w:tc>
        <w:tc>
          <w:tcPr>
            <w:tcW w:w="1220" w:type="dxa"/>
            <w:shd w:val="clear" w:color="auto" w:fill="auto"/>
            <w:noWrap/>
            <w:vAlign w:val="center"/>
            <w:hideMark/>
          </w:tcPr>
          <w:p w14:paraId="7C375B35"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11.35</w:t>
            </w:r>
          </w:p>
        </w:tc>
        <w:tc>
          <w:tcPr>
            <w:tcW w:w="856" w:type="dxa"/>
            <w:shd w:val="clear" w:color="auto" w:fill="auto"/>
            <w:noWrap/>
            <w:vAlign w:val="center"/>
            <w:hideMark/>
          </w:tcPr>
          <w:p w14:paraId="72B2FDC2"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30-72</w:t>
            </w:r>
          </w:p>
        </w:tc>
        <w:tc>
          <w:tcPr>
            <w:tcW w:w="804" w:type="dxa"/>
            <w:shd w:val="clear" w:color="auto" w:fill="auto"/>
            <w:noWrap/>
            <w:vAlign w:val="center"/>
            <w:hideMark/>
          </w:tcPr>
          <w:p w14:paraId="57BDDEE8"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51</w:t>
            </w:r>
          </w:p>
        </w:tc>
        <w:tc>
          <w:tcPr>
            <w:tcW w:w="1220" w:type="dxa"/>
            <w:shd w:val="clear" w:color="auto" w:fill="auto"/>
            <w:noWrap/>
            <w:vAlign w:val="center"/>
            <w:hideMark/>
          </w:tcPr>
          <w:p w14:paraId="2A1D459F"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11.64</w:t>
            </w:r>
          </w:p>
        </w:tc>
        <w:tc>
          <w:tcPr>
            <w:tcW w:w="856" w:type="dxa"/>
            <w:shd w:val="clear" w:color="auto" w:fill="auto"/>
            <w:noWrap/>
            <w:vAlign w:val="center"/>
            <w:hideMark/>
          </w:tcPr>
          <w:p w14:paraId="4004A859"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31-78</w:t>
            </w:r>
          </w:p>
        </w:tc>
      </w:tr>
      <w:tr w:rsidR="00273FD1" w:rsidRPr="00273FD1" w14:paraId="15B89CD4" w14:textId="77777777" w:rsidTr="00273FD1">
        <w:trPr>
          <w:trHeight w:val="300"/>
        </w:trPr>
        <w:tc>
          <w:tcPr>
            <w:tcW w:w="2680" w:type="dxa"/>
            <w:shd w:val="clear" w:color="auto" w:fill="auto"/>
            <w:noWrap/>
            <w:vAlign w:val="center"/>
            <w:hideMark/>
          </w:tcPr>
          <w:p w14:paraId="617B0C42" w14:textId="77777777" w:rsidR="00273FD1" w:rsidRPr="00273FD1" w:rsidRDefault="00273FD1" w:rsidP="00273FD1">
            <w:pPr>
              <w:rPr>
                <w:rFonts w:ascii="Calibri" w:hAnsi="Calibri" w:cs="Calibri"/>
                <w:b/>
                <w:bCs/>
                <w:color w:val="000000"/>
                <w:sz w:val="22"/>
                <w:szCs w:val="22"/>
                <w:lang w:bidi="ne-NP"/>
              </w:rPr>
            </w:pPr>
            <w:r w:rsidRPr="00273FD1">
              <w:rPr>
                <w:rFonts w:ascii="Calibri" w:hAnsi="Calibri" w:cs="Calibri"/>
                <w:b/>
                <w:bCs/>
                <w:color w:val="000000"/>
                <w:sz w:val="22"/>
                <w:szCs w:val="22"/>
                <w:lang w:bidi="ne-NP"/>
              </w:rPr>
              <w:t>Sex (%)</w:t>
            </w:r>
          </w:p>
        </w:tc>
        <w:tc>
          <w:tcPr>
            <w:tcW w:w="804" w:type="dxa"/>
            <w:shd w:val="clear" w:color="auto" w:fill="auto"/>
            <w:noWrap/>
            <w:vAlign w:val="center"/>
            <w:hideMark/>
          </w:tcPr>
          <w:p w14:paraId="48923863"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66.67</w:t>
            </w:r>
          </w:p>
        </w:tc>
        <w:tc>
          <w:tcPr>
            <w:tcW w:w="1220" w:type="dxa"/>
            <w:shd w:val="clear" w:color="auto" w:fill="auto"/>
            <w:noWrap/>
            <w:vAlign w:val="center"/>
            <w:hideMark/>
          </w:tcPr>
          <w:p w14:paraId="2C8A03D6" w14:textId="77777777" w:rsidR="00273FD1" w:rsidRPr="00273FD1" w:rsidRDefault="00273FD1" w:rsidP="00273FD1">
            <w:pPr>
              <w:jc w:val="center"/>
              <w:rPr>
                <w:rFonts w:ascii="Calibri" w:hAnsi="Calibri" w:cs="Calibri"/>
                <w:color w:val="000000"/>
                <w:sz w:val="22"/>
                <w:szCs w:val="22"/>
                <w:lang w:bidi="ne-NP"/>
              </w:rPr>
            </w:pPr>
          </w:p>
        </w:tc>
        <w:tc>
          <w:tcPr>
            <w:tcW w:w="856" w:type="dxa"/>
            <w:shd w:val="clear" w:color="auto" w:fill="auto"/>
            <w:noWrap/>
            <w:vAlign w:val="center"/>
            <w:hideMark/>
          </w:tcPr>
          <w:p w14:paraId="45C1E25D" w14:textId="77777777" w:rsidR="00273FD1" w:rsidRPr="00273FD1" w:rsidRDefault="00273FD1" w:rsidP="00273FD1">
            <w:pPr>
              <w:jc w:val="center"/>
              <w:rPr>
                <w:rFonts w:ascii="Calibri" w:hAnsi="Calibri" w:cs="Calibri"/>
                <w:color w:val="000000"/>
                <w:sz w:val="22"/>
                <w:szCs w:val="22"/>
                <w:lang w:bidi="ne-NP"/>
              </w:rPr>
            </w:pPr>
          </w:p>
        </w:tc>
        <w:tc>
          <w:tcPr>
            <w:tcW w:w="804" w:type="dxa"/>
            <w:shd w:val="clear" w:color="auto" w:fill="auto"/>
            <w:noWrap/>
            <w:vAlign w:val="center"/>
            <w:hideMark/>
          </w:tcPr>
          <w:p w14:paraId="3A15D769"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62.5</w:t>
            </w:r>
          </w:p>
        </w:tc>
        <w:tc>
          <w:tcPr>
            <w:tcW w:w="1220" w:type="dxa"/>
            <w:shd w:val="clear" w:color="auto" w:fill="auto"/>
            <w:noWrap/>
            <w:vAlign w:val="center"/>
            <w:hideMark/>
          </w:tcPr>
          <w:p w14:paraId="72F5B7E0" w14:textId="77777777" w:rsidR="00273FD1" w:rsidRPr="00273FD1" w:rsidRDefault="00273FD1" w:rsidP="00273FD1">
            <w:pPr>
              <w:jc w:val="center"/>
              <w:rPr>
                <w:rFonts w:ascii="Calibri" w:hAnsi="Calibri" w:cs="Calibri"/>
                <w:color w:val="000000"/>
                <w:sz w:val="22"/>
                <w:szCs w:val="22"/>
                <w:lang w:bidi="ne-NP"/>
              </w:rPr>
            </w:pPr>
          </w:p>
        </w:tc>
        <w:tc>
          <w:tcPr>
            <w:tcW w:w="856" w:type="dxa"/>
            <w:shd w:val="clear" w:color="auto" w:fill="auto"/>
            <w:noWrap/>
            <w:vAlign w:val="center"/>
            <w:hideMark/>
          </w:tcPr>
          <w:p w14:paraId="579BF952" w14:textId="77777777" w:rsidR="00273FD1" w:rsidRPr="00273FD1" w:rsidRDefault="00273FD1" w:rsidP="00273FD1">
            <w:pPr>
              <w:jc w:val="center"/>
              <w:rPr>
                <w:rFonts w:ascii="Calibri" w:hAnsi="Calibri" w:cs="Calibri"/>
                <w:color w:val="000000"/>
                <w:sz w:val="22"/>
                <w:szCs w:val="22"/>
                <w:lang w:bidi="ne-NP"/>
              </w:rPr>
            </w:pPr>
          </w:p>
        </w:tc>
      </w:tr>
      <w:tr w:rsidR="00273FD1" w:rsidRPr="00273FD1" w14:paraId="3B38BE3A" w14:textId="77777777" w:rsidTr="00273FD1">
        <w:trPr>
          <w:trHeight w:val="300"/>
        </w:trPr>
        <w:tc>
          <w:tcPr>
            <w:tcW w:w="2680" w:type="dxa"/>
            <w:shd w:val="clear" w:color="auto" w:fill="auto"/>
            <w:noWrap/>
            <w:vAlign w:val="center"/>
            <w:hideMark/>
          </w:tcPr>
          <w:p w14:paraId="666522EA" w14:textId="77777777" w:rsidR="00273FD1" w:rsidRPr="00273FD1" w:rsidRDefault="00273FD1" w:rsidP="00273FD1">
            <w:pPr>
              <w:rPr>
                <w:rFonts w:ascii="Calibri" w:hAnsi="Calibri" w:cs="Calibri"/>
                <w:b/>
                <w:bCs/>
                <w:color w:val="000000"/>
                <w:sz w:val="22"/>
                <w:szCs w:val="22"/>
                <w:lang w:bidi="ne-NP"/>
              </w:rPr>
            </w:pPr>
            <w:r w:rsidRPr="00273FD1">
              <w:rPr>
                <w:rFonts w:ascii="Calibri" w:hAnsi="Calibri" w:cs="Calibri"/>
                <w:b/>
                <w:bCs/>
                <w:color w:val="000000"/>
                <w:sz w:val="22"/>
                <w:szCs w:val="22"/>
                <w:lang w:bidi="ne-NP"/>
              </w:rPr>
              <w:t>Dead (%)</w:t>
            </w:r>
          </w:p>
        </w:tc>
        <w:tc>
          <w:tcPr>
            <w:tcW w:w="804" w:type="dxa"/>
            <w:shd w:val="clear" w:color="auto" w:fill="auto"/>
            <w:noWrap/>
            <w:vAlign w:val="center"/>
            <w:hideMark/>
          </w:tcPr>
          <w:p w14:paraId="50F96A29"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43.59</w:t>
            </w:r>
          </w:p>
        </w:tc>
        <w:tc>
          <w:tcPr>
            <w:tcW w:w="1220" w:type="dxa"/>
            <w:shd w:val="clear" w:color="auto" w:fill="auto"/>
            <w:noWrap/>
            <w:vAlign w:val="center"/>
            <w:hideMark/>
          </w:tcPr>
          <w:p w14:paraId="0B6A8A1A" w14:textId="77777777" w:rsidR="00273FD1" w:rsidRPr="00273FD1" w:rsidRDefault="00273FD1" w:rsidP="00273FD1">
            <w:pPr>
              <w:jc w:val="center"/>
              <w:rPr>
                <w:rFonts w:ascii="Calibri" w:hAnsi="Calibri" w:cs="Calibri"/>
                <w:color w:val="000000"/>
                <w:sz w:val="22"/>
                <w:szCs w:val="22"/>
                <w:lang w:bidi="ne-NP"/>
              </w:rPr>
            </w:pPr>
          </w:p>
        </w:tc>
        <w:tc>
          <w:tcPr>
            <w:tcW w:w="856" w:type="dxa"/>
            <w:shd w:val="clear" w:color="auto" w:fill="auto"/>
            <w:noWrap/>
            <w:vAlign w:val="center"/>
            <w:hideMark/>
          </w:tcPr>
          <w:p w14:paraId="1140CDCE" w14:textId="77777777" w:rsidR="00273FD1" w:rsidRPr="00273FD1" w:rsidRDefault="00273FD1" w:rsidP="00273FD1">
            <w:pPr>
              <w:jc w:val="center"/>
              <w:rPr>
                <w:rFonts w:ascii="Calibri" w:hAnsi="Calibri" w:cs="Calibri"/>
                <w:color w:val="000000"/>
                <w:sz w:val="22"/>
                <w:szCs w:val="22"/>
                <w:lang w:bidi="ne-NP"/>
              </w:rPr>
            </w:pPr>
          </w:p>
        </w:tc>
        <w:tc>
          <w:tcPr>
            <w:tcW w:w="804" w:type="dxa"/>
            <w:shd w:val="clear" w:color="auto" w:fill="auto"/>
            <w:noWrap/>
            <w:vAlign w:val="center"/>
            <w:hideMark/>
          </w:tcPr>
          <w:p w14:paraId="7E2420D0"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33.33</w:t>
            </w:r>
          </w:p>
        </w:tc>
        <w:tc>
          <w:tcPr>
            <w:tcW w:w="1220" w:type="dxa"/>
            <w:shd w:val="clear" w:color="auto" w:fill="auto"/>
            <w:noWrap/>
            <w:vAlign w:val="center"/>
            <w:hideMark/>
          </w:tcPr>
          <w:p w14:paraId="4B0BC89E" w14:textId="77777777" w:rsidR="00273FD1" w:rsidRPr="00273FD1" w:rsidRDefault="00273FD1" w:rsidP="00273FD1">
            <w:pPr>
              <w:jc w:val="center"/>
              <w:rPr>
                <w:rFonts w:ascii="Calibri" w:hAnsi="Calibri" w:cs="Calibri"/>
                <w:color w:val="000000"/>
                <w:sz w:val="22"/>
                <w:szCs w:val="22"/>
                <w:lang w:bidi="ne-NP"/>
              </w:rPr>
            </w:pPr>
          </w:p>
        </w:tc>
        <w:tc>
          <w:tcPr>
            <w:tcW w:w="856" w:type="dxa"/>
            <w:shd w:val="clear" w:color="auto" w:fill="auto"/>
            <w:noWrap/>
            <w:vAlign w:val="center"/>
            <w:hideMark/>
          </w:tcPr>
          <w:p w14:paraId="1E1C3562" w14:textId="77777777" w:rsidR="00273FD1" w:rsidRPr="00273FD1" w:rsidRDefault="00273FD1" w:rsidP="00273FD1">
            <w:pPr>
              <w:jc w:val="center"/>
              <w:rPr>
                <w:rFonts w:ascii="Calibri" w:hAnsi="Calibri" w:cs="Calibri"/>
                <w:color w:val="000000"/>
                <w:sz w:val="22"/>
                <w:szCs w:val="22"/>
                <w:lang w:bidi="ne-NP"/>
              </w:rPr>
            </w:pPr>
          </w:p>
        </w:tc>
      </w:tr>
      <w:tr w:rsidR="00273FD1" w:rsidRPr="00273FD1" w14:paraId="395BEACE" w14:textId="77777777" w:rsidTr="00273FD1">
        <w:trPr>
          <w:trHeight w:val="300"/>
        </w:trPr>
        <w:tc>
          <w:tcPr>
            <w:tcW w:w="2680" w:type="dxa"/>
            <w:tcBorders>
              <w:top w:val="nil"/>
              <w:bottom w:val="nil"/>
            </w:tcBorders>
            <w:shd w:val="clear" w:color="auto" w:fill="auto"/>
            <w:noWrap/>
            <w:vAlign w:val="bottom"/>
            <w:hideMark/>
          </w:tcPr>
          <w:p w14:paraId="0AE697CE" w14:textId="77777777" w:rsidR="00273FD1" w:rsidRPr="00273FD1" w:rsidRDefault="00273FD1" w:rsidP="00273FD1">
            <w:pPr>
              <w:rPr>
                <w:rFonts w:ascii="Calibri" w:hAnsi="Calibri" w:cs="Calibri"/>
                <w:color w:val="000000"/>
                <w:sz w:val="22"/>
                <w:szCs w:val="22"/>
                <w:lang w:bidi="ne-NP"/>
              </w:rPr>
            </w:pPr>
          </w:p>
        </w:tc>
        <w:tc>
          <w:tcPr>
            <w:tcW w:w="2880" w:type="dxa"/>
            <w:gridSpan w:val="3"/>
            <w:shd w:val="clear" w:color="auto" w:fill="auto"/>
            <w:noWrap/>
            <w:vAlign w:val="center"/>
            <w:hideMark/>
          </w:tcPr>
          <w:p w14:paraId="4B5A806B" w14:textId="77777777" w:rsidR="00273FD1" w:rsidRPr="00273FD1" w:rsidRDefault="00C10F4B" w:rsidP="00273FD1">
            <w:pPr>
              <w:jc w:val="center"/>
              <w:rPr>
                <w:rFonts w:ascii="Calibri" w:hAnsi="Calibri" w:cs="Calibri"/>
                <w:b/>
                <w:bCs/>
                <w:color w:val="000000"/>
                <w:sz w:val="22"/>
                <w:szCs w:val="22"/>
                <w:lang w:bidi="ne-NP"/>
              </w:rPr>
            </w:pPr>
            <w:r>
              <w:rPr>
                <w:rFonts w:ascii="Calibri" w:hAnsi="Calibri" w:cs="Calibri"/>
                <w:b/>
                <w:bCs/>
                <w:color w:val="000000"/>
                <w:sz w:val="22"/>
                <w:szCs w:val="22"/>
                <w:lang w:bidi="ne-NP"/>
              </w:rPr>
              <w:t>8</w:t>
            </w:r>
            <w:r w:rsidR="00E82587">
              <w:rPr>
                <w:rFonts w:ascii="Calibri" w:hAnsi="Calibri" w:cs="Calibri"/>
                <w:b/>
                <w:bCs/>
                <w:color w:val="000000"/>
                <w:sz w:val="22"/>
                <w:szCs w:val="22"/>
                <w:lang w:bidi="ne-NP"/>
              </w:rPr>
              <w:t>-16</w:t>
            </w:r>
            <w:r w:rsidR="00273FD1" w:rsidRPr="00273FD1">
              <w:rPr>
                <w:rFonts w:ascii="Calibri" w:hAnsi="Calibri" w:cs="Calibri"/>
                <w:b/>
                <w:bCs/>
                <w:color w:val="000000"/>
                <w:sz w:val="22"/>
                <w:szCs w:val="22"/>
                <w:lang w:bidi="ne-NP"/>
              </w:rPr>
              <w:t xml:space="preserve"> (n = 27)</w:t>
            </w:r>
          </w:p>
        </w:tc>
        <w:tc>
          <w:tcPr>
            <w:tcW w:w="2880" w:type="dxa"/>
            <w:gridSpan w:val="3"/>
            <w:shd w:val="clear" w:color="auto" w:fill="auto"/>
            <w:noWrap/>
            <w:vAlign w:val="center"/>
            <w:hideMark/>
          </w:tcPr>
          <w:p w14:paraId="69FD66C1" w14:textId="77777777" w:rsidR="00273FD1" w:rsidRPr="00273FD1" w:rsidRDefault="00C10F4B" w:rsidP="00273FD1">
            <w:pPr>
              <w:jc w:val="center"/>
              <w:rPr>
                <w:rFonts w:ascii="Calibri" w:hAnsi="Calibri" w:cs="Calibri"/>
                <w:b/>
                <w:bCs/>
                <w:color w:val="000000"/>
                <w:sz w:val="22"/>
                <w:szCs w:val="22"/>
                <w:lang w:bidi="ne-NP"/>
              </w:rPr>
            </w:pPr>
            <w:r>
              <w:rPr>
                <w:rFonts w:ascii="Calibri" w:hAnsi="Calibri" w:cs="Calibri"/>
                <w:b/>
                <w:bCs/>
                <w:color w:val="000000"/>
                <w:sz w:val="22"/>
                <w:szCs w:val="22"/>
                <w:lang w:bidi="ne-NP"/>
              </w:rPr>
              <w:t>1</w:t>
            </w:r>
            <w:r w:rsidR="00273FD1" w:rsidRPr="00273FD1">
              <w:rPr>
                <w:rFonts w:ascii="Calibri" w:hAnsi="Calibri" w:cs="Calibri"/>
                <w:b/>
                <w:bCs/>
                <w:color w:val="000000"/>
                <w:sz w:val="22"/>
                <w:szCs w:val="22"/>
                <w:lang w:bidi="ne-NP"/>
              </w:rPr>
              <w:t>6</w:t>
            </w:r>
            <w:r w:rsidR="00E82587">
              <w:rPr>
                <w:rFonts w:ascii="Calibri" w:hAnsi="Calibri" w:cs="Calibri"/>
                <w:b/>
                <w:bCs/>
                <w:color w:val="000000"/>
                <w:sz w:val="22"/>
                <w:szCs w:val="22"/>
                <w:lang w:bidi="ne-NP"/>
              </w:rPr>
              <w:t>-28</w:t>
            </w:r>
            <w:r w:rsidR="00273FD1" w:rsidRPr="00273FD1">
              <w:rPr>
                <w:rFonts w:ascii="Calibri" w:hAnsi="Calibri" w:cs="Calibri"/>
                <w:b/>
                <w:bCs/>
                <w:color w:val="000000"/>
                <w:sz w:val="22"/>
                <w:szCs w:val="22"/>
                <w:lang w:bidi="ne-NP"/>
              </w:rPr>
              <w:t xml:space="preserve"> (n = 16)</w:t>
            </w:r>
          </w:p>
        </w:tc>
      </w:tr>
      <w:tr w:rsidR="00273FD1" w:rsidRPr="00273FD1" w14:paraId="44C39096" w14:textId="77777777" w:rsidTr="00273FD1">
        <w:trPr>
          <w:trHeight w:val="300"/>
        </w:trPr>
        <w:tc>
          <w:tcPr>
            <w:tcW w:w="2680" w:type="dxa"/>
            <w:tcBorders>
              <w:top w:val="nil"/>
            </w:tcBorders>
            <w:shd w:val="clear" w:color="auto" w:fill="auto"/>
            <w:noWrap/>
            <w:vAlign w:val="bottom"/>
            <w:hideMark/>
          </w:tcPr>
          <w:p w14:paraId="164BC1DF" w14:textId="77777777" w:rsidR="00273FD1" w:rsidRPr="00273FD1" w:rsidRDefault="00273FD1" w:rsidP="00273FD1">
            <w:pPr>
              <w:rPr>
                <w:rFonts w:ascii="Calibri" w:hAnsi="Calibri" w:cs="Calibri"/>
                <w:color w:val="000000"/>
                <w:sz w:val="22"/>
                <w:szCs w:val="22"/>
                <w:lang w:bidi="ne-NP"/>
              </w:rPr>
            </w:pPr>
          </w:p>
        </w:tc>
        <w:tc>
          <w:tcPr>
            <w:tcW w:w="804" w:type="dxa"/>
            <w:shd w:val="clear" w:color="auto" w:fill="auto"/>
            <w:noWrap/>
            <w:vAlign w:val="center"/>
            <w:hideMark/>
          </w:tcPr>
          <w:p w14:paraId="7359441A"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 xml:space="preserve">Mean </w:t>
            </w:r>
          </w:p>
        </w:tc>
        <w:tc>
          <w:tcPr>
            <w:tcW w:w="1220" w:type="dxa"/>
            <w:shd w:val="clear" w:color="auto" w:fill="auto"/>
            <w:noWrap/>
            <w:vAlign w:val="center"/>
            <w:hideMark/>
          </w:tcPr>
          <w:p w14:paraId="42968D36"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Std. Dev.</w:t>
            </w:r>
          </w:p>
        </w:tc>
        <w:tc>
          <w:tcPr>
            <w:tcW w:w="856" w:type="dxa"/>
            <w:shd w:val="clear" w:color="auto" w:fill="auto"/>
            <w:noWrap/>
            <w:vAlign w:val="center"/>
            <w:hideMark/>
          </w:tcPr>
          <w:p w14:paraId="24B41C86"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Range</w:t>
            </w:r>
          </w:p>
        </w:tc>
        <w:tc>
          <w:tcPr>
            <w:tcW w:w="804" w:type="dxa"/>
            <w:shd w:val="clear" w:color="auto" w:fill="auto"/>
            <w:noWrap/>
            <w:vAlign w:val="center"/>
            <w:hideMark/>
          </w:tcPr>
          <w:p w14:paraId="2CB6F43B"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 xml:space="preserve">Mean </w:t>
            </w:r>
          </w:p>
        </w:tc>
        <w:tc>
          <w:tcPr>
            <w:tcW w:w="1220" w:type="dxa"/>
            <w:shd w:val="clear" w:color="auto" w:fill="auto"/>
            <w:noWrap/>
            <w:vAlign w:val="center"/>
            <w:hideMark/>
          </w:tcPr>
          <w:p w14:paraId="01C45414"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Std. Dev.</w:t>
            </w:r>
          </w:p>
        </w:tc>
        <w:tc>
          <w:tcPr>
            <w:tcW w:w="856" w:type="dxa"/>
            <w:shd w:val="clear" w:color="auto" w:fill="auto"/>
            <w:noWrap/>
            <w:vAlign w:val="center"/>
            <w:hideMark/>
          </w:tcPr>
          <w:p w14:paraId="63DA322B" w14:textId="77777777" w:rsidR="00273FD1" w:rsidRPr="00273FD1" w:rsidRDefault="00273FD1" w:rsidP="00273FD1">
            <w:pPr>
              <w:jc w:val="center"/>
              <w:rPr>
                <w:rFonts w:ascii="Calibri" w:hAnsi="Calibri" w:cs="Calibri"/>
                <w:b/>
                <w:bCs/>
                <w:color w:val="000000"/>
                <w:sz w:val="22"/>
                <w:szCs w:val="22"/>
                <w:lang w:bidi="ne-NP"/>
              </w:rPr>
            </w:pPr>
            <w:r w:rsidRPr="00273FD1">
              <w:rPr>
                <w:rFonts w:ascii="Calibri" w:hAnsi="Calibri" w:cs="Calibri"/>
                <w:b/>
                <w:bCs/>
                <w:color w:val="000000"/>
                <w:sz w:val="22"/>
                <w:szCs w:val="22"/>
                <w:lang w:bidi="ne-NP"/>
              </w:rPr>
              <w:t>Range</w:t>
            </w:r>
          </w:p>
        </w:tc>
      </w:tr>
      <w:tr w:rsidR="00273FD1" w:rsidRPr="00273FD1" w14:paraId="2F4285D8" w14:textId="77777777" w:rsidTr="00273FD1">
        <w:trPr>
          <w:trHeight w:val="300"/>
        </w:trPr>
        <w:tc>
          <w:tcPr>
            <w:tcW w:w="2680" w:type="dxa"/>
            <w:shd w:val="clear" w:color="auto" w:fill="auto"/>
            <w:noWrap/>
            <w:vAlign w:val="center"/>
            <w:hideMark/>
          </w:tcPr>
          <w:p w14:paraId="1D8EA9BA" w14:textId="77777777" w:rsidR="00273FD1" w:rsidRPr="00273FD1" w:rsidRDefault="00273FD1" w:rsidP="00273FD1">
            <w:pPr>
              <w:rPr>
                <w:rFonts w:ascii="Calibri" w:hAnsi="Calibri" w:cs="Calibri"/>
                <w:b/>
                <w:bCs/>
                <w:color w:val="000000"/>
                <w:sz w:val="22"/>
                <w:szCs w:val="22"/>
                <w:lang w:bidi="ne-NP"/>
              </w:rPr>
            </w:pPr>
            <w:r w:rsidRPr="00273FD1">
              <w:rPr>
                <w:rFonts w:ascii="Calibri" w:hAnsi="Calibri" w:cs="Calibri"/>
                <w:b/>
                <w:bCs/>
                <w:color w:val="000000"/>
                <w:sz w:val="22"/>
                <w:szCs w:val="22"/>
                <w:lang w:bidi="ne-NP"/>
              </w:rPr>
              <w:t>Age (years)</w:t>
            </w:r>
          </w:p>
        </w:tc>
        <w:tc>
          <w:tcPr>
            <w:tcW w:w="804" w:type="dxa"/>
            <w:shd w:val="clear" w:color="auto" w:fill="auto"/>
            <w:noWrap/>
            <w:vAlign w:val="center"/>
            <w:hideMark/>
          </w:tcPr>
          <w:p w14:paraId="0512193E"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51</w:t>
            </w:r>
          </w:p>
        </w:tc>
        <w:tc>
          <w:tcPr>
            <w:tcW w:w="1220" w:type="dxa"/>
            <w:shd w:val="clear" w:color="auto" w:fill="auto"/>
            <w:noWrap/>
            <w:vAlign w:val="center"/>
            <w:hideMark/>
          </w:tcPr>
          <w:p w14:paraId="225F1CBE"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10.14</w:t>
            </w:r>
          </w:p>
        </w:tc>
        <w:tc>
          <w:tcPr>
            <w:tcW w:w="856" w:type="dxa"/>
            <w:shd w:val="clear" w:color="auto" w:fill="auto"/>
            <w:noWrap/>
            <w:vAlign w:val="center"/>
            <w:hideMark/>
          </w:tcPr>
          <w:p w14:paraId="35DE67DC"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33-71</w:t>
            </w:r>
          </w:p>
        </w:tc>
        <w:tc>
          <w:tcPr>
            <w:tcW w:w="804" w:type="dxa"/>
            <w:shd w:val="clear" w:color="auto" w:fill="auto"/>
            <w:noWrap/>
            <w:vAlign w:val="center"/>
            <w:hideMark/>
          </w:tcPr>
          <w:p w14:paraId="30433DA9"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50</w:t>
            </w:r>
          </w:p>
        </w:tc>
        <w:tc>
          <w:tcPr>
            <w:tcW w:w="1220" w:type="dxa"/>
            <w:shd w:val="clear" w:color="auto" w:fill="auto"/>
            <w:noWrap/>
            <w:vAlign w:val="center"/>
            <w:hideMark/>
          </w:tcPr>
          <w:p w14:paraId="1EA154F6"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6.37</w:t>
            </w:r>
          </w:p>
        </w:tc>
        <w:tc>
          <w:tcPr>
            <w:tcW w:w="856" w:type="dxa"/>
            <w:shd w:val="clear" w:color="auto" w:fill="auto"/>
            <w:noWrap/>
            <w:vAlign w:val="center"/>
            <w:hideMark/>
          </w:tcPr>
          <w:p w14:paraId="2E452FAB"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42-66</w:t>
            </w:r>
          </w:p>
        </w:tc>
      </w:tr>
      <w:tr w:rsidR="00273FD1" w:rsidRPr="00273FD1" w14:paraId="0EE1B46B" w14:textId="77777777" w:rsidTr="00273FD1">
        <w:trPr>
          <w:trHeight w:val="300"/>
        </w:trPr>
        <w:tc>
          <w:tcPr>
            <w:tcW w:w="2680" w:type="dxa"/>
            <w:shd w:val="clear" w:color="auto" w:fill="auto"/>
            <w:noWrap/>
            <w:vAlign w:val="center"/>
            <w:hideMark/>
          </w:tcPr>
          <w:p w14:paraId="26157754" w14:textId="77777777" w:rsidR="00273FD1" w:rsidRPr="00273FD1" w:rsidRDefault="00273FD1" w:rsidP="00273FD1">
            <w:pPr>
              <w:rPr>
                <w:rFonts w:ascii="Calibri" w:hAnsi="Calibri" w:cs="Calibri"/>
                <w:b/>
                <w:bCs/>
                <w:color w:val="000000"/>
                <w:sz w:val="22"/>
                <w:szCs w:val="22"/>
                <w:lang w:bidi="ne-NP"/>
              </w:rPr>
            </w:pPr>
            <w:r w:rsidRPr="00273FD1">
              <w:rPr>
                <w:rFonts w:ascii="Calibri" w:hAnsi="Calibri" w:cs="Calibri"/>
                <w:b/>
                <w:bCs/>
                <w:color w:val="000000"/>
                <w:sz w:val="22"/>
                <w:szCs w:val="22"/>
                <w:lang w:bidi="ne-NP"/>
              </w:rPr>
              <w:t>Sex (%)</w:t>
            </w:r>
          </w:p>
        </w:tc>
        <w:tc>
          <w:tcPr>
            <w:tcW w:w="804" w:type="dxa"/>
            <w:shd w:val="clear" w:color="auto" w:fill="auto"/>
            <w:noWrap/>
            <w:vAlign w:val="center"/>
            <w:hideMark/>
          </w:tcPr>
          <w:p w14:paraId="208F8C69"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59.26</w:t>
            </w:r>
          </w:p>
        </w:tc>
        <w:tc>
          <w:tcPr>
            <w:tcW w:w="1220" w:type="dxa"/>
            <w:shd w:val="clear" w:color="auto" w:fill="auto"/>
            <w:noWrap/>
            <w:vAlign w:val="center"/>
            <w:hideMark/>
          </w:tcPr>
          <w:p w14:paraId="3E0A6924" w14:textId="77777777" w:rsidR="00273FD1" w:rsidRPr="00273FD1" w:rsidRDefault="00273FD1" w:rsidP="00273FD1">
            <w:pPr>
              <w:jc w:val="center"/>
              <w:rPr>
                <w:rFonts w:ascii="Calibri" w:hAnsi="Calibri" w:cs="Calibri"/>
                <w:color w:val="000000"/>
                <w:sz w:val="22"/>
                <w:szCs w:val="22"/>
                <w:lang w:bidi="ne-NP"/>
              </w:rPr>
            </w:pPr>
          </w:p>
        </w:tc>
        <w:tc>
          <w:tcPr>
            <w:tcW w:w="856" w:type="dxa"/>
            <w:shd w:val="clear" w:color="auto" w:fill="auto"/>
            <w:noWrap/>
            <w:vAlign w:val="center"/>
            <w:hideMark/>
          </w:tcPr>
          <w:p w14:paraId="3070717B" w14:textId="77777777" w:rsidR="00273FD1" w:rsidRPr="00273FD1" w:rsidRDefault="00273FD1" w:rsidP="00273FD1">
            <w:pPr>
              <w:jc w:val="center"/>
              <w:rPr>
                <w:rFonts w:ascii="Calibri" w:hAnsi="Calibri" w:cs="Calibri"/>
                <w:color w:val="000000"/>
                <w:sz w:val="22"/>
                <w:szCs w:val="22"/>
                <w:lang w:bidi="ne-NP"/>
              </w:rPr>
            </w:pPr>
          </w:p>
        </w:tc>
        <w:tc>
          <w:tcPr>
            <w:tcW w:w="804" w:type="dxa"/>
            <w:shd w:val="clear" w:color="auto" w:fill="auto"/>
            <w:noWrap/>
            <w:vAlign w:val="center"/>
            <w:hideMark/>
          </w:tcPr>
          <w:p w14:paraId="64BE48A2"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81.25</w:t>
            </w:r>
          </w:p>
        </w:tc>
        <w:tc>
          <w:tcPr>
            <w:tcW w:w="1220" w:type="dxa"/>
            <w:shd w:val="clear" w:color="auto" w:fill="auto"/>
            <w:noWrap/>
            <w:vAlign w:val="center"/>
            <w:hideMark/>
          </w:tcPr>
          <w:p w14:paraId="72F55D98" w14:textId="77777777" w:rsidR="00273FD1" w:rsidRPr="00273FD1" w:rsidRDefault="00273FD1" w:rsidP="00273FD1">
            <w:pPr>
              <w:jc w:val="center"/>
              <w:rPr>
                <w:rFonts w:ascii="Calibri" w:hAnsi="Calibri" w:cs="Calibri"/>
                <w:color w:val="000000"/>
                <w:sz w:val="22"/>
                <w:szCs w:val="22"/>
                <w:lang w:bidi="ne-NP"/>
              </w:rPr>
            </w:pPr>
          </w:p>
        </w:tc>
        <w:tc>
          <w:tcPr>
            <w:tcW w:w="856" w:type="dxa"/>
            <w:shd w:val="clear" w:color="auto" w:fill="auto"/>
            <w:noWrap/>
            <w:vAlign w:val="center"/>
            <w:hideMark/>
          </w:tcPr>
          <w:p w14:paraId="4A147BE4" w14:textId="77777777" w:rsidR="00273FD1" w:rsidRPr="00273FD1" w:rsidRDefault="00273FD1" w:rsidP="00273FD1">
            <w:pPr>
              <w:jc w:val="center"/>
              <w:rPr>
                <w:rFonts w:ascii="Calibri" w:hAnsi="Calibri" w:cs="Calibri"/>
                <w:color w:val="000000"/>
                <w:sz w:val="22"/>
                <w:szCs w:val="22"/>
                <w:lang w:bidi="ne-NP"/>
              </w:rPr>
            </w:pPr>
          </w:p>
        </w:tc>
      </w:tr>
      <w:tr w:rsidR="00273FD1" w:rsidRPr="00273FD1" w14:paraId="58A90518" w14:textId="77777777" w:rsidTr="00273FD1">
        <w:trPr>
          <w:trHeight w:val="300"/>
        </w:trPr>
        <w:tc>
          <w:tcPr>
            <w:tcW w:w="2680" w:type="dxa"/>
            <w:shd w:val="clear" w:color="auto" w:fill="auto"/>
            <w:noWrap/>
            <w:vAlign w:val="center"/>
            <w:hideMark/>
          </w:tcPr>
          <w:p w14:paraId="03D33781" w14:textId="77777777" w:rsidR="00273FD1" w:rsidRPr="00273FD1" w:rsidRDefault="00273FD1" w:rsidP="00273FD1">
            <w:pPr>
              <w:rPr>
                <w:rFonts w:ascii="Calibri" w:hAnsi="Calibri" w:cs="Calibri"/>
                <w:b/>
                <w:bCs/>
                <w:color w:val="000000"/>
                <w:sz w:val="22"/>
                <w:szCs w:val="22"/>
                <w:lang w:bidi="ne-NP"/>
              </w:rPr>
            </w:pPr>
            <w:r w:rsidRPr="00273FD1">
              <w:rPr>
                <w:rFonts w:ascii="Calibri" w:hAnsi="Calibri" w:cs="Calibri"/>
                <w:b/>
                <w:bCs/>
                <w:color w:val="000000"/>
                <w:sz w:val="22"/>
                <w:szCs w:val="22"/>
                <w:lang w:bidi="ne-NP"/>
              </w:rPr>
              <w:t>Observation Time (years)</w:t>
            </w:r>
          </w:p>
        </w:tc>
        <w:tc>
          <w:tcPr>
            <w:tcW w:w="804" w:type="dxa"/>
            <w:shd w:val="clear" w:color="auto" w:fill="auto"/>
            <w:noWrap/>
            <w:vAlign w:val="center"/>
            <w:hideMark/>
          </w:tcPr>
          <w:p w14:paraId="5905000A"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25.93</w:t>
            </w:r>
          </w:p>
        </w:tc>
        <w:tc>
          <w:tcPr>
            <w:tcW w:w="1220" w:type="dxa"/>
            <w:shd w:val="clear" w:color="auto" w:fill="auto"/>
            <w:noWrap/>
            <w:vAlign w:val="center"/>
            <w:hideMark/>
          </w:tcPr>
          <w:p w14:paraId="2FDF77F8" w14:textId="77777777" w:rsidR="00273FD1" w:rsidRPr="00273FD1" w:rsidRDefault="00273FD1" w:rsidP="00273FD1">
            <w:pPr>
              <w:jc w:val="center"/>
              <w:rPr>
                <w:rFonts w:ascii="Calibri" w:hAnsi="Calibri" w:cs="Calibri"/>
                <w:color w:val="000000"/>
                <w:sz w:val="22"/>
                <w:szCs w:val="22"/>
                <w:lang w:bidi="ne-NP"/>
              </w:rPr>
            </w:pPr>
          </w:p>
        </w:tc>
        <w:tc>
          <w:tcPr>
            <w:tcW w:w="856" w:type="dxa"/>
            <w:shd w:val="clear" w:color="auto" w:fill="auto"/>
            <w:noWrap/>
            <w:vAlign w:val="center"/>
            <w:hideMark/>
          </w:tcPr>
          <w:p w14:paraId="2B0A33FF" w14:textId="77777777" w:rsidR="00273FD1" w:rsidRPr="00273FD1" w:rsidRDefault="00273FD1" w:rsidP="00273FD1">
            <w:pPr>
              <w:jc w:val="center"/>
              <w:rPr>
                <w:rFonts w:ascii="Calibri" w:hAnsi="Calibri" w:cs="Calibri"/>
                <w:color w:val="000000"/>
                <w:sz w:val="22"/>
                <w:szCs w:val="22"/>
                <w:lang w:bidi="ne-NP"/>
              </w:rPr>
            </w:pPr>
          </w:p>
        </w:tc>
        <w:tc>
          <w:tcPr>
            <w:tcW w:w="804" w:type="dxa"/>
            <w:shd w:val="clear" w:color="auto" w:fill="auto"/>
            <w:noWrap/>
            <w:vAlign w:val="center"/>
            <w:hideMark/>
          </w:tcPr>
          <w:p w14:paraId="41797B61" w14:textId="77777777" w:rsidR="00273FD1" w:rsidRPr="00273FD1" w:rsidRDefault="00273FD1" w:rsidP="00273FD1">
            <w:pPr>
              <w:jc w:val="center"/>
              <w:rPr>
                <w:rFonts w:ascii="Calibri" w:hAnsi="Calibri" w:cs="Calibri"/>
                <w:color w:val="000000"/>
                <w:sz w:val="22"/>
                <w:szCs w:val="22"/>
                <w:lang w:bidi="ne-NP"/>
              </w:rPr>
            </w:pPr>
            <w:r w:rsidRPr="00273FD1">
              <w:rPr>
                <w:rFonts w:ascii="Calibri" w:hAnsi="Calibri" w:cs="Calibri"/>
                <w:color w:val="000000"/>
                <w:sz w:val="22"/>
                <w:szCs w:val="22"/>
                <w:lang w:bidi="ne-NP"/>
              </w:rPr>
              <w:t>6.25</w:t>
            </w:r>
          </w:p>
        </w:tc>
        <w:tc>
          <w:tcPr>
            <w:tcW w:w="1220" w:type="dxa"/>
            <w:shd w:val="clear" w:color="auto" w:fill="auto"/>
            <w:noWrap/>
            <w:vAlign w:val="center"/>
            <w:hideMark/>
          </w:tcPr>
          <w:p w14:paraId="6C7F057D" w14:textId="77777777" w:rsidR="00273FD1" w:rsidRPr="00273FD1" w:rsidRDefault="00273FD1" w:rsidP="00273FD1">
            <w:pPr>
              <w:jc w:val="center"/>
              <w:rPr>
                <w:rFonts w:ascii="Calibri" w:hAnsi="Calibri" w:cs="Calibri"/>
                <w:color w:val="000000"/>
                <w:sz w:val="22"/>
                <w:szCs w:val="22"/>
                <w:lang w:bidi="ne-NP"/>
              </w:rPr>
            </w:pPr>
          </w:p>
        </w:tc>
        <w:tc>
          <w:tcPr>
            <w:tcW w:w="856" w:type="dxa"/>
            <w:shd w:val="clear" w:color="auto" w:fill="auto"/>
            <w:noWrap/>
            <w:vAlign w:val="center"/>
            <w:hideMark/>
          </w:tcPr>
          <w:p w14:paraId="600270AA" w14:textId="77777777" w:rsidR="00273FD1" w:rsidRPr="00273FD1" w:rsidRDefault="00273FD1" w:rsidP="00273FD1">
            <w:pPr>
              <w:jc w:val="center"/>
              <w:rPr>
                <w:rFonts w:ascii="Calibri" w:hAnsi="Calibri" w:cs="Calibri"/>
                <w:color w:val="000000"/>
                <w:sz w:val="22"/>
                <w:szCs w:val="22"/>
                <w:lang w:bidi="ne-NP"/>
              </w:rPr>
            </w:pPr>
          </w:p>
        </w:tc>
      </w:tr>
    </w:tbl>
    <w:p w14:paraId="673553AA" w14:textId="77777777" w:rsidR="008E1C1E" w:rsidRDefault="008E1C1E" w:rsidP="005A0B72">
      <w:pPr>
        <w:autoSpaceDE w:val="0"/>
        <w:autoSpaceDN w:val="0"/>
        <w:adjustRightInd w:val="0"/>
        <w:spacing w:after="120"/>
        <w:ind w:left="720"/>
        <w:rPr>
          <w:sz w:val="22"/>
          <w:szCs w:val="22"/>
        </w:rPr>
      </w:pPr>
    </w:p>
    <w:p w14:paraId="03D79AD2" w14:textId="77777777" w:rsidR="00E72E02" w:rsidRDefault="00CA4C08" w:rsidP="00E72E02">
      <w:pPr>
        <w:keepNext/>
        <w:autoSpaceDE w:val="0"/>
        <w:autoSpaceDN w:val="0"/>
        <w:adjustRightInd w:val="0"/>
        <w:spacing w:after="120"/>
        <w:ind w:left="720"/>
      </w:pPr>
      <w:r w:rsidRPr="00216D86">
        <w:rPr>
          <w:noProof/>
          <w:sz w:val="22"/>
          <w:szCs w:val="22"/>
        </w:rPr>
        <w:drawing>
          <wp:inline distT="0" distB="0" distL="0" distR="0" wp14:anchorId="5AE2C342" wp14:editId="4869B2B6">
            <wp:extent cx="5781675" cy="420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675" cy="4200525"/>
                    </a:xfrm>
                    <a:prstGeom prst="rect">
                      <a:avLst/>
                    </a:prstGeom>
                    <a:noFill/>
                    <a:ln>
                      <a:noFill/>
                    </a:ln>
                  </pic:spPr>
                </pic:pic>
              </a:graphicData>
            </a:graphic>
          </wp:inline>
        </w:drawing>
      </w:r>
    </w:p>
    <w:p w14:paraId="015B19A6" w14:textId="77777777" w:rsidR="004C4390" w:rsidRDefault="00E72E02" w:rsidP="00E72E02">
      <w:pPr>
        <w:pStyle w:val="Caption"/>
        <w:ind w:left="720"/>
        <w:rPr>
          <w:sz w:val="22"/>
          <w:szCs w:val="22"/>
        </w:rPr>
      </w:pPr>
      <w:r>
        <w:t xml:space="preserve">Figure </w:t>
      </w:r>
      <w:fldSimple w:instr=" SEQ Figure \* ARABIC ">
        <w:r w:rsidR="004769D3">
          <w:rPr>
            <w:noProof/>
          </w:rPr>
          <w:t>1</w:t>
        </w:r>
      </w:fldSimple>
      <w:r>
        <w:t>. Kaplan-Meier based estimates for observation time from study enrollment to death from any cause for 418 patients</w:t>
      </w:r>
    </w:p>
    <w:p w14:paraId="1EF3A0FD" w14:textId="77777777" w:rsidR="00216D86" w:rsidRDefault="00216D86" w:rsidP="005A0B72">
      <w:pPr>
        <w:autoSpaceDE w:val="0"/>
        <w:autoSpaceDN w:val="0"/>
        <w:adjustRightInd w:val="0"/>
        <w:spacing w:after="120"/>
        <w:ind w:left="720"/>
        <w:rPr>
          <w:sz w:val="22"/>
          <w:szCs w:val="22"/>
        </w:rPr>
      </w:pPr>
    </w:p>
    <w:p w14:paraId="0373DFC8" w14:textId="77777777" w:rsidR="002777EC" w:rsidRDefault="004D7832" w:rsidP="00F538AE">
      <w:pPr>
        <w:numPr>
          <w:ilvl w:val="0"/>
          <w:numId w:val="19"/>
        </w:numPr>
        <w:autoSpaceDE w:val="0"/>
        <w:autoSpaceDN w:val="0"/>
        <w:adjustRightInd w:val="0"/>
        <w:spacing w:after="120"/>
        <w:rPr>
          <w:sz w:val="22"/>
          <w:szCs w:val="22"/>
        </w:rPr>
      </w:pPr>
      <w:commentRangeStart w:id="4"/>
      <w:r>
        <w:rPr>
          <w:sz w:val="22"/>
          <w:szCs w:val="22"/>
        </w:rPr>
        <w:t xml:space="preserve">In prior homeworks using the Cardiovascular Health Study datasets, we were able to use logistic regression </w:t>
      </w:r>
      <w:commentRangeEnd w:id="4"/>
      <w:r w:rsidR="007A614B">
        <w:rPr>
          <w:rStyle w:val="CommentReference"/>
        </w:rPr>
        <w:commentReference w:id="4"/>
      </w:r>
      <w:r>
        <w:rPr>
          <w:sz w:val="22"/>
          <w:szCs w:val="22"/>
        </w:rPr>
        <w:t>to investigate associations between mortality and various covariates. Why might such an approach not seem advisable with these data? (Consider the extent to which such analyses might be confounded and/or lack precision.)</w:t>
      </w:r>
    </w:p>
    <w:p w14:paraId="0F5CC0C8" w14:textId="77777777" w:rsidR="00A015FF" w:rsidRPr="00C57D52" w:rsidRDefault="00C57D52" w:rsidP="005A11A6">
      <w:pPr>
        <w:autoSpaceDE w:val="0"/>
        <w:autoSpaceDN w:val="0"/>
        <w:adjustRightInd w:val="0"/>
        <w:spacing w:after="120"/>
        <w:ind w:left="720"/>
        <w:jc w:val="both"/>
        <w:rPr>
          <w:color w:val="0070C0"/>
          <w:sz w:val="22"/>
          <w:szCs w:val="22"/>
        </w:rPr>
      </w:pPr>
      <w:r w:rsidRPr="00C57D52">
        <w:rPr>
          <w:b/>
          <w:bCs/>
          <w:color w:val="0070C0"/>
          <w:sz w:val="22"/>
          <w:szCs w:val="22"/>
          <w:u w:val="single"/>
        </w:rPr>
        <w:t>Answer</w:t>
      </w:r>
      <w:r w:rsidRPr="00C57D52">
        <w:rPr>
          <w:color w:val="0070C0"/>
          <w:sz w:val="22"/>
          <w:szCs w:val="22"/>
        </w:rPr>
        <w:t xml:space="preserve">: Such an approach is not advisable with these data, because the data is right censored. </w:t>
      </w:r>
      <w:r w:rsidR="006628C1">
        <w:rPr>
          <w:color w:val="0070C0"/>
          <w:sz w:val="22"/>
          <w:szCs w:val="22"/>
        </w:rPr>
        <w:t>The minimum period of time for which information on all patients is available is 1.46years only. After this time we have limited and missing data.</w:t>
      </w:r>
      <w:r w:rsidRPr="00C57D52">
        <w:rPr>
          <w:color w:val="0070C0"/>
          <w:sz w:val="22"/>
          <w:szCs w:val="22"/>
        </w:rPr>
        <w:t xml:space="preserve"> </w:t>
      </w:r>
      <w:r w:rsidR="006628C1">
        <w:rPr>
          <w:color w:val="0070C0"/>
          <w:sz w:val="22"/>
          <w:szCs w:val="22"/>
        </w:rPr>
        <w:t>Since in the</w:t>
      </w:r>
      <w:r w:rsidRPr="00C57D52">
        <w:rPr>
          <w:color w:val="0070C0"/>
          <w:sz w:val="22"/>
          <w:szCs w:val="22"/>
        </w:rPr>
        <w:t xml:space="preserve"> Cardiovascular Healt</w:t>
      </w:r>
      <w:r w:rsidR="006628C1">
        <w:rPr>
          <w:color w:val="0070C0"/>
          <w:sz w:val="22"/>
          <w:szCs w:val="22"/>
        </w:rPr>
        <w:t>h Study dataset</w:t>
      </w:r>
      <w:r w:rsidRPr="00C57D52">
        <w:rPr>
          <w:color w:val="0070C0"/>
          <w:sz w:val="22"/>
          <w:szCs w:val="22"/>
        </w:rPr>
        <w:t xml:space="preserve"> we had information on all participants</w:t>
      </w:r>
      <w:r w:rsidR="006628C1">
        <w:rPr>
          <w:color w:val="0070C0"/>
          <w:sz w:val="22"/>
          <w:szCs w:val="22"/>
        </w:rPr>
        <w:t>, we</w:t>
      </w:r>
      <w:r w:rsidRPr="00C57D52">
        <w:rPr>
          <w:color w:val="0070C0"/>
          <w:sz w:val="22"/>
          <w:szCs w:val="22"/>
        </w:rPr>
        <w:t xml:space="preserve"> cou</w:t>
      </w:r>
      <w:r w:rsidR="006628C1">
        <w:rPr>
          <w:color w:val="0070C0"/>
          <w:sz w:val="22"/>
          <w:szCs w:val="22"/>
        </w:rPr>
        <w:t>ld perform logistic regression; but since that is not the case here, we can’t do logistic regression.</w:t>
      </w:r>
    </w:p>
    <w:p w14:paraId="745C6E90" w14:textId="77777777" w:rsidR="00C57D52" w:rsidRDefault="00C57D52" w:rsidP="00A015FF">
      <w:pPr>
        <w:autoSpaceDE w:val="0"/>
        <w:autoSpaceDN w:val="0"/>
        <w:adjustRightInd w:val="0"/>
        <w:spacing w:after="120"/>
        <w:ind w:left="720"/>
        <w:rPr>
          <w:sz w:val="22"/>
          <w:szCs w:val="22"/>
        </w:rPr>
      </w:pPr>
    </w:p>
    <w:p w14:paraId="190A91D3" w14:textId="77777777" w:rsidR="00A459C8" w:rsidRDefault="00C55091" w:rsidP="002777EC">
      <w:pPr>
        <w:numPr>
          <w:ilvl w:val="0"/>
          <w:numId w:val="19"/>
        </w:numPr>
        <w:autoSpaceDE w:val="0"/>
        <w:autoSpaceDN w:val="0"/>
        <w:adjustRightInd w:val="0"/>
        <w:spacing w:after="120"/>
        <w:rPr>
          <w:sz w:val="22"/>
          <w:szCs w:val="22"/>
        </w:rPr>
      </w:pPr>
      <w:r w:rsidRPr="009D5804">
        <w:rPr>
          <w:sz w:val="22"/>
          <w:szCs w:val="22"/>
        </w:rPr>
        <w:lastRenderedPageBreak/>
        <w:t xml:space="preserve">Perform a statistical </w:t>
      </w:r>
      <w:r w:rsidR="00115B08">
        <w:rPr>
          <w:sz w:val="22"/>
          <w:szCs w:val="22"/>
        </w:rPr>
        <w:t xml:space="preserve">regression </w:t>
      </w:r>
      <w:r w:rsidRPr="009D5804">
        <w:rPr>
          <w:sz w:val="22"/>
          <w:szCs w:val="22"/>
        </w:rPr>
        <w:t xml:space="preserve">analysis evaluating an association between serum </w:t>
      </w:r>
      <w:r w:rsidR="002777EC">
        <w:rPr>
          <w:sz w:val="22"/>
          <w:szCs w:val="22"/>
        </w:rPr>
        <w:t>bilirubin</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w:t>
      </w:r>
      <w:r w:rsidR="002777EC">
        <w:rPr>
          <w:sz w:val="22"/>
          <w:szCs w:val="22"/>
        </w:rPr>
        <w:t>bilirubin</w:t>
      </w:r>
      <w:r w:rsidR="00B457A7" w:rsidRPr="009D5804">
        <w:rPr>
          <w:sz w:val="22"/>
          <w:szCs w:val="22"/>
        </w:rPr>
        <w:t xml:space="preserve"> </w:t>
      </w:r>
      <w:r w:rsidR="00F538AE">
        <w:rPr>
          <w:sz w:val="22"/>
          <w:szCs w:val="22"/>
        </w:rPr>
        <w:t xml:space="preserve">modeled as a continuous variable. </w:t>
      </w:r>
    </w:p>
    <w:p w14:paraId="4588FF21" w14:textId="77777777" w:rsidR="00A459C8" w:rsidRDefault="00F538AE" w:rsidP="002777EC">
      <w:pPr>
        <w:numPr>
          <w:ilvl w:val="1"/>
          <w:numId w:val="19"/>
        </w:numPr>
        <w:autoSpaceDE w:val="0"/>
        <w:autoSpaceDN w:val="0"/>
        <w:adjustRightInd w:val="0"/>
        <w:spacing w:after="120"/>
        <w:rPr>
          <w:sz w:val="22"/>
          <w:szCs w:val="22"/>
        </w:rPr>
      </w:pPr>
      <w:commentRangeStart w:id="5"/>
      <w:r>
        <w:rPr>
          <w:sz w:val="22"/>
          <w:szCs w:val="22"/>
        </w:rPr>
        <w:t xml:space="preserve">Include </w:t>
      </w:r>
      <w:r w:rsidR="002777EC">
        <w:rPr>
          <w:sz w:val="22"/>
          <w:szCs w:val="22"/>
        </w:rPr>
        <w:t>a</w:t>
      </w:r>
      <w:r>
        <w:rPr>
          <w:sz w:val="22"/>
          <w:szCs w:val="22"/>
        </w:rPr>
        <w:t xml:space="preserve"> </w:t>
      </w:r>
      <w:r w:rsidR="00A620A3">
        <w:rPr>
          <w:sz w:val="22"/>
          <w:szCs w:val="22"/>
        </w:rPr>
        <w:t xml:space="preserve">full report of your </w:t>
      </w:r>
      <w:r w:rsidR="002777EC">
        <w:rPr>
          <w:sz w:val="22"/>
          <w:szCs w:val="22"/>
        </w:rPr>
        <w:t>inference about the association</w:t>
      </w:r>
      <w:r>
        <w:rPr>
          <w:sz w:val="22"/>
          <w:szCs w:val="22"/>
        </w:rPr>
        <w:t>.</w:t>
      </w:r>
      <w:commentRangeEnd w:id="5"/>
      <w:r w:rsidR="0067619B">
        <w:rPr>
          <w:rStyle w:val="CommentReference"/>
        </w:rPr>
        <w:commentReference w:id="5"/>
      </w:r>
    </w:p>
    <w:p w14:paraId="33B066A9" w14:textId="77777777" w:rsidR="00730780" w:rsidRPr="00C525D7" w:rsidRDefault="00730780" w:rsidP="00730780">
      <w:pPr>
        <w:autoSpaceDE w:val="0"/>
        <w:autoSpaceDN w:val="0"/>
        <w:adjustRightInd w:val="0"/>
        <w:spacing w:after="120"/>
        <w:ind w:left="1440"/>
        <w:jc w:val="both"/>
        <w:rPr>
          <w:color w:val="0070C0"/>
          <w:sz w:val="22"/>
          <w:szCs w:val="22"/>
        </w:rPr>
      </w:pPr>
      <w:commentRangeStart w:id="6"/>
      <w:r w:rsidRPr="00C525D7">
        <w:rPr>
          <w:b/>
          <w:color w:val="0070C0"/>
          <w:sz w:val="22"/>
          <w:szCs w:val="22"/>
          <w:u w:val="single"/>
        </w:rPr>
        <w:t>Method</w:t>
      </w:r>
      <w:r w:rsidRPr="00C525D7">
        <w:rPr>
          <w:color w:val="0070C0"/>
          <w:sz w:val="22"/>
          <w:szCs w:val="22"/>
        </w:rPr>
        <w:t xml:space="preserve">: </w:t>
      </w:r>
      <w:r w:rsidR="006411E2">
        <w:rPr>
          <w:color w:val="0070C0"/>
          <w:sz w:val="22"/>
          <w:szCs w:val="22"/>
        </w:rPr>
        <w:t xml:space="preserve">To evaluate an association between serum bilirubin and all-cause mortality by comparing </w:t>
      </w:r>
      <w:commentRangeEnd w:id="6"/>
      <w:r w:rsidR="007A614B">
        <w:rPr>
          <w:rStyle w:val="CommentReference"/>
        </w:rPr>
        <w:commentReference w:id="6"/>
      </w:r>
      <w:r w:rsidR="006411E2">
        <w:rPr>
          <w:color w:val="0070C0"/>
          <w:sz w:val="22"/>
          <w:szCs w:val="22"/>
        </w:rPr>
        <w:t xml:space="preserve">the instantaneous risk of death over the entire period of observation across groups, </w:t>
      </w:r>
      <w:r w:rsidRPr="00C525D7">
        <w:rPr>
          <w:color w:val="0070C0"/>
          <w:sz w:val="22"/>
          <w:szCs w:val="22"/>
        </w:rPr>
        <w:t xml:space="preserve">I </w:t>
      </w:r>
      <w:r w:rsidR="00531E0E">
        <w:rPr>
          <w:color w:val="0070C0"/>
          <w:sz w:val="22"/>
          <w:szCs w:val="22"/>
        </w:rPr>
        <w:t xml:space="preserve">stset obstime and status, and performed proportional hazard regression using the Stata command, stcox, followed by predictor variable, bili. </w:t>
      </w:r>
      <w:r w:rsidRPr="00C525D7">
        <w:rPr>
          <w:color w:val="0070C0"/>
          <w:sz w:val="22"/>
          <w:szCs w:val="22"/>
        </w:rPr>
        <w:t xml:space="preserve"> </w:t>
      </w:r>
      <w:r w:rsidR="001E13F6">
        <w:rPr>
          <w:color w:val="0070C0"/>
          <w:sz w:val="22"/>
          <w:szCs w:val="22"/>
        </w:rPr>
        <w:t xml:space="preserve">Here, the serum bilirubin was treated as a continuous untransformed variable. The confidence interval and two-sided p-values were computed using the Wald’s statistics. Missing data were excluded from the analysis. </w:t>
      </w:r>
    </w:p>
    <w:p w14:paraId="115F3ACA" w14:textId="77777777" w:rsidR="00730780" w:rsidRDefault="00730780" w:rsidP="002D6762">
      <w:pPr>
        <w:autoSpaceDE w:val="0"/>
        <w:autoSpaceDN w:val="0"/>
        <w:adjustRightInd w:val="0"/>
        <w:spacing w:after="120"/>
        <w:ind w:left="1440"/>
        <w:jc w:val="both"/>
        <w:rPr>
          <w:sz w:val="22"/>
          <w:szCs w:val="22"/>
        </w:rPr>
      </w:pPr>
      <w:r w:rsidRPr="00C525D7">
        <w:rPr>
          <w:b/>
          <w:color w:val="0070C0"/>
          <w:sz w:val="22"/>
          <w:szCs w:val="22"/>
          <w:u w:val="single"/>
        </w:rPr>
        <w:t>Result</w:t>
      </w:r>
      <w:r w:rsidRPr="00C525D7">
        <w:rPr>
          <w:color w:val="0070C0"/>
          <w:sz w:val="22"/>
          <w:szCs w:val="22"/>
        </w:rPr>
        <w:t xml:space="preserve">: </w:t>
      </w:r>
      <w:r w:rsidR="001E13F6">
        <w:rPr>
          <w:color w:val="0070C0"/>
          <w:sz w:val="22"/>
          <w:szCs w:val="22"/>
        </w:rPr>
        <w:t xml:space="preserve">Data is available on 418 patients among whom 161 patients were observed to have died during an average observation period of 5.25years. </w:t>
      </w:r>
      <w:r w:rsidR="002573DF">
        <w:rPr>
          <w:color w:val="0070C0"/>
          <w:sz w:val="22"/>
          <w:szCs w:val="22"/>
        </w:rPr>
        <w:t>Using</w:t>
      </w:r>
      <w:r w:rsidR="001E13F6">
        <w:rPr>
          <w:color w:val="0070C0"/>
          <w:sz w:val="22"/>
          <w:szCs w:val="22"/>
        </w:rPr>
        <w:t xml:space="preserve"> the proportional hazard regression, the instantaneous risk of death </w:t>
      </w:r>
      <w:r w:rsidR="002573DF">
        <w:rPr>
          <w:color w:val="0070C0"/>
          <w:sz w:val="22"/>
          <w:szCs w:val="22"/>
        </w:rPr>
        <w:t xml:space="preserve">is </w:t>
      </w:r>
      <w:commentRangeStart w:id="7"/>
      <w:r w:rsidR="002573DF">
        <w:rPr>
          <w:color w:val="0070C0"/>
          <w:sz w:val="22"/>
          <w:szCs w:val="22"/>
        </w:rPr>
        <w:t xml:space="preserve">1.15 higher for each </w:t>
      </w:r>
      <w:commentRangeEnd w:id="7"/>
      <w:r w:rsidR="007A614B">
        <w:rPr>
          <w:rStyle w:val="CommentReference"/>
        </w:rPr>
        <w:commentReference w:id="7"/>
      </w:r>
      <w:r w:rsidR="002573DF">
        <w:rPr>
          <w:color w:val="0070C0"/>
          <w:sz w:val="22"/>
          <w:szCs w:val="22"/>
        </w:rPr>
        <w:t xml:space="preserve">1mg/dl increase in serum bilirubin at baseline. Based on a 95% confidence interval, this hazard ratio is not unusual </w:t>
      </w:r>
      <w:r w:rsidR="002A639F">
        <w:rPr>
          <w:color w:val="0070C0"/>
          <w:sz w:val="22"/>
          <w:szCs w:val="22"/>
        </w:rPr>
        <w:t xml:space="preserve">if the true instantaneous risk of death were anywhere between </w:t>
      </w:r>
      <w:commentRangeStart w:id="8"/>
      <w:r w:rsidR="002A639F">
        <w:rPr>
          <w:color w:val="0070C0"/>
          <w:sz w:val="22"/>
          <w:szCs w:val="22"/>
        </w:rPr>
        <w:t xml:space="preserve">1.12 and </w:t>
      </w:r>
      <w:r w:rsidR="002A639F" w:rsidRPr="002A639F">
        <w:rPr>
          <w:color w:val="0070C0"/>
          <w:sz w:val="22"/>
          <w:szCs w:val="22"/>
        </w:rPr>
        <w:t>1.1</w:t>
      </w:r>
      <w:r w:rsidR="002A639F">
        <w:rPr>
          <w:color w:val="0070C0"/>
          <w:sz w:val="22"/>
          <w:szCs w:val="22"/>
        </w:rPr>
        <w:t xml:space="preserve">9 higher </w:t>
      </w:r>
      <w:commentRangeEnd w:id="8"/>
      <w:r w:rsidR="007A614B">
        <w:rPr>
          <w:rStyle w:val="CommentReference"/>
        </w:rPr>
        <w:commentReference w:id="8"/>
      </w:r>
      <w:r w:rsidR="002A639F">
        <w:rPr>
          <w:color w:val="0070C0"/>
          <w:sz w:val="22"/>
          <w:szCs w:val="22"/>
        </w:rPr>
        <w:t xml:space="preserve">in a group having baseline serum bilirubin of 1mg/dl. A two sided p-value of &lt;0.001 suggests that we can with high confidence reject the null hypothesis that risk of </w:t>
      </w:r>
      <w:r w:rsidR="00866D32">
        <w:rPr>
          <w:color w:val="0070C0"/>
          <w:sz w:val="22"/>
          <w:szCs w:val="22"/>
        </w:rPr>
        <w:t>death</w:t>
      </w:r>
      <w:r w:rsidR="002A639F">
        <w:rPr>
          <w:color w:val="0070C0"/>
          <w:sz w:val="22"/>
          <w:szCs w:val="22"/>
        </w:rPr>
        <w:t xml:space="preserve"> from any cause is not associated with serum bilirubin levels in favor for an alternative hypothesis that there is a tendency for higher deaths with higher serum bilirubin levels. </w:t>
      </w:r>
    </w:p>
    <w:p w14:paraId="0D5EFF40" w14:textId="77777777" w:rsidR="00A459C8" w:rsidRDefault="00A459C8" w:rsidP="002777EC">
      <w:pPr>
        <w:numPr>
          <w:ilvl w:val="1"/>
          <w:numId w:val="19"/>
        </w:numPr>
        <w:autoSpaceDE w:val="0"/>
        <w:autoSpaceDN w:val="0"/>
        <w:adjustRightInd w:val="0"/>
        <w:spacing w:after="120"/>
        <w:rPr>
          <w:sz w:val="22"/>
          <w:szCs w:val="22"/>
        </w:rPr>
      </w:pPr>
      <w:r>
        <w:rPr>
          <w:sz w:val="22"/>
          <w:szCs w:val="22"/>
        </w:rPr>
        <w:t xml:space="preserve">For each population defined by serum </w:t>
      </w:r>
      <w:r w:rsidR="002777EC">
        <w:rPr>
          <w:sz w:val="22"/>
          <w:szCs w:val="22"/>
        </w:rPr>
        <w:t>bilirubin</w:t>
      </w:r>
      <w:r>
        <w:rPr>
          <w:sz w:val="22"/>
          <w:szCs w:val="22"/>
        </w:rPr>
        <w:t xml:space="preserve"> value, compute the hazard ratio relative to a group having serum </w:t>
      </w:r>
      <w:r w:rsidR="002777EC">
        <w:rPr>
          <w:sz w:val="22"/>
          <w:szCs w:val="22"/>
        </w:rPr>
        <w:t>bilirubin of 1</w:t>
      </w:r>
      <w:r>
        <w:rPr>
          <w:sz w:val="22"/>
          <w:szCs w:val="22"/>
        </w:rPr>
        <w:t xml:space="preserve"> mg/dL. </w:t>
      </w:r>
      <w:r w:rsidR="00E01E38">
        <w:rPr>
          <w:sz w:val="22"/>
          <w:szCs w:val="22"/>
        </w:rPr>
        <w:t>(This will be used in problem 6</w:t>
      </w:r>
      <w:r w:rsidR="00A620A3">
        <w:rPr>
          <w:sz w:val="22"/>
          <w:szCs w:val="22"/>
        </w:rPr>
        <w:t xml:space="preserve">). </w:t>
      </w:r>
      <w:r>
        <w:rPr>
          <w:sz w:val="22"/>
          <w:szCs w:val="22"/>
        </w:rPr>
        <w:t xml:space="preserve">If </w:t>
      </w:r>
      <w:r>
        <w:rPr>
          <w:i/>
          <w:iCs/>
          <w:sz w:val="22"/>
          <w:szCs w:val="22"/>
        </w:rPr>
        <w:t>HR</w:t>
      </w:r>
      <w:r>
        <w:rPr>
          <w:sz w:val="22"/>
          <w:szCs w:val="22"/>
        </w:rPr>
        <w:t xml:space="preserve"> is the hazard ratio (use the actual hazard ratio estimate) obtained from your regression model, this can be effected by the Stata code</w:t>
      </w:r>
    </w:p>
    <w:p w14:paraId="1072DFA4" w14:textId="77777777" w:rsidR="00A620A3" w:rsidRDefault="00A459C8" w:rsidP="002777EC">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fithrA = </w:t>
      </w:r>
      <w:r w:rsidR="00A620A3">
        <w:rPr>
          <w:rFonts w:ascii="Courier New" w:hAnsi="Courier New" w:cs="Courier New"/>
          <w:i/>
          <w:iCs/>
          <w:sz w:val="22"/>
          <w:szCs w:val="22"/>
        </w:rPr>
        <w:t>HR ^ (</w:t>
      </w:r>
      <w:r w:rsidR="002777EC">
        <w:rPr>
          <w:rFonts w:ascii="Courier New" w:hAnsi="Courier New" w:cs="Courier New"/>
          <w:i/>
          <w:iCs/>
          <w:sz w:val="22"/>
          <w:szCs w:val="22"/>
        </w:rPr>
        <w:t>bili</w:t>
      </w:r>
      <w:r w:rsidR="002777EC">
        <w:rPr>
          <w:rFonts w:ascii="Courier New" w:hAnsi="Courier New" w:cs="Courier New"/>
          <w:sz w:val="22"/>
          <w:szCs w:val="22"/>
        </w:rPr>
        <w:t xml:space="preserve"> – 1</w:t>
      </w:r>
      <w:r w:rsidR="00A620A3">
        <w:rPr>
          <w:rFonts w:ascii="Courier New" w:hAnsi="Courier New" w:cs="Courier New"/>
          <w:sz w:val="22"/>
          <w:szCs w:val="22"/>
        </w:rPr>
        <w:t>)</w:t>
      </w:r>
    </w:p>
    <w:p w14:paraId="21FA628F" w14:textId="77777777" w:rsidR="00A620A3" w:rsidRDefault="00A620A3" w:rsidP="002777EC">
      <w:pPr>
        <w:autoSpaceDE w:val="0"/>
        <w:autoSpaceDN w:val="0"/>
        <w:adjustRightInd w:val="0"/>
        <w:spacing w:after="120"/>
        <w:ind w:left="1440"/>
        <w:rPr>
          <w:sz w:val="22"/>
          <w:szCs w:val="22"/>
        </w:rPr>
      </w:pPr>
      <w:r>
        <w:rPr>
          <w:sz w:val="22"/>
          <w:szCs w:val="22"/>
        </w:rPr>
        <w:t xml:space="preserve">It could also be computed by creating a centered </w:t>
      </w:r>
      <w:r w:rsidR="002777EC">
        <w:rPr>
          <w:sz w:val="22"/>
          <w:szCs w:val="22"/>
        </w:rPr>
        <w:t>bilirubin</w:t>
      </w:r>
      <w:r>
        <w:rPr>
          <w:sz w:val="22"/>
          <w:szCs w:val="22"/>
        </w:rPr>
        <w:t xml:space="preserve"> variable, and then using the Stata </w:t>
      </w:r>
      <w:r>
        <w:rPr>
          <w:rFonts w:ascii="Courier New" w:hAnsi="Courier New" w:cs="Courier New"/>
          <w:sz w:val="22"/>
          <w:szCs w:val="22"/>
        </w:rPr>
        <w:t>predict</w:t>
      </w:r>
      <w:r>
        <w:rPr>
          <w:sz w:val="22"/>
          <w:szCs w:val="22"/>
        </w:rPr>
        <w:t xml:space="preserve"> command</w:t>
      </w:r>
    </w:p>
    <w:p w14:paraId="1DA3C278" w14:textId="77777777" w:rsidR="00A620A3" w:rsidRDefault="00A620A3" w:rsidP="002777EC">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sidR="002777EC">
        <w:rPr>
          <w:rFonts w:ascii="Courier New" w:hAnsi="Courier New" w:cs="Courier New"/>
          <w:sz w:val="22"/>
          <w:szCs w:val="22"/>
        </w:rPr>
        <w:t>gen</w:t>
      </w:r>
      <w:proofErr w:type="gramEnd"/>
      <w:r w:rsidR="002777EC">
        <w:rPr>
          <w:rFonts w:ascii="Courier New" w:hAnsi="Courier New" w:cs="Courier New"/>
          <w:sz w:val="22"/>
          <w:szCs w:val="22"/>
        </w:rPr>
        <w:t xml:space="preserve"> cbili</w:t>
      </w:r>
      <w:r>
        <w:rPr>
          <w:rFonts w:ascii="Courier New" w:hAnsi="Courier New" w:cs="Courier New"/>
          <w:sz w:val="22"/>
          <w:szCs w:val="22"/>
        </w:rPr>
        <w:t xml:space="preserve"> = </w:t>
      </w:r>
      <w:r w:rsidR="002777EC">
        <w:rPr>
          <w:rFonts w:ascii="Courier New" w:hAnsi="Courier New" w:cs="Courier New"/>
          <w:sz w:val="22"/>
          <w:szCs w:val="22"/>
        </w:rPr>
        <w:t>bili – 1</w:t>
      </w:r>
    </w:p>
    <w:p w14:paraId="2E684A1D" w14:textId="77777777" w:rsidR="00A620A3" w:rsidRDefault="002777EC" w:rsidP="00A620A3">
      <w:pPr>
        <w:autoSpaceDE w:val="0"/>
        <w:autoSpaceDN w:val="0"/>
        <w:adjustRightInd w:val="0"/>
        <w:spacing w:after="120"/>
        <w:ind w:left="1440" w:firstLine="720"/>
        <w:rPr>
          <w:rFonts w:ascii="Courier New" w:hAnsi="Courier New" w:cs="Courier New"/>
          <w:sz w:val="22"/>
          <w:szCs w:val="22"/>
        </w:rPr>
      </w:pPr>
      <w:proofErr w:type="gramStart"/>
      <w:r>
        <w:rPr>
          <w:rFonts w:ascii="Courier New" w:hAnsi="Courier New" w:cs="Courier New"/>
          <w:sz w:val="22"/>
          <w:szCs w:val="22"/>
        </w:rPr>
        <w:t>stcox</w:t>
      </w:r>
      <w:proofErr w:type="gramEnd"/>
      <w:r>
        <w:rPr>
          <w:rFonts w:ascii="Courier New" w:hAnsi="Courier New" w:cs="Courier New"/>
          <w:sz w:val="22"/>
          <w:szCs w:val="22"/>
        </w:rPr>
        <w:t xml:space="preserve"> cbili</w:t>
      </w:r>
    </w:p>
    <w:p w14:paraId="71F0102D" w14:textId="77777777" w:rsidR="00125DD5" w:rsidRDefault="00A620A3"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fithrA</w:t>
      </w:r>
      <w:r w:rsidR="00A459C8">
        <w:rPr>
          <w:rFonts w:ascii="Courier New" w:hAnsi="Courier New" w:cs="Courier New"/>
          <w:sz w:val="22"/>
          <w:szCs w:val="22"/>
        </w:rPr>
        <w:t xml:space="preserve"> </w:t>
      </w:r>
      <w:r w:rsidR="00BF5CB8">
        <w:rPr>
          <w:sz w:val="22"/>
          <w:szCs w:val="22"/>
        </w:rPr>
        <w:t xml:space="preserve"> </w:t>
      </w:r>
    </w:p>
    <w:p w14:paraId="21A97FCB" w14:textId="77777777" w:rsidR="002D6762" w:rsidRDefault="002D6762" w:rsidP="002D6762">
      <w:pPr>
        <w:autoSpaceDE w:val="0"/>
        <w:autoSpaceDN w:val="0"/>
        <w:adjustRightInd w:val="0"/>
        <w:spacing w:after="120"/>
        <w:ind w:left="1440"/>
        <w:rPr>
          <w:b/>
          <w:bCs/>
          <w:color w:val="0070C0"/>
          <w:sz w:val="22"/>
          <w:szCs w:val="22"/>
          <w:u w:val="single"/>
        </w:rPr>
      </w:pPr>
    </w:p>
    <w:p w14:paraId="7E984285" w14:textId="77777777" w:rsidR="002D6762" w:rsidRDefault="002D6762" w:rsidP="002D6762">
      <w:pPr>
        <w:autoSpaceDE w:val="0"/>
        <w:autoSpaceDN w:val="0"/>
        <w:adjustRightInd w:val="0"/>
        <w:spacing w:after="120"/>
        <w:ind w:left="1440"/>
        <w:rPr>
          <w:color w:val="0070C0"/>
          <w:sz w:val="22"/>
          <w:szCs w:val="22"/>
        </w:rPr>
      </w:pPr>
      <w:r w:rsidRPr="00C57D52">
        <w:rPr>
          <w:b/>
          <w:bCs/>
          <w:color w:val="0070C0"/>
          <w:sz w:val="22"/>
          <w:szCs w:val="22"/>
          <w:u w:val="single"/>
        </w:rPr>
        <w:t>Answer</w:t>
      </w:r>
      <w:r w:rsidRPr="00C57D52">
        <w:rPr>
          <w:color w:val="0070C0"/>
          <w:sz w:val="22"/>
          <w:szCs w:val="22"/>
        </w:rPr>
        <w:t xml:space="preserve">: </w:t>
      </w:r>
      <w:r w:rsidR="00BC4CA8">
        <w:rPr>
          <w:color w:val="0070C0"/>
          <w:sz w:val="22"/>
          <w:szCs w:val="22"/>
        </w:rPr>
        <w:t>See answer to question 6</w:t>
      </w:r>
      <w:r w:rsidRPr="00C57D52">
        <w:rPr>
          <w:color w:val="0070C0"/>
          <w:sz w:val="22"/>
          <w:szCs w:val="22"/>
        </w:rPr>
        <w:t>.</w:t>
      </w:r>
    </w:p>
    <w:p w14:paraId="323CD5DD" w14:textId="77777777" w:rsidR="002D6762" w:rsidRPr="009D5804" w:rsidRDefault="002D6762" w:rsidP="002D6762">
      <w:pPr>
        <w:autoSpaceDE w:val="0"/>
        <w:autoSpaceDN w:val="0"/>
        <w:adjustRightInd w:val="0"/>
        <w:spacing w:after="120"/>
        <w:ind w:left="1440"/>
        <w:rPr>
          <w:sz w:val="22"/>
          <w:szCs w:val="22"/>
        </w:rPr>
      </w:pPr>
    </w:p>
    <w:p w14:paraId="62E54857" w14:textId="77777777" w:rsidR="00A620A3" w:rsidRDefault="00A620A3" w:rsidP="002777EC">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w:t>
      </w:r>
      <w:r w:rsidR="002777EC">
        <w:rPr>
          <w:sz w:val="22"/>
          <w:szCs w:val="22"/>
        </w:rPr>
        <w:t>bilirubin</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w:t>
      </w:r>
      <w:r w:rsidR="002777EC">
        <w:rPr>
          <w:sz w:val="22"/>
          <w:szCs w:val="22"/>
        </w:rPr>
        <w:t>bilirubin</w:t>
      </w:r>
      <w:r w:rsidRPr="009D5804">
        <w:rPr>
          <w:sz w:val="22"/>
          <w:szCs w:val="22"/>
        </w:rPr>
        <w:t xml:space="preserve"> </w:t>
      </w:r>
      <w:r>
        <w:rPr>
          <w:sz w:val="22"/>
          <w:szCs w:val="22"/>
        </w:rPr>
        <w:t xml:space="preserve">modeled as a continuous </w:t>
      </w:r>
      <w:r w:rsidR="00474EF6">
        <w:rPr>
          <w:sz w:val="22"/>
          <w:szCs w:val="22"/>
        </w:rPr>
        <w:t xml:space="preserve">logarithmically transformed </w:t>
      </w:r>
      <w:r>
        <w:rPr>
          <w:sz w:val="22"/>
          <w:szCs w:val="22"/>
        </w:rPr>
        <w:t xml:space="preserve">variable. </w:t>
      </w:r>
    </w:p>
    <w:p w14:paraId="11150F45" w14:textId="77777777" w:rsidR="00E01E38" w:rsidRPr="00DF2098" w:rsidRDefault="00E01E38" w:rsidP="002777EC">
      <w:pPr>
        <w:numPr>
          <w:ilvl w:val="1"/>
          <w:numId w:val="19"/>
        </w:numPr>
        <w:autoSpaceDE w:val="0"/>
        <w:autoSpaceDN w:val="0"/>
        <w:adjustRightInd w:val="0"/>
        <w:spacing w:after="120"/>
        <w:rPr>
          <w:sz w:val="22"/>
          <w:szCs w:val="22"/>
        </w:rPr>
      </w:pPr>
      <w:commentRangeStart w:id="9"/>
      <w:r>
        <w:rPr>
          <w:sz w:val="22"/>
          <w:szCs w:val="22"/>
        </w:rPr>
        <w:t xml:space="preserve">Why might this analysis be preferred </w:t>
      </w:r>
      <w:r>
        <w:rPr>
          <w:i/>
          <w:iCs/>
          <w:sz w:val="22"/>
          <w:szCs w:val="22"/>
        </w:rPr>
        <w:t>a priori?</w:t>
      </w:r>
      <w:commentRangeEnd w:id="9"/>
      <w:r w:rsidR="0067619B">
        <w:rPr>
          <w:rStyle w:val="CommentReference"/>
        </w:rPr>
        <w:commentReference w:id="9"/>
      </w:r>
    </w:p>
    <w:p w14:paraId="6FF77F7D" w14:textId="77777777" w:rsidR="00DF2098" w:rsidRDefault="00DF2098" w:rsidP="00D31614">
      <w:pPr>
        <w:autoSpaceDE w:val="0"/>
        <w:autoSpaceDN w:val="0"/>
        <w:adjustRightInd w:val="0"/>
        <w:spacing w:after="120"/>
        <w:ind w:left="1440"/>
        <w:rPr>
          <w:color w:val="0070C0"/>
          <w:sz w:val="22"/>
          <w:szCs w:val="22"/>
        </w:rPr>
      </w:pPr>
      <w:r w:rsidRPr="00C57D52">
        <w:rPr>
          <w:b/>
          <w:bCs/>
          <w:color w:val="0070C0"/>
          <w:sz w:val="22"/>
          <w:szCs w:val="22"/>
          <w:u w:val="single"/>
        </w:rPr>
        <w:t>Answer</w:t>
      </w:r>
      <w:r w:rsidRPr="00C57D52">
        <w:rPr>
          <w:color w:val="0070C0"/>
          <w:sz w:val="22"/>
          <w:szCs w:val="22"/>
        </w:rPr>
        <w:t xml:space="preserve">: </w:t>
      </w:r>
      <w:r>
        <w:rPr>
          <w:color w:val="0070C0"/>
          <w:sz w:val="22"/>
          <w:szCs w:val="22"/>
        </w:rPr>
        <w:t xml:space="preserve">This analysis is preferred a priori, because serum bilirubin follows a multiplicative scale – the instantaneous risk of death for doubling of bilirubin is not the same as the instantaneous risk of death for four-fold increase in serum bilirubin levels, and so on. When evaluating an association between bilirubin and instantaneous risk of death, logarithmically transformed bilirubin will give </w:t>
      </w:r>
      <w:r w:rsidR="00866D32">
        <w:rPr>
          <w:color w:val="0070C0"/>
          <w:sz w:val="22"/>
          <w:szCs w:val="22"/>
        </w:rPr>
        <w:t xml:space="preserve">a </w:t>
      </w:r>
      <w:r>
        <w:rPr>
          <w:color w:val="0070C0"/>
          <w:sz w:val="22"/>
          <w:szCs w:val="22"/>
        </w:rPr>
        <w:t>more precise estimate than untransformed bilirubin.</w:t>
      </w:r>
    </w:p>
    <w:p w14:paraId="04E2CBCF" w14:textId="77777777" w:rsidR="00DF2098" w:rsidRDefault="00DF2098" w:rsidP="00DF2098">
      <w:pPr>
        <w:autoSpaceDE w:val="0"/>
        <w:autoSpaceDN w:val="0"/>
        <w:adjustRightInd w:val="0"/>
        <w:spacing w:after="120"/>
        <w:ind w:left="1080" w:firstLine="360"/>
        <w:rPr>
          <w:color w:val="0070C0"/>
          <w:sz w:val="22"/>
          <w:szCs w:val="22"/>
        </w:rPr>
      </w:pPr>
    </w:p>
    <w:p w14:paraId="0BB17F2C" w14:textId="77777777" w:rsidR="00A620A3" w:rsidRDefault="002777EC" w:rsidP="002777EC">
      <w:pPr>
        <w:numPr>
          <w:ilvl w:val="1"/>
          <w:numId w:val="19"/>
        </w:numPr>
        <w:autoSpaceDE w:val="0"/>
        <w:autoSpaceDN w:val="0"/>
        <w:adjustRightInd w:val="0"/>
        <w:spacing w:after="120"/>
        <w:rPr>
          <w:sz w:val="22"/>
          <w:szCs w:val="22"/>
        </w:rPr>
      </w:pPr>
      <w:commentRangeStart w:id="10"/>
      <w:r>
        <w:rPr>
          <w:sz w:val="22"/>
          <w:szCs w:val="22"/>
        </w:rPr>
        <w:t>Include a full report of your inference about the association.</w:t>
      </w:r>
      <w:commentRangeEnd w:id="10"/>
      <w:r w:rsidR="00261E6E">
        <w:rPr>
          <w:rStyle w:val="CommentReference"/>
        </w:rPr>
        <w:commentReference w:id="10"/>
      </w:r>
    </w:p>
    <w:p w14:paraId="33686C97" w14:textId="77777777" w:rsidR="00D31614" w:rsidRPr="00C525D7" w:rsidRDefault="00D31614" w:rsidP="00D31614">
      <w:pPr>
        <w:autoSpaceDE w:val="0"/>
        <w:autoSpaceDN w:val="0"/>
        <w:adjustRightInd w:val="0"/>
        <w:spacing w:after="120"/>
        <w:ind w:left="1440"/>
        <w:jc w:val="both"/>
        <w:rPr>
          <w:color w:val="0070C0"/>
          <w:sz w:val="22"/>
          <w:szCs w:val="22"/>
        </w:rPr>
      </w:pPr>
      <w:commentRangeStart w:id="11"/>
      <w:r w:rsidRPr="00C525D7">
        <w:rPr>
          <w:b/>
          <w:color w:val="0070C0"/>
          <w:sz w:val="22"/>
          <w:szCs w:val="22"/>
          <w:u w:val="single"/>
        </w:rPr>
        <w:lastRenderedPageBreak/>
        <w:t>Method</w:t>
      </w:r>
      <w:r w:rsidRPr="00C525D7">
        <w:rPr>
          <w:color w:val="0070C0"/>
          <w:sz w:val="22"/>
          <w:szCs w:val="22"/>
        </w:rPr>
        <w:t>:</w:t>
      </w:r>
      <w:commentRangeEnd w:id="11"/>
      <w:r w:rsidR="00261E6E">
        <w:rPr>
          <w:rStyle w:val="CommentReference"/>
        </w:rPr>
        <w:commentReference w:id="11"/>
      </w:r>
      <w:r w:rsidRPr="00C525D7">
        <w:rPr>
          <w:color w:val="0070C0"/>
          <w:sz w:val="22"/>
          <w:szCs w:val="22"/>
        </w:rPr>
        <w:t xml:space="preserve"> </w:t>
      </w:r>
      <w:r>
        <w:rPr>
          <w:color w:val="0070C0"/>
          <w:sz w:val="22"/>
          <w:szCs w:val="22"/>
        </w:rPr>
        <w:t xml:space="preserve">To evaluate an association between serum bilirubin and all-cause mortality by comparing the instantaneous risk of death over the entire period of observation across groups, </w:t>
      </w:r>
      <w:r w:rsidRPr="00C525D7">
        <w:rPr>
          <w:color w:val="0070C0"/>
          <w:sz w:val="22"/>
          <w:szCs w:val="22"/>
        </w:rPr>
        <w:t xml:space="preserve">I </w:t>
      </w:r>
      <w:r>
        <w:rPr>
          <w:color w:val="0070C0"/>
          <w:sz w:val="22"/>
          <w:szCs w:val="22"/>
        </w:rPr>
        <w:t>stset obstime and status, and performed proportional hazard regression using the Stata command, stcox, followed by</w:t>
      </w:r>
      <w:r w:rsidR="00544C63">
        <w:rPr>
          <w:color w:val="0070C0"/>
          <w:sz w:val="22"/>
          <w:szCs w:val="22"/>
        </w:rPr>
        <w:t xml:space="preserve"> log-transformed</w:t>
      </w:r>
      <w:r>
        <w:rPr>
          <w:color w:val="0070C0"/>
          <w:sz w:val="22"/>
          <w:szCs w:val="22"/>
        </w:rPr>
        <w:t xml:space="preserve"> predictor variable, </w:t>
      </w:r>
      <w:r w:rsidR="00544C63">
        <w:rPr>
          <w:color w:val="0070C0"/>
          <w:sz w:val="22"/>
          <w:szCs w:val="22"/>
        </w:rPr>
        <w:t>log</w:t>
      </w:r>
      <w:r>
        <w:rPr>
          <w:color w:val="0070C0"/>
          <w:sz w:val="22"/>
          <w:szCs w:val="22"/>
        </w:rPr>
        <w:t xml:space="preserve">bili. </w:t>
      </w:r>
      <w:r w:rsidRPr="00C525D7">
        <w:rPr>
          <w:color w:val="0070C0"/>
          <w:sz w:val="22"/>
          <w:szCs w:val="22"/>
        </w:rPr>
        <w:t xml:space="preserve"> </w:t>
      </w:r>
      <w:r>
        <w:rPr>
          <w:color w:val="0070C0"/>
          <w:sz w:val="22"/>
          <w:szCs w:val="22"/>
        </w:rPr>
        <w:t xml:space="preserve">The confidence interval and two-sided p-values were computed using the Wald’s statistics. </w:t>
      </w:r>
      <w:commentRangeStart w:id="12"/>
      <w:r>
        <w:rPr>
          <w:color w:val="0070C0"/>
          <w:sz w:val="22"/>
          <w:szCs w:val="22"/>
        </w:rPr>
        <w:t xml:space="preserve">Missing data were excluded from the analysis. </w:t>
      </w:r>
      <w:commentRangeEnd w:id="12"/>
      <w:r w:rsidR="00261E6E">
        <w:rPr>
          <w:rStyle w:val="CommentReference"/>
        </w:rPr>
        <w:commentReference w:id="12"/>
      </w:r>
    </w:p>
    <w:p w14:paraId="481A99C6" w14:textId="77777777" w:rsidR="00D31614" w:rsidRDefault="00D31614" w:rsidP="00D31614">
      <w:pPr>
        <w:autoSpaceDE w:val="0"/>
        <w:autoSpaceDN w:val="0"/>
        <w:adjustRightInd w:val="0"/>
        <w:spacing w:after="120"/>
        <w:ind w:left="1440"/>
        <w:jc w:val="both"/>
        <w:rPr>
          <w:sz w:val="22"/>
          <w:szCs w:val="22"/>
        </w:rPr>
      </w:pPr>
      <w:r w:rsidRPr="00C525D7">
        <w:rPr>
          <w:b/>
          <w:color w:val="0070C0"/>
          <w:sz w:val="22"/>
          <w:szCs w:val="22"/>
          <w:u w:val="single"/>
        </w:rPr>
        <w:t>Result</w:t>
      </w:r>
      <w:r w:rsidRPr="00C525D7">
        <w:rPr>
          <w:color w:val="0070C0"/>
          <w:sz w:val="22"/>
          <w:szCs w:val="22"/>
        </w:rPr>
        <w:t xml:space="preserve">: </w:t>
      </w:r>
      <w:r>
        <w:rPr>
          <w:color w:val="0070C0"/>
          <w:sz w:val="22"/>
          <w:szCs w:val="22"/>
        </w:rPr>
        <w:t xml:space="preserve">Data is available on 418 patients among whom 161 patients were observed to have died during an average observation period of 5.25years. Using the proportional hazard regression, the instantaneous risk of death is </w:t>
      </w:r>
      <w:r w:rsidR="008C509F">
        <w:rPr>
          <w:color w:val="0070C0"/>
          <w:sz w:val="22"/>
          <w:szCs w:val="22"/>
        </w:rPr>
        <w:t>98%</w:t>
      </w:r>
      <w:r w:rsidR="00641F1E">
        <w:rPr>
          <w:color w:val="0070C0"/>
          <w:sz w:val="22"/>
          <w:szCs w:val="22"/>
        </w:rPr>
        <w:t xml:space="preserve"> times</w:t>
      </w:r>
      <w:r>
        <w:rPr>
          <w:color w:val="0070C0"/>
          <w:sz w:val="22"/>
          <w:szCs w:val="22"/>
        </w:rPr>
        <w:t xml:space="preserve"> higher </w:t>
      </w:r>
      <w:r w:rsidR="008C509F">
        <w:rPr>
          <w:color w:val="0070C0"/>
          <w:sz w:val="22"/>
          <w:szCs w:val="22"/>
        </w:rPr>
        <w:t xml:space="preserve">(Hazard Ratio (HR) = 1.984) </w:t>
      </w:r>
      <w:r>
        <w:rPr>
          <w:color w:val="0070C0"/>
          <w:sz w:val="22"/>
          <w:szCs w:val="22"/>
        </w:rPr>
        <w:t xml:space="preserve">for each </w:t>
      </w:r>
      <w:r w:rsidR="008C509F">
        <w:rPr>
          <w:color w:val="0070C0"/>
          <w:sz w:val="22"/>
          <w:szCs w:val="22"/>
        </w:rPr>
        <w:t>doubling</w:t>
      </w:r>
      <w:r>
        <w:rPr>
          <w:color w:val="0070C0"/>
          <w:sz w:val="22"/>
          <w:szCs w:val="22"/>
        </w:rPr>
        <w:t xml:space="preserve"> in </w:t>
      </w:r>
      <w:commentRangeStart w:id="13"/>
      <w:r w:rsidR="00641F1E">
        <w:rPr>
          <w:color w:val="0070C0"/>
          <w:sz w:val="22"/>
          <w:szCs w:val="22"/>
        </w:rPr>
        <w:t xml:space="preserve">log-transformed </w:t>
      </w:r>
      <w:r>
        <w:rPr>
          <w:color w:val="0070C0"/>
          <w:sz w:val="22"/>
          <w:szCs w:val="22"/>
        </w:rPr>
        <w:t>serum bilirubin at baseline</w:t>
      </w:r>
      <w:commentRangeEnd w:id="13"/>
      <w:r w:rsidR="00261E6E">
        <w:rPr>
          <w:rStyle w:val="CommentReference"/>
        </w:rPr>
        <w:commentReference w:id="13"/>
      </w:r>
      <w:r>
        <w:rPr>
          <w:color w:val="0070C0"/>
          <w:sz w:val="22"/>
          <w:szCs w:val="22"/>
        </w:rPr>
        <w:t xml:space="preserve">. Based on a 95% confidence interval, this hazard ratio is not unusual if the true instantaneous risk of death </w:t>
      </w:r>
      <w:r w:rsidR="000F5479">
        <w:rPr>
          <w:color w:val="0070C0"/>
          <w:sz w:val="22"/>
          <w:szCs w:val="22"/>
        </w:rPr>
        <w:t>is</w:t>
      </w:r>
      <w:r>
        <w:rPr>
          <w:color w:val="0070C0"/>
          <w:sz w:val="22"/>
          <w:szCs w:val="22"/>
        </w:rPr>
        <w:t xml:space="preserve"> anywhere between </w:t>
      </w:r>
      <w:r w:rsidR="008C509F">
        <w:rPr>
          <w:color w:val="0070C0"/>
          <w:sz w:val="22"/>
          <w:szCs w:val="22"/>
        </w:rPr>
        <w:t xml:space="preserve">1.781 </w:t>
      </w:r>
      <w:r>
        <w:rPr>
          <w:color w:val="0070C0"/>
          <w:sz w:val="22"/>
          <w:szCs w:val="22"/>
        </w:rPr>
        <w:t xml:space="preserve">and </w:t>
      </w:r>
      <w:r w:rsidR="008C509F">
        <w:rPr>
          <w:color w:val="0070C0"/>
          <w:sz w:val="22"/>
          <w:szCs w:val="22"/>
        </w:rPr>
        <w:t>2.210</w:t>
      </w:r>
      <w:r>
        <w:rPr>
          <w:color w:val="0070C0"/>
          <w:sz w:val="22"/>
          <w:szCs w:val="22"/>
        </w:rPr>
        <w:t xml:space="preserve"> higher. A two sided p-value of &lt;0.001 suggests that we can with high confidence reject the null hypothesis that </w:t>
      </w:r>
      <w:r w:rsidR="000F5479">
        <w:rPr>
          <w:color w:val="0070C0"/>
          <w:sz w:val="22"/>
          <w:szCs w:val="22"/>
        </w:rPr>
        <w:t xml:space="preserve">the </w:t>
      </w:r>
      <w:r>
        <w:rPr>
          <w:color w:val="0070C0"/>
          <w:sz w:val="22"/>
          <w:szCs w:val="22"/>
        </w:rPr>
        <w:t>risk of health from any cause is not associated with serum bilirubin levels in favor for an alternative hypothesis that there is a tendency for higher deaths with higher serum bilirubin levels.</w:t>
      </w:r>
    </w:p>
    <w:p w14:paraId="3F8A0E42" w14:textId="77777777" w:rsidR="00A620A3" w:rsidRDefault="00A620A3" w:rsidP="002777EC">
      <w:pPr>
        <w:numPr>
          <w:ilvl w:val="1"/>
          <w:numId w:val="19"/>
        </w:numPr>
        <w:autoSpaceDE w:val="0"/>
        <w:autoSpaceDN w:val="0"/>
        <w:adjustRightInd w:val="0"/>
        <w:spacing w:after="120"/>
        <w:rPr>
          <w:sz w:val="22"/>
          <w:szCs w:val="22"/>
        </w:rPr>
      </w:pPr>
      <w:r>
        <w:rPr>
          <w:sz w:val="22"/>
          <w:szCs w:val="22"/>
        </w:rPr>
        <w:t xml:space="preserve">For each population defined by serum </w:t>
      </w:r>
      <w:r w:rsidR="002777EC">
        <w:rPr>
          <w:sz w:val="22"/>
          <w:szCs w:val="22"/>
        </w:rPr>
        <w:t>bilirubin</w:t>
      </w:r>
      <w:r>
        <w:rPr>
          <w:sz w:val="22"/>
          <w:szCs w:val="22"/>
        </w:rPr>
        <w:t xml:space="preserve"> value, compute the hazard ratio relative to</w:t>
      </w:r>
      <w:r w:rsidR="002777EC">
        <w:rPr>
          <w:sz w:val="22"/>
          <w:szCs w:val="22"/>
        </w:rPr>
        <w:t xml:space="preserve"> a group having serum LDL of 1</w:t>
      </w:r>
      <w:r>
        <w:rPr>
          <w:sz w:val="22"/>
          <w:szCs w:val="22"/>
        </w:rPr>
        <w:t xml:space="preserve"> mg/dL.</w:t>
      </w:r>
      <w:r w:rsidR="00E01E38">
        <w:rPr>
          <w:sz w:val="22"/>
          <w:szCs w:val="22"/>
        </w:rPr>
        <w:t xml:space="preserve"> (This will be used in problem 6</w:t>
      </w:r>
      <w:r>
        <w:rPr>
          <w:sz w:val="22"/>
          <w:szCs w:val="22"/>
        </w:rPr>
        <w:t xml:space="preserve">). If </w:t>
      </w:r>
      <w:r>
        <w:rPr>
          <w:i/>
          <w:iCs/>
          <w:sz w:val="22"/>
          <w:szCs w:val="22"/>
        </w:rPr>
        <w:t>HR</w:t>
      </w:r>
      <w:r>
        <w:rPr>
          <w:sz w:val="22"/>
          <w:szCs w:val="22"/>
        </w:rPr>
        <w:t xml:space="preserve"> is the hazard ratio (use the actual hazard ratio estimate) obtained from your regression model, this can be effected by the Stata code</w:t>
      </w:r>
      <w:r w:rsidR="00E01E38">
        <w:rPr>
          <w:sz w:val="22"/>
          <w:szCs w:val="22"/>
        </w:rPr>
        <w:t xml:space="preserve"> </w:t>
      </w:r>
    </w:p>
    <w:p w14:paraId="2E51BED6" w14:textId="77777777" w:rsidR="00474EF6" w:rsidRPr="002777EC" w:rsidRDefault="00A620A3" w:rsidP="00A620A3">
      <w:pPr>
        <w:autoSpaceDE w:val="0"/>
        <w:autoSpaceDN w:val="0"/>
        <w:adjustRightInd w:val="0"/>
        <w:spacing w:after="120"/>
        <w:ind w:left="2160"/>
        <w:rPr>
          <w:rFonts w:ascii="Courier New" w:hAnsi="Courier New" w:cs="Courier New"/>
          <w:sz w:val="22"/>
          <w:szCs w:val="22"/>
          <w:lang w:val="it-IT"/>
        </w:rPr>
      </w:pPr>
      <w:r w:rsidRPr="002777EC">
        <w:rPr>
          <w:rFonts w:ascii="Courier New" w:hAnsi="Courier New" w:cs="Courier New"/>
          <w:sz w:val="22"/>
          <w:szCs w:val="22"/>
          <w:lang w:val="it-IT"/>
        </w:rPr>
        <w:t xml:space="preserve">gen </w:t>
      </w:r>
      <w:r w:rsidR="002777EC" w:rsidRPr="002777EC">
        <w:rPr>
          <w:rFonts w:ascii="Courier New" w:hAnsi="Courier New" w:cs="Courier New"/>
          <w:sz w:val="22"/>
          <w:szCs w:val="22"/>
          <w:lang w:val="it-IT"/>
        </w:rPr>
        <w:t>logbili = log(bili</w:t>
      </w:r>
      <w:r w:rsidR="00474EF6" w:rsidRPr="002777EC">
        <w:rPr>
          <w:rFonts w:ascii="Courier New" w:hAnsi="Courier New" w:cs="Courier New"/>
          <w:sz w:val="22"/>
          <w:szCs w:val="22"/>
          <w:lang w:val="it-IT"/>
        </w:rPr>
        <w:t>)</w:t>
      </w:r>
    </w:p>
    <w:p w14:paraId="1112EED0" w14:textId="77777777" w:rsidR="00474EF6" w:rsidRPr="002777EC" w:rsidRDefault="002777EC" w:rsidP="00A620A3">
      <w:pPr>
        <w:autoSpaceDE w:val="0"/>
        <w:autoSpaceDN w:val="0"/>
        <w:adjustRightInd w:val="0"/>
        <w:spacing w:after="120"/>
        <w:ind w:left="2160"/>
        <w:rPr>
          <w:rFonts w:ascii="Courier New" w:hAnsi="Courier New" w:cs="Courier New"/>
          <w:sz w:val="22"/>
          <w:szCs w:val="22"/>
          <w:lang w:val="it-IT"/>
        </w:rPr>
      </w:pPr>
      <w:r w:rsidRPr="002777EC">
        <w:rPr>
          <w:rFonts w:ascii="Courier New" w:hAnsi="Courier New" w:cs="Courier New"/>
          <w:sz w:val="22"/>
          <w:szCs w:val="22"/>
          <w:lang w:val="it-IT"/>
        </w:rPr>
        <w:t>stcox logbili</w:t>
      </w:r>
    </w:p>
    <w:p w14:paraId="1E605797" w14:textId="77777777" w:rsidR="00A620A3" w:rsidRDefault="00474EF6" w:rsidP="002777EC">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fithrB</w:t>
      </w:r>
      <w:proofErr w:type="gramEnd"/>
      <w:r w:rsidR="00A620A3">
        <w:rPr>
          <w:rFonts w:ascii="Courier New" w:hAnsi="Courier New" w:cs="Courier New"/>
          <w:sz w:val="22"/>
          <w:szCs w:val="22"/>
        </w:rPr>
        <w:t xml:space="preserve"> = </w:t>
      </w:r>
      <w:r w:rsidR="00A620A3">
        <w:rPr>
          <w:rFonts w:ascii="Courier New" w:hAnsi="Courier New" w:cs="Courier New"/>
          <w:i/>
          <w:iCs/>
          <w:sz w:val="22"/>
          <w:szCs w:val="22"/>
        </w:rPr>
        <w:t>HR ^ (</w:t>
      </w:r>
      <w:r w:rsidR="002777EC">
        <w:rPr>
          <w:rFonts w:ascii="Courier New" w:hAnsi="Courier New" w:cs="Courier New"/>
          <w:i/>
          <w:iCs/>
          <w:sz w:val="22"/>
          <w:szCs w:val="22"/>
        </w:rPr>
        <w:t>logbili</w:t>
      </w:r>
      <w:r w:rsidR="00A620A3">
        <w:rPr>
          <w:rFonts w:ascii="Courier New" w:hAnsi="Courier New" w:cs="Courier New"/>
          <w:sz w:val="22"/>
          <w:szCs w:val="22"/>
        </w:rPr>
        <w:t>)</w:t>
      </w:r>
    </w:p>
    <w:p w14:paraId="710CEDE8" w14:textId="77777777" w:rsidR="00115B08" w:rsidRDefault="00E01E38" w:rsidP="00E01E38">
      <w:pPr>
        <w:autoSpaceDE w:val="0"/>
        <w:autoSpaceDN w:val="0"/>
        <w:adjustRightInd w:val="0"/>
        <w:spacing w:after="120"/>
        <w:ind w:left="1440"/>
        <w:rPr>
          <w:sz w:val="22"/>
          <w:szCs w:val="22"/>
        </w:rPr>
      </w:pPr>
      <w:r>
        <w:rPr>
          <w:sz w:val="22"/>
          <w:szCs w:val="22"/>
        </w:rPr>
        <w:t xml:space="preserve">(Note that the </w:t>
      </w:r>
      <w:proofErr w:type="gramStart"/>
      <w:r>
        <w:rPr>
          <w:sz w:val="22"/>
          <w:szCs w:val="22"/>
        </w:rPr>
        <w:t>log(</w:t>
      </w:r>
      <w:proofErr w:type="gramEnd"/>
      <w:r>
        <w:rPr>
          <w:sz w:val="22"/>
          <w:szCs w:val="22"/>
        </w:rPr>
        <w:t>1) = 0 when using any base, so there is no need to rescale by the bilirubin values. Note also that you might want to use a different base in your logarithmic transformation in order to facilitate more natural reporting of effects.)</w:t>
      </w:r>
      <w:r w:rsidR="00A620A3">
        <w:rPr>
          <w:rFonts w:ascii="Courier New" w:hAnsi="Courier New" w:cs="Courier New"/>
          <w:sz w:val="22"/>
          <w:szCs w:val="22"/>
        </w:rPr>
        <w:t xml:space="preserve"> </w:t>
      </w:r>
      <w:r w:rsidR="00A620A3">
        <w:rPr>
          <w:sz w:val="22"/>
          <w:szCs w:val="22"/>
        </w:rPr>
        <w:t xml:space="preserve"> </w:t>
      </w:r>
    </w:p>
    <w:p w14:paraId="180FC403" w14:textId="77777777" w:rsidR="00641F1E" w:rsidRDefault="00641F1E" w:rsidP="00641F1E">
      <w:pPr>
        <w:autoSpaceDE w:val="0"/>
        <w:autoSpaceDN w:val="0"/>
        <w:adjustRightInd w:val="0"/>
        <w:spacing w:after="120"/>
        <w:ind w:left="1440"/>
        <w:rPr>
          <w:color w:val="0070C0"/>
          <w:sz w:val="22"/>
          <w:szCs w:val="22"/>
        </w:rPr>
      </w:pPr>
      <w:r w:rsidRPr="00C57D52">
        <w:rPr>
          <w:b/>
          <w:bCs/>
          <w:color w:val="0070C0"/>
          <w:sz w:val="22"/>
          <w:szCs w:val="22"/>
          <w:u w:val="single"/>
        </w:rPr>
        <w:t>Answer</w:t>
      </w:r>
      <w:r w:rsidRPr="00C57D52">
        <w:rPr>
          <w:color w:val="0070C0"/>
          <w:sz w:val="22"/>
          <w:szCs w:val="22"/>
        </w:rPr>
        <w:t xml:space="preserve">: </w:t>
      </w:r>
      <w:r>
        <w:rPr>
          <w:color w:val="0070C0"/>
          <w:sz w:val="22"/>
          <w:szCs w:val="22"/>
        </w:rPr>
        <w:t>See answer to question 6</w:t>
      </w:r>
      <w:r w:rsidRPr="00C57D52">
        <w:rPr>
          <w:color w:val="0070C0"/>
          <w:sz w:val="22"/>
          <w:szCs w:val="22"/>
        </w:rPr>
        <w:t>.</w:t>
      </w:r>
    </w:p>
    <w:p w14:paraId="2FDF5BC4" w14:textId="77777777" w:rsidR="00641F1E" w:rsidRDefault="00641F1E" w:rsidP="00E01E38">
      <w:pPr>
        <w:autoSpaceDE w:val="0"/>
        <w:autoSpaceDN w:val="0"/>
        <w:adjustRightInd w:val="0"/>
        <w:spacing w:after="120"/>
        <w:ind w:left="1440"/>
        <w:rPr>
          <w:sz w:val="22"/>
          <w:szCs w:val="22"/>
        </w:rPr>
      </w:pPr>
    </w:p>
    <w:p w14:paraId="26D03C48" w14:textId="77777777" w:rsidR="00E01E38" w:rsidRDefault="00E01E38" w:rsidP="00E01E38">
      <w:pPr>
        <w:numPr>
          <w:ilvl w:val="0"/>
          <w:numId w:val="19"/>
        </w:numPr>
        <w:autoSpaceDE w:val="0"/>
        <w:autoSpaceDN w:val="0"/>
        <w:adjustRightInd w:val="0"/>
        <w:spacing w:after="120"/>
        <w:rPr>
          <w:sz w:val="22"/>
          <w:szCs w:val="22"/>
        </w:rPr>
      </w:pPr>
      <w:r>
        <w:rPr>
          <w:sz w:val="22"/>
          <w:szCs w:val="22"/>
        </w:rPr>
        <w:t xml:space="preserve">One approach to testing to see whether an association between the response and the predictor of interest is adequately modeled by an untransformed continuous variable is to add some other transformation to the model and see if that added covariate provides statistically significant improved “fit” of the data. In this case, we could test for “linearity” of the bilirubin association with the log hazard ratio by including both the untransformed and log transformed bilirubin. (Other alternatives might have been bilirubin and bilirubin squared, but in this case our </w:t>
      </w:r>
      <w:r>
        <w:rPr>
          <w:i/>
          <w:iCs/>
          <w:sz w:val="22"/>
          <w:szCs w:val="22"/>
        </w:rPr>
        <w:t xml:space="preserve">a priori </w:t>
      </w:r>
      <w:r>
        <w:rPr>
          <w:sz w:val="22"/>
          <w:szCs w:val="22"/>
        </w:rPr>
        <w:t xml:space="preserve">interest in the log bilirubin might drive us to the specified analysis.) </w:t>
      </w:r>
    </w:p>
    <w:p w14:paraId="1DA553F9" w14:textId="77777777" w:rsidR="00E01E38" w:rsidRDefault="00927CF6" w:rsidP="00E01E38">
      <w:pPr>
        <w:numPr>
          <w:ilvl w:val="1"/>
          <w:numId w:val="19"/>
        </w:numPr>
        <w:autoSpaceDE w:val="0"/>
        <w:autoSpaceDN w:val="0"/>
        <w:adjustRightInd w:val="0"/>
        <w:spacing w:after="120"/>
        <w:rPr>
          <w:sz w:val="22"/>
          <w:szCs w:val="22"/>
        </w:rPr>
      </w:pPr>
      <w:commentRangeStart w:id="14"/>
      <w:r>
        <w:rPr>
          <w:sz w:val="22"/>
          <w:szCs w:val="22"/>
        </w:rPr>
        <w:t>Provide full inference related to the question of whether the association is linear.</w:t>
      </w:r>
      <w:commentRangeEnd w:id="14"/>
      <w:r w:rsidR="00261E6E">
        <w:rPr>
          <w:rStyle w:val="CommentReference"/>
        </w:rPr>
        <w:commentReference w:id="14"/>
      </w:r>
    </w:p>
    <w:p w14:paraId="6A934BAD" w14:textId="77777777" w:rsidR="008C509F" w:rsidRPr="00C525D7" w:rsidRDefault="008C509F" w:rsidP="008C509F">
      <w:pPr>
        <w:autoSpaceDE w:val="0"/>
        <w:autoSpaceDN w:val="0"/>
        <w:adjustRightInd w:val="0"/>
        <w:spacing w:after="120"/>
        <w:ind w:left="1440"/>
        <w:jc w:val="both"/>
        <w:rPr>
          <w:color w:val="0070C0"/>
          <w:sz w:val="22"/>
          <w:szCs w:val="22"/>
        </w:rPr>
      </w:pPr>
      <w:r w:rsidRPr="00C525D7">
        <w:rPr>
          <w:b/>
          <w:color w:val="0070C0"/>
          <w:sz w:val="22"/>
          <w:szCs w:val="22"/>
          <w:u w:val="single"/>
        </w:rPr>
        <w:t>Method</w:t>
      </w:r>
      <w:r w:rsidRPr="00C525D7">
        <w:rPr>
          <w:color w:val="0070C0"/>
          <w:sz w:val="22"/>
          <w:szCs w:val="22"/>
        </w:rPr>
        <w:t xml:space="preserve">: </w:t>
      </w:r>
      <w:r>
        <w:rPr>
          <w:color w:val="0070C0"/>
          <w:sz w:val="22"/>
          <w:szCs w:val="22"/>
        </w:rPr>
        <w:t>To evaluate an association between serum bilirubin and all-cause mortality by comparing the instantaneous risk of death over the entire period of observation across groups</w:t>
      </w:r>
      <w:commentRangeStart w:id="15"/>
      <w:r>
        <w:rPr>
          <w:color w:val="0070C0"/>
          <w:sz w:val="22"/>
          <w:szCs w:val="22"/>
        </w:rPr>
        <w:t xml:space="preserve">, </w:t>
      </w:r>
      <w:r w:rsidRPr="00C525D7">
        <w:rPr>
          <w:color w:val="0070C0"/>
          <w:sz w:val="22"/>
          <w:szCs w:val="22"/>
        </w:rPr>
        <w:t xml:space="preserve">I </w:t>
      </w:r>
      <w:r>
        <w:rPr>
          <w:color w:val="0070C0"/>
          <w:sz w:val="22"/>
          <w:szCs w:val="22"/>
        </w:rPr>
        <w:t>stset obstime and status, and performed proportional hazard regression using the Stata command, stcox, followed by predictor variables,</w:t>
      </w:r>
      <w:r w:rsidR="00016D91">
        <w:rPr>
          <w:color w:val="0070C0"/>
          <w:sz w:val="22"/>
          <w:szCs w:val="22"/>
        </w:rPr>
        <w:t xml:space="preserve"> bili and log-transformed bili.</w:t>
      </w:r>
      <w:commentRangeEnd w:id="15"/>
      <w:r w:rsidR="00261E6E">
        <w:rPr>
          <w:rStyle w:val="CommentReference"/>
        </w:rPr>
        <w:commentReference w:id="15"/>
      </w:r>
      <w:r w:rsidR="00016D91">
        <w:rPr>
          <w:color w:val="0070C0"/>
          <w:sz w:val="22"/>
          <w:szCs w:val="22"/>
        </w:rPr>
        <w:t xml:space="preserve"> </w:t>
      </w:r>
      <w:r>
        <w:rPr>
          <w:color w:val="0070C0"/>
          <w:sz w:val="22"/>
          <w:szCs w:val="22"/>
        </w:rPr>
        <w:t xml:space="preserve">The confidence interval and two-sided p-values were computed using the Wald’s statistics. Missing data were excluded from the analysis. </w:t>
      </w:r>
    </w:p>
    <w:p w14:paraId="2FCB0BFB" w14:textId="77777777" w:rsidR="008C509F" w:rsidRDefault="008C509F" w:rsidP="008C509F">
      <w:pPr>
        <w:autoSpaceDE w:val="0"/>
        <w:autoSpaceDN w:val="0"/>
        <w:adjustRightInd w:val="0"/>
        <w:spacing w:after="120"/>
        <w:ind w:left="1440"/>
        <w:jc w:val="both"/>
        <w:rPr>
          <w:sz w:val="22"/>
          <w:szCs w:val="22"/>
        </w:rPr>
      </w:pPr>
      <w:r w:rsidRPr="00C525D7">
        <w:rPr>
          <w:b/>
          <w:color w:val="0070C0"/>
          <w:sz w:val="22"/>
          <w:szCs w:val="22"/>
          <w:u w:val="single"/>
        </w:rPr>
        <w:t>Result</w:t>
      </w:r>
      <w:r w:rsidRPr="00C525D7">
        <w:rPr>
          <w:color w:val="0070C0"/>
          <w:sz w:val="22"/>
          <w:szCs w:val="22"/>
        </w:rPr>
        <w:t xml:space="preserve">: </w:t>
      </w:r>
      <w:r>
        <w:rPr>
          <w:color w:val="0070C0"/>
          <w:sz w:val="22"/>
          <w:szCs w:val="22"/>
        </w:rPr>
        <w:t xml:space="preserve">Data is available on 418 patients among whom 161 patients were observed to have died during an average observation period of 5.25years. </w:t>
      </w:r>
      <w:r w:rsidR="00666546">
        <w:rPr>
          <w:color w:val="0070C0"/>
          <w:sz w:val="22"/>
          <w:szCs w:val="22"/>
        </w:rPr>
        <w:t>A</w:t>
      </w:r>
      <w:r>
        <w:rPr>
          <w:color w:val="0070C0"/>
          <w:sz w:val="22"/>
          <w:szCs w:val="22"/>
        </w:rPr>
        <w:t xml:space="preserve"> proportional hazard regression</w:t>
      </w:r>
      <w:r w:rsidR="00666546">
        <w:rPr>
          <w:color w:val="0070C0"/>
          <w:sz w:val="22"/>
          <w:szCs w:val="22"/>
        </w:rPr>
        <w:t xml:space="preserve"> analysis</w:t>
      </w:r>
      <w:r w:rsidR="00016D91">
        <w:rPr>
          <w:color w:val="0070C0"/>
          <w:sz w:val="22"/>
          <w:szCs w:val="22"/>
        </w:rPr>
        <w:t>,</w:t>
      </w:r>
      <w:r w:rsidR="00666546">
        <w:rPr>
          <w:color w:val="0070C0"/>
          <w:sz w:val="22"/>
          <w:szCs w:val="22"/>
        </w:rPr>
        <w:t xml:space="preserve"> modeling both untransformed and log-transformed bilirubin terms</w:t>
      </w:r>
      <w:r>
        <w:rPr>
          <w:color w:val="0070C0"/>
          <w:sz w:val="22"/>
          <w:szCs w:val="22"/>
        </w:rPr>
        <w:t xml:space="preserve">, </w:t>
      </w:r>
      <w:r w:rsidR="00666546">
        <w:rPr>
          <w:color w:val="0070C0"/>
          <w:sz w:val="22"/>
          <w:szCs w:val="22"/>
        </w:rPr>
        <w:t xml:space="preserve">gives </w:t>
      </w:r>
      <w:r w:rsidR="00B77284">
        <w:rPr>
          <w:color w:val="0070C0"/>
          <w:sz w:val="22"/>
          <w:szCs w:val="22"/>
        </w:rPr>
        <w:t xml:space="preserve">a statistically </w:t>
      </w:r>
      <w:r w:rsidR="00016D91">
        <w:rPr>
          <w:color w:val="0070C0"/>
          <w:sz w:val="22"/>
          <w:szCs w:val="22"/>
        </w:rPr>
        <w:t xml:space="preserve">significant association between </w:t>
      </w:r>
      <w:r>
        <w:rPr>
          <w:color w:val="0070C0"/>
          <w:sz w:val="22"/>
          <w:szCs w:val="22"/>
        </w:rPr>
        <w:t xml:space="preserve">instantaneous risk of death </w:t>
      </w:r>
      <w:r w:rsidR="00B77284">
        <w:rPr>
          <w:color w:val="0070C0"/>
          <w:sz w:val="22"/>
          <w:szCs w:val="22"/>
        </w:rPr>
        <w:t xml:space="preserve">and </w:t>
      </w:r>
      <w:r>
        <w:rPr>
          <w:color w:val="0070C0"/>
          <w:sz w:val="22"/>
          <w:szCs w:val="22"/>
        </w:rPr>
        <w:t>bilirubin at baseline</w:t>
      </w:r>
      <w:r w:rsidR="00B77284">
        <w:rPr>
          <w:color w:val="0070C0"/>
          <w:sz w:val="22"/>
          <w:szCs w:val="22"/>
        </w:rPr>
        <w:t xml:space="preserve"> (P&lt;0.001)</w:t>
      </w:r>
      <w:r>
        <w:rPr>
          <w:color w:val="0070C0"/>
          <w:sz w:val="22"/>
          <w:szCs w:val="22"/>
        </w:rPr>
        <w:t xml:space="preserve">. </w:t>
      </w:r>
      <w:r w:rsidR="00B77284">
        <w:rPr>
          <w:color w:val="0070C0"/>
          <w:sz w:val="22"/>
          <w:szCs w:val="22"/>
        </w:rPr>
        <w:t>The test of linearity based on untransformed bilirubin in the proportional hazard regression is not statistically significant (P = 0.191), but it is statistically significant for log-transformed bilirubin (P&lt;0.001)</w:t>
      </w:r>
      <w:r w:rsidR="008405DC">
        <w:rPr>
          <w:color w:val="0070C0"/>
          <w:sz w:val="22"/>
          <w:szCs w:val="22"/>
        </w:rPr>
        <w:t xml:space="preserve">, </w:t>
      </w:r>
      <w:commentRangeStart w:id="16"/>
      <w:r w:rsidR="008405DC">
        <w:rPr>
          <w:color w:val="0070C0"/>
          <w:sz w:val="22"/>
          <w:szCs w:val="22"/>
        </w:rPr>
        <w:t>which suggests that true association between death from any cause and serum bilirubin is adequately described by log hazard function that is linear in log-transformed bilirubin term.</w:t>
      </w:r>
      <w:commentRangeEnd w:id="16"/>
      <w:r w:rsidR="00261E6E">
        <w:rPr>
          <w:rStyle w:val="CommentReference"/>
        </w:rPr>
        <w:commentReference w:id="16"/>
      </w:r>
    </w:p>
    <w:p w14:paraId="1B9777C0" w14:textId="77777777" w:rsidR="008C509F" w:rsidRDefault="008C509F" w:rsidP="008C509F">
      <w:pPr>
        <w:autoSpaceDE w:val="0"/>
        <w:autoSpaceDN w:val="0"/>
        <w:adjustRightInd w:val="0"/>
        <w:spacing w:after="120"/>
        <w:ind w:left="720"/>
        <w:rPr>
          <w:sz w:val="22"/>
          <w:szCs w:val="22"/>
        </w:rPr>
      </w:pPr>
    </w:p>
    <w:p w14:paraId="1CD9B2E1" w14:textId="77777777" w:rsidR="00E01E38" w:rsidRDefault="00E01E38" w:rsidP="00E01E38">
      <w:pPr>
        <w:numPr>
          <w:ilvl w:val="1"/>
          <w:numId w:val="19"/>
        </w:numPr>
        <w:autoSpaceDE w:val="0"/>
        <w:autoSpaceDN w:val="0"/>
        <w:adjustRightInd w:val="0"/>
        <w:spacing w:after="120"/>
        <w:rPr>
          <w:sz w:val="22"/>
          <w:szCs w:val="22"/>
        </w:rPr>
      </w:pPr>
      <w:r>
        <w:rPr>
          <w:sz w:val="22"/>
          <w:szCs w:val="22"/>
        </w:rPr>
        <w:lastRenderedPageBreak/>
        <w:t>Again, save the fitted values from this model by obtaining the estimated HRs relative to a group with bilirubin of 1 mg/dl. (This will be used in problem 6.)</w:t>
      </w:r>
    </w:p>
    <w:p w14:paraId="66B02911" w14:textId="77777777" w:rsidR="00BB2FED" w:rsidRDefault="00BB2FED" w:rsidP="00BB2FED">
      <w:pPr>
        <w:autoSpaceDE w:val="0"/>
        <w:autoSpaceDN w:val="0"/>
        <w:adjustRightInd w:val="0"/>
        <w:spacing w:after="120"/>
        <w:ind w:left="1440"/>
        <w:rPr>
          <w:color w:val="0070C0"/>
          <w:sz w:val="22"/>
          <w:szCs w:val="22"/>
        </w:rPr>
      </w:pPr>
      <w:r w:rsidRPr="00C57D52">
        <w:rPr>
          <w:b/>
          <w:bCs/>
          <w:color w:val="0070C0"/>
          <w:sz w:val="22"/>
          <w:szCs w:val="22"/>
          <w:u w:val="single"/>
        </w:rPr>
        <w:t>Answer</w:t>
      </w:r>
      <w:r w:rsidRPr="00C57D52">
        <w:rPr>
          <w:color w:val="0070C0"/>
          <w:sz w:val="22"/>
          <w:szCs w:val="22"/>
        </w:rPr>
        <w:t xml:space="preserve">: </w:t>
      </w:r>
      <w:r>
        <w:rPr>
          <w:color w:val="0070C0"/>
          <w:sz w:val="22"/>
          <w:szCs w:val="22"/>
        </w:rPr>
        <w:t>See answer to question 6</w:t>
      </w:r>
      <w:r w:rsidRPr="00C57D52">
        <w:rPr>
          <w:color w:val="0070C0"/>
          <w:sz w:val="22"/>
          <w:szCs w:val="22"/>
        </w:rPr>
        <w:t>.</w:t>
      </w:r>
    </w:p>
    <w:p w14:paraId="0F246E62" w14:textId="77777777" w:rsidR="00BB2FED" w:rsidRDefault="00BB2FED" w:rsidP="00BB2FED">
      <w:pPr>
        <w:autoSpaceDE w:val="0"/>
        <w:autoSpaceDN w:val="0"/>
        <w:adjustRightInd w:val="0"/>
        <w:spacing w:after="120"/>
        <w:ind w:left="1440"/>
        <w:rPr>
          <w:sz w:val="22"/>
          <w:szCs w:val="22"/>
        </w:rPr>
      </w:pPr>
    </w:p>
    <w:p w14:paraId="03AB6D16" w14:textId="77777777" w:rsidR="00E01E38" w:rsidRDefault="00E01E38" w:rsidP="00E01E38">
      <w:pPr>
        <w:numPr>
          <w:ilvl w:val="0"/>
          <w:numId w:val="19"/>
        </w:numPr>
        <w:autoSpaceDE w:val="0"/>
        <w:autoSpaceDN w:val="0"/>
        <w:adjustRightInd w:val="0"/>
        <w:spacing w:after="120"/>
        <w:rPr>
          <w:sz w:val="22"/>
          <w:szCs w:val="22"/>
        </w:rPr>
      </w:pPr>
      <w:commentRangeStart w:id="17"/>
      <w:r>
        <w:rPr>
          <w:sz w:val="22"/>
          <w:szCs w:val="22"/>
        </w:rPr>
        <w:t xml:space="preserve">Display a graph with the fitted hazard ratios from problems 3 - 5. Comment on any similarities or </w:t>
      </w:r>
      <w:commentRangeEnd w:id="17"/>
      <w:r w:rsidR="00261E6E">
        <w:rPr>
          <w:rStyle w:val="CommentReference"/>
        </w:rPr>
        <w:commentReference w:id="17"/>
      </w:r>
      <w:r>
        <w:rPr>
          <w:sz w:val="22"/>
          <w:szCs w:val="22"/>
        </w:rPr>
        <w:t>differences of the fitted values from the three models.</w:t>
      </w:r>
    </w:p>
    <w:p w14:paraId="6284A368" w14:textId="77777777" w:rsidR="004769D3" w:rsidRDefault="00CA4C08" w:rsidP="004769D3">
      <w:pPr>
        <w:keepNext/>
        <w:autoSpaceDE w:val="0"/>
        <w:autoSpaceDN w:val="0"/>
        <w:adjustRightInd w:val="0"/>
        <w:spacing w:after="120"/>
        <w:ind w:left="720"/>
        <w:jc w:val="center"/>
      </w:pPr>
      <w:r w:rsidRPr="00AD2071">
        <w:rPr>
          <w:noProof/>
        </w:rPr>
        <w:drawing>
          <wp:inline distT="0" distB="0" distL="0" distR="0" wp14:anchorId="19F9D400" wp14:editId="2046BC59">
            <wp:extent cx="5534025" cy="431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4314825"/>
                    </a:xfrm>
                    <a:prstGeom prst="rect">
                      <a:avLst/>
                    </a:prstGeom>
                    <a:noFill/>
                    <a:ln>
                      <a:noFill/>
                    </a:ln>
                  </pic:spPr>
                </pic:pic>
              </a:graphicData>
            </a:graphic>
          </wp:inline>
        </w:drawing>
      </w:r>
    </w:p>
    <w:p w14:paraId="157DB263" w14:textId="77777777" w:rsidR="006B525A" w:rsidRDefault="004769D3" w:rsidP="00986EA0">
      <w:pPr>
        <w:pStyle w:val="Caption"/>
        <w:ind w:left="720"/>
        <w:jc w:val="both"/>
        <w:rPr>
          <w:sz w:val="22"/>
          <w:szCs w:val="22"/>
        </w:rPr>
      </w:pPr>
      <w:r>
        <w:t xml:space="preserve">Figure </w:t>
      </w:r>
      <w:fldSimple w:instr=" SEQ Figure \* ARABIC ">
        <w:r>
          <w:rPr>
            <w:noProof/>
          </w:rPr>
          <w:t>2</w:t>
        </w:r>
      </w:fldSimple>
      <w:r>
        <w:t xml:space="preserve">. Plots of the Fitted Hazard Ratios from Three Different Proportional Hazards Regression Models containing:  i) </w:t>
      </w:r>
      <w:r w:rsidR="00986EA0">
        <w:t>a Linear C</w:t>
      </w:r>
      <w:r>
        <w:t>ontinuous</w:t>
      </w:r>
      <w:r w:rsidRPr="004769D3">
        <w:t xml:space="preserve"> </w:t>
      </w:r>
      <w:r w:rsidR="00986EA0">
        <w:t>S</w:t>
      </w:r>
      <w:r>
        <w:t xml:space="preserve">erum Bilirubin, ii) </w:t>
      </w:r>
      <w:r w:rsidR="00986EA0">
        <w:t>Logarithmically T</w:t>
      </w:r>
      <w:r>
        <w:t xml:space="preserve">ransformed </w:t>
      </w:r>
      <w:r w:rsidR="00986EA0">
        <w:t>S</w:t>
      </w:r>
      <w:r>
        <w:t xml:space="preserve">erum Bilirubin, and iii) </w:t>
      </w:r>
      <w:r w:rsidR="00986EA0">
        <w:t>Both Linear and Logarithmically Transformed S</w:t>
      </w:r>
      <w:r>
        <w:t>erum Bilirubin.</w:t>
      </w:r>
    </w:p>
    <w:p w14:paraId="12313F22" w14:textId="77777777" w:rsidR="00D07350" w:rsidRDefault="00D07350" w:rsidP="00D07350">
      <w:pPr>
        <w:autoSpaceDE w:val="0"/>
        <w:autoSpaceDN w:val="0"/>
        <w:adjustRightInd w:val="0"/>
        <w:spacing w:after="120"/>
        <w:ind w:left="1440"/>
        <w:rPr>
          <w:b/>
          <w:bCs/>
          <w:color w:val="0070C0"/>
          <w:sz w:val="22"/>
          <w:szCs w:val="22"/>
          <w:u w:val="single"/>
        </w:rPr>
      </w:pPr>
    </w:p>
    <w:p w14:paraId="064FB38D" w14:textId="77777777" w:rsidR="00D07350" w:rsidRDefault="00D07350" w:rsidP="00AD2071">
      <w:pPr>
        <w:autoSpaceDE w:val="0"/>
        <w:autoSpaceDN w:val="0"/>
        <w:adjustRightInd w:val="0"/>
        <w:spacing w:after="120"/>
        <w:ind w:left="1440"/>
        <w:jc w:val="both"/>
        <w:rPr>
          <w:color w:val="0070C0"/>
          <w:sz w:val="22"/>
          <w:szCs w:val="22"/>
        </w:rPr>
      </w:pPr>
      <w:r w:rsidRPr="00C57D52">
        <w:rPr>
          <w:b/>
          <w:bCs/>
          <w:color w:val="0070C0"/>
          <w:sz w:val="22"/>
          <w:szCs w:val="22"/>
          <w:u w:val="single"/>
        </w:rPr>
        <w:t>Answer</w:t>
      </w:r>
      <w:r w:rsidRPr="00C57D52">
        <w:rPr>
          <w:color w:val="0070C0"/>
          <w:sz w:val="22"/>
          <w:szCs w:val="22"/>
        </w:rPr>
        <w:t xml:space="preserve">: </w:t>
      </w:r>
      <w:r>
        <w:rPr>
          <w:color w:val="0070C0"/>
          <w:sz w:val="22"/>
          <w:szCs w:val="22"/>
        </w:rPr>
        <w:t xml:space="preserve">As seen in Figure 2, the best linear fit </w:t>
      </w:r>
      <w:r w:rsidR="00AD2071">
        <w:rPr>
          <w:color w:val="0070C0"/>
          <w:sz w:val="22"/>
          <w:szCs w:val="22"/>
        </w:rPr>
        <w:t xml:space="preserve">for the relative hazard </w:t>
      </w:r>
      <w:r>
        <w:rPr>
          <w:color w:val="0070C0"/>
          <w:sz w:val="22"/>
          <w:szCs w:val="22"/>
        </w:rPr>
        <w:t xml:space="preserve">is given by </w:t>
      </w:r>
      <w:r w:rsidR="00AD2071">
        <w:rPr>
          <w:color w:val="0070C0"/>
          <w:sz w:val="22"/>
          <w:szCs w:val="22"/>
        </w:rPr>
        <w:t xml:space="preserve">the model using </w:t>
      </w:r>
      <w:r>
        <w:rPr>
          <w:color w:val="0070C0"/>
          <w:sz w:val="22"/>
          <w:szCs w:val="22"/>
        </w:rPr>
        <w:t xml:space="preserve">log transformed data and then by </w:t>
      </w:r>
      <w:r w:rsidR="00AD2071">
        <w:rPr>
          <w:color w:val="0070C0"/>
          <w:sz w:val="22"/>
          <w:szCs w:val="22"/>
        </w:rPr>
        <w:t xml:space="preserve">the model using both untransformed and log-transformed data. On the other hand, the untransformed bilirubin does not show a linear relation with relative hazard. It fits similarly to two other models at the lowest data points, but diverges a lot as bilirubin concentration increases, eventually curving upwards near the maximum bilirubin concentration (28mg/dl) observed for our sample. </w:t>
      </w:r>
      <w:r w:rsidR="00A53924">
        <w:rPr>
          <w:color w:val="0070C0"/>
          <w:sz w:val="22"/>
          <w:szCs w:val="22"/>
        </w:rPr>
        <w:t>Contrary to this, the fit of both untransformed and log-transformed bilirubin starts out very similar to log-transformed bilirubin fit, but at the higher concentr</w:t>
      </w:r>
      <w:r w:rsidR="00C96813">
        <w:rPr>
          <w:color w:val="0070C0"/>
          <w:sz w:val="22"/>
          <w:szCs w:val="22"/>
        </w:rPr>
        <w:t xml:space="preserve">ation of the serum bilirubin, </w:t>
      </w:r>
      <w:r w:rsidR="00A53924">
        <w:rPr>
          <w:color w:val="0070C0"/>
          <w:sz w:val="22"/>
          <w:szCs w:val="22"/>
        </w:rPr>
        <w:t xml:space="preserve">starts curving down. </w:t>
      </w:r>
    </w:p>
    <w:p w14:paraId="3AA7E48A" w14:textId="77777777" w:rsidR="006B525A" w:rsidRDefault="006B525A" w:rsidP="006B525A">
      <w:pPr>
        <w:autoSpaceDE w:val="0"/>
        <w:autoSpaceDN w:val="0"/>
        <w:adjustRightInd w:val="0"/>
        <w:spacing w:after="120"/>
        <w:ind w:left="720"/>
        <w:rPr>
          <w:sz w:val="22"/>
          <w:szCs w:val="22"/>
        </w:rPr>
      </w:pPr>
    </w:p>
    <w:p w14:paraId="55F76470" w14:textId="77777777" w:rsidR="00D07350" w:rsidRDefault="00D07350" w:rsidP="006B525A">
      <w:pPr>
        <w:autoSpaceDE w:val="0"/>
        <w:autoSpaceDN w:val="0"/>
        <w:adjustRightInd w:val="0"/>
        <w:spacing w:after="120"/>
        <w:ind w:left="720"/>
        <w:rPr>
          <w:sz w:val="22"/>
          <w:szCs w:val="22"/>
        </w:rPr>
      </w:pPr>
    </w:p>
    <w:p w14:paraId="0ED50285" w14:textId="77777777" w:rsidR="00927CF6" w:rsidRDefault="00927CF6" w:rsidP="00927CF6">
      <w:pPr>
        <w:numPr>
          <w:ilvl w:val="0"/>
          <w:numId w:val="19"/>
        </w:numPr>
        <w:autoSpaceDE w:val="0"/>
        <w:autoSpaceDN w:val="0"/>
        <w:adjustRightInd w:val="0"/>
        <w:spacing w:after="120"/>
        <w:rPr>
          <w:sz w:val="22"/>
          <w:szCs w:val="22"/>
        </w:rPr>
      </w:pPr>
      <w:r>
        <w:rPr>
          <w:sz w:val="22"/>
          <w:szCs w:val="22"/>
        </w:rPr>
        <w:lastRenderedPageBreak/>
        <w:t>We are interested in considering analyses of the association between all cause mortality and serum bilirubin after adjustment for age and sex.</w:t>
      </w:r>
    </w:p>
    <w:p w14:paraId="1CCE5606" w14:textId="77777777" w:rsidR="00927CF6" w:rsidRDefault="00927CF6" w:rsidP="00927CF6">
      <w:pPr>
        <w:numPr>
          <w:ilvl w:val="1"/>
          <w:numId w:val="19"/>
        </w:numPr>
        <w:autoSpaceDE w:val="0"/>
        <w:autoSpaceDN w:val="0"/>
        <w:adjustRightInd w:val="0"/>
        <w:spacing w:after="120"/>
        <w:rPr>
          <w:sz w:val="22"/>
          <w:szCs w:val="22"/>
        </w:rPr>
      </w:pPr>
      <w:r>
        <w:rPr>
          <w:sz w:val="22"/>
          <w:szCs w:val="22"/>
        </w:rPr>
        <w:t>What evidence is present in the data that would make you think that either sex or age might have confounded the association between death and bilirubin? (In real life, we would ideally decide whether to adjust for potential confounding in our pre-specified statistical analysis plan (SAP)).</w:t>
      </w:r>
    </w:p>
    <w:p w14:paraId="32C6F661" w14:textId="77777777" w:rsidR="00F53CC1" w:rsidRDefault="00F53CC1" w:rsidP="00F53CC1">
      <w:pPr>
        <w:autoSpaceDE w:val="0"/>
        <w:autoSpaceDN w:val="0"/>
        <w:adjustRightInd w:val="0"/>
        <w:spacing w:after="120"/>
        <w:ind w:left="1440"/>
        <w:jc w:val="both"/>
        <w:rPr>
          <w:color w:val="0070C0"/>
          <w:sz w:val="22"/>
          <w:szCs w:val="22"/>
        </w:rPr>
      </w:pPr>
      <w:commentRangeStart w:id="18"/>
      <w:r w:rsidRPr="00C57D52">
        <w:rPr>
          <w:b/>
          <w:bCs/>
          <w:color w:val="0070C0"/>
          <w:sz w:val="22"/>
          <w:szCs w:val="22"/>
          <w:u w:val="single"/>
        </w:rPr>
        <w:t>Answer</w:t>
      </w:r>
      <w:r w:rsidRPr="00C57D52">
        <w:rPr>
          <w:color w:val="0070C0"/>
          <w:sz w:val="22"/>
          <w:szCs w:val="22"/>
        </w:rPr>
        <w:t xml:space="preserve">: </w:t>
      </w:r>
      <w:r w:rsidR="00165174">
        <w:rPr>
          <w:color w:val="0070C0"/>
          <w:sz w:val="22"/>
          <w:szCs w:val="22"/>
        </w:rPr>
        <w:t>The age and serum bilirubin scatterplot shows heteroscadasticity</w:t>
      </w:r>
      <w:r w:rsidR="000B407E">
        <w:rPr>
          <w:color w:val="0070C0"/>
          <w:sz w:val="22"/>
          <w:szCs w:val="22"/>
        </w:rPr>
        <w:t xml:space="preserve">. </w:t>
      </w:r>
      <w:r w:rsidR="00165174">
        <w:rPr>
          <w:color w:val="0070C0"/>
          <w:sz w:val="22"/>
          <w:szCs w:val="22"/>
        </w:rPr>
        <w:t>Most of the sample data</w:t>
      </w:r>
      <w:commentRangeEnd w:id="18"/>
      <w:r w:rsidR="007C40A2">
        <w:rPr>
          <w:rStyle w:val="CommentReference"/>
        </w:rPr>
        <w:commentReference w:id="18"/>
      </w:r>
      <w:r w:rsidR="00165174">
        <w:rPr>
          <w:color w:val="0070C0"/>
          <w:sz w:val="22"/>
          <w:szCs w:val="22"/>
        </w:rPr>
        <w:t xml:space="preserve"> seems concentrated at the lower concentration end of bilirubin, and variation fans out. There does not seem to be a unidirectional trend in age and bilirubin concentration, but we know that w</w:t>
      </w:r>
      <w:r w:rsidR="00A354E9">
        <w:rPr>
          <w:color w:val="0070C0"/>
          <w:sz w:val="22"/>
          <w:szCs w:val="22"/>
        </w:rPr>
        <w:t xml:space="preserve">ith higher age, there is higher </w:t>
      </w:r>
      <w:r w:rsidR="000B407E">
        <w:rPr>
          <w:color w:val="0070C0"/>
          <w:sz w:val="22"/>
          <w:szCs w:val="22"/>
        </w:rPr>
        <w:t>mortality</w:t>
      </w:r>
      <w:r w:rsidR="00A354E9">
        <w:rPr>
          <w:color w:val="0070C0"/>
          <w:sz w:val="22"/>
          <w:szCs w:val="22"/>
        </w:rPr>
        <w:t xml:space="preserve">. </w:t>
      </w:r>
      <w:r w:rsidR="00165174">
        <w:rPr>
          <w:color w:val="0070C0"/>
          <w:sz w:val="22"/>
          <w:szCs w:val="22"/>
        </w:rPr>
        <w:t>Thinking in this term</w:t>
      </w:r>
      <w:r w:rsidR="000B407E">
        <w:rPr>
          <w:color w:val="0070C0"/>
          <w:sz w:val="22"/>
          <w:szCs w:val="22"/>
        </w:rPr>
        <w:t xml:space="preserve">, </w:t>
      </w:r>
      <w:r w:rsidR="00165174">
        <w:rPr>
          <w:color w:val="0070C0"/>
          <w:sz w:val="22"/>
          <w:szCs w:val="22"/>
        </w:rPr>
        <w:t>age</w:t>
      </w:r>
      <w:r w:rsidR="000B407E">
        <w:rPr>
          <w:color w:val="0070C0"/>
          <w:sz w:val="22"/>
          <w:szCs w:val="22"/>
        </w:rPr>
        <w:t xml:space="preserve"> cou</w:t>
      </w:r>
      <w:r w:rsidR="00A354E9">
        <w:rPr>
          <w:color w:val="0070C0"/>
          <w:sz w:val="22"/>
          <w:szCs w:val="22"/>
        </w:rPr>
        <w:t xml:space="preserve">ld be </w:t>
      </w:r>
      <w:r w:rsidR="00165174">
        <w:rPr>
          <w:color w:val="0070C0"/>
          <w:sz w:val="22"/>
          <w:szCs w:val="22"/>
        </w:rPr>
        <w:t>a precision variable. If any association is seen between age and bilirubin at lower concentrations, it could just be a</w:t>
      </w:r>
      <w:r w:rsidR="000B407E">
        <w:rPr>
          <w:color w:val="0070C0"/>
          <w:sz w:val="22"/>
          <w:szCs w:val="22"/>
        </w:rPr>
        <w:t xml:space="preserve"> spurious association due to small sample size. On the other hand, being female seems to be strongly related to bilirubin concentrations, but</w:t>
      </w:r>
      <w:r w:rsidR="00165174">
        <w:rPr>
          <w:color w:val="0070C0"/>
          <w:sz w:val="22"/>
          <w:szCs w:val="22"/>
        </w:rPr>
        <w:t xml:space="preserve"> again</w:t>
      </w:r>
      <w:r w:rsidR="000B407E">
        <w:rPr>
          <w:color w:val="0070C0"/>
          <w:sz w:val="22"/>
          <w:szCs w:val="22"/>
        </w:rPr>
        <w:t xml:space="preserve"> </w:t>
      </w:r>
      <w:r w:rsidR="00A354E9">
        <w:rPr>
          <w:color w:val="0070C0"/>
          <w:sz w:val="22"/>
          <w:szCs w:val="22"/>
        </w:rPr>
        <w:t>it</w:t>
      </w:r>
      <w:r w:rsidR="000B407E">
        <w:rPr>
          <w:color w:val="0070C0"/>
          <w:sz w:val="22"/>
          <w:szCs w:val="22"/>
        </w:rPr>
        <w:t xml:space="preserve"> could just </w:t>
      </w:r>
      <w:r w:rsidR="00A354E9">
        <w:rPr>
          <w:color w:val="0070C0"/>
          <w:sz w:val="22"/>
          <w:szCs w:val="22"/>
        </w:rPr>
        <w:t>be an</w:t>
      </w:r>
      <w:r w:rsidR="000B407E">
        <w:rPr>
          <w:color w:val="0070C0"/>
          <w:sz w:val="22"/>
          <w:szCs w:val="22"/>
        </w:rPr>
        <w:t xml:space="preserve"> artifact of sampling</w:t>
      </w:r>
      <w:r w:rsidR="00165174">
        <w:rPr>
          <w:color w:val="0070C0"/>
          <w:sz w:val="22"/>
          <w:szCs w:val="22"/>
        </w:rPr>
        <w:t xml:space="preserve"> and is not a confounder as m</w:t>
      </w:r>
      <w:r w:rsidR="000B407E">
        <w:rPr>
          <w:color w:val="0070C0"/>
          <w:sz w:val="22"/>
          <w:szCs w:val="22"/>
        </w:rPr>
        <w:t>ore women with the condition were sampled than men</w:t>
      </w:r>
      <w:r w:rsidR="00165174">
        <w:rPr>
          <w:color w:val="0070C0"/>
          <w:sz w:val="22"/>
          <w:szCs w:val="22"/>
        </w:rPr>
        <w:t>.</w:t>
      </w:r>
      <w:r w:rsidR="000B407E">
        <w:rPr>
          <w:color w:val="0070C0"/>
          <w:sz w:val="22"/>
          <w:szCs w:val="22"/>
        </w:rPr>
        <w:t xml:space="preserve"> </w:t>
      </w:r>
    </w:p>
    <w:p w14:paraId="15E6A4AF" w14:textId="77777777" w:rsidR="00927CF6" w:rsidRDefault="00927CF6" w:rsidP="00927CF6">
      <w:pPr>
        <w:numPr>
          <w:ilvl w:val="1"/>
          <w:numId w:val="19"/>
        </w:numPr>
        <w:autoSpaceDE w:val="0"/>
        <w:autoSpaceDN w:val="0"/>
        <w:adjustRightInd w:val="0"/>
        <w:spacing w:after="120"/>
        <w:rPr>
          <w:sz w:val="22"/>
          <w:szCs w:val="22"/>
        </w:rPr>
      </w:pPr>
      <w:r>
        <w:rPr>
          <w:sz w:val="22"/>
          <w:szCs w:val="22"/>
        </w:rPr>
        <w:t>What evidence is present in the data that would make you think that either sex or age might have added precision to the analysis of the association between death and bilirubin? (In real life, we would ideally decide whether to adjust in our pre-specified SAP).</w:t>
      </w:r>
    </w:p>
    <w:p w14:paraId="4C487EF4" w14:textId="77777777" w:rsidR="00B47B1B" w:rsidRDefault="00B47B1B" w:rsidP="001453AE">
      <w:pPr>
        <w:autoSpaceDE w:val="0"/>
        <w:autoSpaceDN w:val="0"/>
        <w:adjustRightInd w:val="0"/>
        <w:spacing w:after="120"/>
        <w:ind w:left="1440"/>
        <w:jc w:val="both"/>
        <w:rPr>
          <w:sz w:val="22"/>
          <w:szCs w:val="22"/>
        </w:rPr>
      </w:pPr>
      <w:commentRangeStart w:id="19"/>
      <w:r w:rsidRPr="00C57D52">
        <w:rPr>
          <w:b/>
          <w:bCs/>
          <w:color w:val="0070C0"/>
          <w:sz w:val="22"/>
          <w:szCs w:val="22"/>
          <w:u w:val="single"/>
        </w:rPr>
        <w:t>Answer</w:t>
      </w:r>
      <w:r w:rsidRPr="00C57D52">
        <w:rPr>
          <w:color w:val="0070C0"/>
          <w:sz w:val="22"/>
          <w:szCs w:val="22"/>
        </w:rPr>
        <w:t xml:space="preserve">: </w:t>
      </w:r>
      <w:commentRangeEnd w:id="19"/>
      <w:r w:rsidR="007C40A2">
        <w:rPr>
          <w:rStyle w:val="CommentReference"/>
        </w:rPr>
        <w:commentReference w:id="19"/>
      </w:r>
      <w:r w:rsidR="00A354E9">
        <w:rPr>
          <w:color w:val="0070C0"/>
          <w:sz w:val="22"/>
          <w:szCs w:val="22"/>
        </w:rPr>
        <w:t>Being female is associated with the outcome, death from all cause, and age is also associated with the outcome death from all cause</w:t>
      </w:r>
      <w:r>
        <w:rPr>
          <w:color w:val="0070C0"/>
          <w:sz w:val="22"/>
          <w:szCs w:val="22"/>
        </w:rPr>
        <w:t>.</w:t>
      </w:r>
      <w:r w:rsidR="00A354E9">
        <w:rPr>
          <w:color w:val="0070C0"/>
          <w:sz w:val="22"/>
          <w:szCs w:val="22"/>
        </w:rPr>
        <w:t xml:space="preserve"> This makes me think that they are precision variables. </w:t>
      </w:r>
    </w:p>
    <w:p w14:paraId="143B2505" w14:textId="77777777" w:rsidR="00927CF6" w:rsidRDefault="00927CF6" w:rsidP="00927CF6">
      <w:pPr>
        <w:numPr>
          <w:ilvl w:val="1"/>
          <w:numId w:val="19"/>
        </w:numPr>
        <w:autoSpaceDE w:val="0"/>
        <w:autoSpaceDN w:val="0"/>
        <w:adjustRightInd w:val="0"/>
        <w:spacing w:after="120"/>
        <w:rPr>
          <w:sz w:val="22"/>
          <w:szCs w:val="22"/>
        </w:rPr>
      </w:pPr>
      <w:commentRangeStart w:id="20"/>
      <w:r>
        <w:rPr>
          <w:sz w:val="22"/>
          <w:szCs w:val="22"/>
        </w:rPr>
        <w:t xml:space="preserve">Provide full inference regarding an association between death and bilirubin after adjustment for sex </w:t>
      </w:r>
      <w:commentRangeEnd w:id="20"/>
      <w:r w:rsidR="007C40A2">
        <w:rPr>
          <w:rStyle w:val="CommentReference"/>
        </w:rPr>
        <w:commentReference w:id="20"/>
      </w:r>
      <w:r>
        <w:rPr>
          <w:sz w:val="22"/>
          <w:szCs w:val="22"/>
        </w:rPr>
        <w:t>and age.</w:t>
      </w:r>
    </w:p>
    <w:p w14:paraId="3C07E425" w14:textId="77777777" w:rsidR="00050FCA" w:rsidRPr="00C525D7" w:rsidRDefault="00050FCA" w:rsidP="00050FCA">
      <w:pPr>
        <w:autoSpaceDE w:val="0"/>
        <w:autoSpaceDN w:val="0"/>
        <w:adjustRightInd w:val="0"/>
        <w:spacing w:after="120"/>
        <w:ind w:left="1440"/>
        <w:jc w:val="both"/>
        <w:rPr>
          <w:color w:val="0070C0"/>
          <w:sz w:val="22"/>
          <w:szCs w:val="22"/>
        </w:rPr>
      </w:pPr>
      <w:r w:rsidRPr="00C525D7">
        <w:rPr>
          <w:b/>
          <w:color w:val="0070C0"/>
          <w:sz w:val="22"/>
          <w:szCs w:val="22"/>
          <w:u w:val="single"/>
        </w:rPr>
        <w:t>Method</w:t>
      </w:r>
      <w:r w:rsidRPr="00C525D7">
        <w:rPr>
          <w:color w:val="0070C0"/>
          <w:sz w:val="22"/>
          <w:szCs w:val="22"/>
        </w:rPr>
        <w:t xml:space="preserve">: </w:t>
      </w:r>
      <w:r>
        <w:rPr>
          <w:color w:val="0070C0"/>
          <w:sz w:val="22"/>
          <w:szCs w:val="22"/>
        </w:rPr>
        <w:t xml:space="preserve">To evaluate an association between serum bilirubin and all-cause mortality by comparing the instantaneous risk of death over the entire period of observation across groups, </w:t>
      </w:r>
      <w:r w:rsidRPr="00C525D7">
        <w:rPr>
          <w:color w:val="0070C0"/>
          <w:sz w:val="22"/>
          <w:szCs w:val="22"/>
        </w:rPr>
        <w:t xml:space="preserve">I </w:t>
      </w:r>
      <w:r>
        <w:rPr>
          <w:color w:val="0070C0"/>
          <w:sz w:val="22"/>
          <w:szCs w:val="22"/>
        </w:rPr>
        <w:t>performed cox proportional hazards regression with robust standard errors adjusting for age and sex.</w:t>
      </w:r>
      <w:r w:rsidR="003A3387">
        <w:rPr>
          <w:color w:val="0070C0"/>
          <w:sz w:val="22"/>
          <w:szCs w:val="22"/>
        </w:rPr>
        <w:t xml:space="preserve"> T</w:t>
      </w:r>
      <w:r>
        <w:rPr>
          <w:color w:val="0070C0"/>
          <w:sz w:val="22"/>
          <w:szCs w:val="22"/>
        </w:rPr>
        <w:t>he model include</w:t>
      </w:r>
      <w:r w:rsidR="003A3387">
        <w:rPr>
          <w:color w:val="0070C0"/>
          <w:sz w:val="22"/>
          <w:szCs w:val="22"/>
        </w:rPr>
        <w:t>d</w:t>
      </w:r>
      <w:r>
        <w:rPr>
          <w:color w:val="0070C0"/>
          <w:sz w:val="22"/>
          <w:szCs w:val="22"/>
        </w:rPr>
        <w:t xml:space="preserve"> log-transformed bilirubin, age and sex. The confidence interval and two-sided p-values were computed using the Wald’s statistics. </w:t>
      </w:r>
      <w:commentRangeStart w:id="21"/>
      <w:r>
        <w:rPr>
          <w:color w:val="0070C0"/>
          <w:sz w:val="22"/>
          <w:szCs w:val="22"/>
        </w:rPr>
        <w:t xml:space="preserve">Missing data were excluded from the analysis. </w:t>
      </w:r>
      <w:commentRangeEnd w:id="21"/>
      <w:r w:rsidR="007C40A2">
        <w:rPr>
          <w:rStyle w:val="CommentReference"/>
        </w:rPr>
        <w:commentReference w:id="21"/>
      </w:r>
    </w:p>
    <w:p w14:paraId="15C8232E" w14:textId="77777777" w:rsidR="00050FCA" w:rsidRDefault="00050FCA" w:rsidP="00050FCA">
      <w:pPr>
        <w:autoSpaceDE w:val="0"/>
        <w:autoSpaceDN w:val="0"/>
        <w:adjustRightInd w:val="0"/>
        <w:spacing w:after="120"/>
        <w:ind w:left="1440"/>
        <w:jc w:val="both"/>
        <w:rPr>
          <w:sz w:val="22"/>
          <w:szCs w:val="22"/>
        </w:rPr>
      </w:pPr>
      <w:r w:rsidRPr="00C525D7">
        <w:rPr>
          <w:b/>
          <w:color w:val="0070C0"/>
          <w:sz w:val="22"/>
          <w:szCs w:val="22"/>
          <w:u w:val="single"/>
        </w:rPr>
        <w:t>Result</w:t>
      </w:r>
      <w:r w:rsidRPr="00C525D7">
        <w:rPr>
          <w:color w:val="0070C0"/>
          <w:sz w:val="22"/>
          <w:szCs w:val="22"/>
        </w:rPr>
        <w:t xml:space="preserve">: </w:t>
      </w:r>
      <w:commentRangeStart w:id="22"/>
      <w:r>
        <w:rPr>
          <w:color w:val="0070C0"/>
          <w:sz w:val="22"/>
          <w:szCs w:val="22"/>
        </w:rPr>
        <w:t xml:space="preserve">Data is available on </w:t>
      </w:r>
      <w:r w:rsidR="00002DD8">
        <w:rPr>
          <w:color w:val="0070C0"/>
          <w:sz w:val="22"/>
          <w:szCs w:val="22"/>
        </w:rPr>
        <w:t>312</w:t>
      </w:r>
      <w:r>
        <w:rPr>
          <w:color w:val="0070C0"/>
          <w:sz w:val="22"/>
          <w:szCs w:val="22"/>
        </w:rPr>
        <w:t xml:space="preserve"> patients among whom </w:t>
      </w:r>
      <w:r w:rsidR="00002DD8">
        <w:rPr>
          <w:color w:val="0070C0"/>
          <w:sz w:val="22"/>
          <w:szCs w:val="22"/>
        </w:rPr>
        <w:t>125</w:t>
      </w:r>
      <w:r>
        <w:rPr>
          <w:color w:val="0070C0"/>
          <w:sz w:val="22"/>
          <w:szCs w:val="22"/>
        </w:rPr>
        <w:t xml:space="preserve"> patients were observed to have died during</w:t>
      </w:r>
      <w:r w:rsidR="002753EE">
        <w:rPr>
          <w:color w:val="0070C0"/>
          <w:sz w:val="22"/>
          <w:szCs w:val="22"/>
        </w:rPr>
        <w:t xml:space="preserve"> the study period</w:t>
      </w:r>
      <w:r>
        <w:rPr>
          <w:color w:val="0070C0"/>
          <w:sz w:val="22"/>
          <w:szCs w:val="22"/>
        </w:rPr>
        <w:t xml:space="preserve">. </w:t>
      </w:r>
      <w:r w:rsidR="0086118B">
        <w:rPr>
          <w:color w:val="0070C0"/>
          <w:sz w:val="22"/>
          <w:szCs w:val="22"/>
        </w:rPr>
        <w:t xml:space="preserve">From the </w:t>
      </w:r>
      <w:r>
        <w:rPr>
          <w:color w:val="0070C0"/>
          <w:sz w:val="22"/>
          <w:szCs w:val="22"/>
        </w:rPr>
        <w:t xml:space="preserve">proportional hazard regression analysis </w:t>
      </w:r>
      <w:r w:rsidR="00002DD8">
        <w:rPr>
          <w:color w:val="0070C0"/>
          <w:sz w:val="22"/>
          <w:szCs w:val="22"/>
        </w:rPr>
        <w:t>model</w:t>
      </w:r>
      <w:r w:rsidR="003A3387">
        <w:rPr>
          <w:color w:val="0070C0"/>
          <w:sz w:val="22"/>
          <w:szCs w:val="22"/>
        </w:rPr>
        <w:t>,</w:t>
      </w:r>
      <w:r w:rsidR="0086118B">
        <w:rPr>
          <w:color w:val="0070C0"/>
          <w:sz w:val="22"/>
          <w:szCs w:val="22"/>
        </w:rPr>
        <w:t xml:space="preserve"> we see that males have lower risk for mortality for every doubling of serum bilirubin than females</w:t>
      </w:r>
      <w:r w:rsidR="003A3387">
        <w:rPr>
          <w:color w:val="0070C0"/>
          <w:sz w:val="22"/>
          <w:szCs w:val="22"/>
        </w:rPr>
        <w:t xml:space="preserve"> keeping all other variables constant</w:t>
      </w:r>
      <w:r w:rsidR="0086118B">
        <w:rPr>
          <w:color w:val="0070C0"/>
          <w:sz w:val="22"/>
          <w:szCs w:val="22"/>
        </w:rPr>
        <w:t xml:space="preserve">, but it is not </w:t>
      </w:r>
      <w:r>
        <w:rPr>
          <w:color w:val="0070C0"/>
          <w:sz w:val="22"/>
          <w:szCs w:val="22"/>
        </w:rPr>
        <w:t>statistically significant</w:t>
      </w:r>
      <w:r w:rsidR="002753EE">
        <w:rPr>
          <w:color w:val="0070C0"/>
          <w:sz w:val="22"/>
          <w:szCs w:val="22"/>
        </w:rPr>
        <w:t xml:space="preserve"> (P&lt;0.799)</w:t>
      </w:r>
      <w:r>
        <w:rPr>
          <w:color w:val="0070C0"/>
          <w:sz w:val="22"/>
          <w:szCs w:val="22"/>
        </w:rPr>
        <w:t xml:space="preserve">. </w:t>
      </w:r>
      <w:r w:rsidR="0086118B">
        <w:rPr>
          <w:color w:val="0070C0"/>
          <w:sz w:val="22"/>
          <w:szCs w:val="22"/>
        </w:rPr>
        <w:t>With increasing age, there is increased instantaneous risk of mortality for every doubling of serum bilirubin</w:t>
      </w:r>
      <w:r w:rsidR="002753EE">
        <w:rPr>
          <w:color w:val="0070C0"/>
          <w:sz w:val="22"/>
          <w:szCs w:val="22"/>
        </w:rPr>
        <w:t>, and it is statistically significant (P&lt;0.001)</w:t>
      </w:r>
      <w:r w:rsidR="0086118B">
        <w:rPr>
          <w:color w:val="0070C0"/>
          <w:sz w:val="22"/>
          <w:szCs w:val="22"/>
        </w:rPr>
        <w:t xml:space="preserve">. </w:t>
      </w:r>
      <w:commentRangeEnd w:id="22"/>
      <w:r w:rsidR="007C40A2">
        <w:rPr>
          <w:rStyle w:val="CommentReference"/>
        </w:rPr>
        <w:commentReference w:id="22"/>
      </w:r>
    </w:p>
    <w:p w14:paraId="39FA56FB" w14:textId="77777777" w:rsidR="002A0246" w:rsidRDefault="002A0246" w:rsidP="002A0246">
      <w:pPr>
        <w:autoSpaceDE w:val="0"/>
        <w:autoSpaceDN w:val="0"/>
        <w:adjustRightInd w:val="0"/>
        <w:spacing w:after="120"/>
        <w:rPr>
          <w:sz w:val="22"/>
          <w:szCs w:val="22"/>
        </w:rPr>
      </w:pPr>
    </w:p>
    <w:p w14:paraId="53E7A8A9" w14:textId="77777777" w:rsidR="00927CF6" w:rsidRDefault="00927CF6" w:rsidP="00927CF6">
      <w:pPr>
        <w:numPr>
          <w:ilvl w:val="0"/>
          <w:numId w:val="19"/>
        </w:numPr>
        <w:autoSpaceDE w:val="0"/>
        <w:autoSpaceDN w:val="0"/>
        <w:adjustRightInd w:val="0"/>
        <w:spacing w:after="120"/>
        <w:rPr>
          <w:sz w:val="22"/>
          <w:szCs w:val="22"/>
        </w:rPr>
      </w:pPr>
      <w:commentRangeStart w:id="23"/>
      <w:r>
        <w:rPr>
          <w:sz w:val="22"/>
          <w:szCs w:val="22"/>
        </w:rPr>
        <w:t>Note that in the above analyses, we completely ignored the intervention in the RCT? What impact could this have had on our results?</w:t>
      </w:r>
      <w:commentRangeEnd w:id="23"/>
      <w:r w:rsidR="007C40A2">
        <w:rPr>
          <w:rStyle w:val="CommentReference"/>
        </w:rPr>
        <w:commentReference w:id="23"/>
      </w:r>
    </w:p>
    <w:p w14:paraId="793E2E30" w14:textId="77777777" w:rsidR="00C16A95" w:rsidRDefault="00C16A95" w:rsidP="00C16A95">
      <w:pPr>
        <w:autoSpaceDE w:val="0"/>
        <w:autoSpaceDN w:val="0"/>
        <w:adjustRightInd w:val="0"/>
        <w:spacing w:after="120"/>
        <w:ind w:left="720"/>
        <w:jc w:val="both"/>
        <w:rPr>
          <w:sz w:val="22"/>
          <w:szCs w:val="22"/>
        </w:rPr>
      </w:pPr>
      <w:r w:rsidRPr="00C57D52">
        <w:rPr>
          <w:b/>
          <w:bCs/>
          <w:color w:val="0070C0"/>
          <w:sz w:val="22"/>
          <w:szCs w:val="22"/>
          <w:u w:val="single"/>
        </w:rPr>
        <w:t>Answer</w:t>
      </w:r>
      <w:r w:rsidRPr="00C57D52">
        <w:rPr>
          <w:color w:val="0070C0"/>
          <w:sz w:val="22"/>
          <w:szCs w:val="22"/>
        </w:rPr>
        <w:t xml:space="preserve">: </w:t>
      </w:r>
      <w:r w:rsidR="00320EA1">
        <w:rPr>
          <w:color w:val="0070C0"/>
          <w:sz w:val="22"/>
          <w:szCs w:val="22"/>
        </w:rPr>
        <w:t>Ignori</w:t>
      </w:r>
      <w:r w:rsidR="00F62E43">
        <w:rPr>
          <w:color w:val="0070C0"/>
          <w:sz w:val="22"/>
          <w:szCs w:val="22"/>
        </w:rPr>
        <w:t>ng the intervention in the RCT could have introduced a confounding by treatment</w:t>
      </w:r>
      <w:r w:rsidR="00AF17C0">
        <w:rPr>
          <w:color w:val="0070C0"/>
          <w:sz w:val="22"/>
          <w:szCs w:val="22"/>
        </w:rPr>
        <w:t xml:space="preserve"> </w:t>
      </w:r>
      <w:r w:rsidR="00F62E43">
        <w:rPr>
          <w:color w:val="0070C0"/>
          <w:sz w:val="22"/>
          <w:szCs w:val="22"/>
        </w:rPr>
        <w:t xml:space="preserve">in association between serum bilirubin concentration and mortality. </w:t>
      </w:r>
      <w:r w:rsidR="00320EA1">
        <w:rPr>
          <w:color w:val="0070C0"/>
          <w:sz w:val="22"/>
          <w:szCs w:val="22"/>
        </w:rPr>
        <w:t xml:space="preserve"> </w:t>
      </w:r>
    </w:p>
    <w:p w14:paraId="617EDCA0" w14:textId="77777777" w:rsidR="009D5804" w:rsidRPr="009D5804" w:rsidRDefault="009D5804" w:rsidP="007B1360">
      <w:pPr>
        <w:pStyle w:val="PlainText"/>
        <w:rPr>
          <w:rFonts w:ascii="Times New Roman" w:hAnsi="Times New Roman" w:cs="Times New Roman"/>
          <w:sz w:val="22"/>
          <w:szCs w:val="22"/>
        </w:rPr>
      </w:pPr>
    </w:p>
    <w:sectPr w:rsidR="009D5804" w:rsidRPr="009D5804" w:rsidSect="008E1C1E">
      <w:headerReference w:type="even" r:id="rId11"/>
      <w:headerReference w:type="default" r:id="rId12"/>
      <w:footerReference w:type="even" r:id="rId13"/>
      <w:footerReference w:type="default" r:id="rId14"/>
      <w:headerReference w:type="first" r:id="rId15"/>
      <w:footerReference w:type="first" r:id="rId16"/>
      <w:pgSz w:w="12240" w:h="15840"/>
      <w:pgMar w:top="1296" w:right="1296" w:bottom="1296" w:left="72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68227C3A" w14:textId="666DDD25" w:rsidR="007C40A2" w:rsidRDefault="007C40A2">
      <w:pPr>
        <w:pStyle w:val="CommentText"/>
      </w:pPr>
      <w:r>
        <w:rPr>
          <w:rStyle w:val="CommentReference"/>
        </w:rPr>
        <w:annotationRef/>
      </w:r>
      <w:r>
        <w:t>Total:  62/105</w:t>
      </w:r>
    </w:p>
  </w:comment>
  <w:comment w:id="2" w:author="Author" w:initials="A">
    <w:p w14:paraId="5C41F485" w14:textId="77777777" w:rsidR="007A614B" w:rsidRDefault="007A614B">
      <w:pPr>
        <w:pStyle w:val="CommentText"/>
      </w:pPr>
      <w:r>
        <w:rPr>
          <w:rStyle w:val="CommentReference"/>
        </w:rPr>
        <w:annotationRef/>
      </w:r>
      <w:r>
        <w:t>8/10:  Provide a little description of what the Kaplan-Meier curve tells us, and also a table of survival probabilities by bili</w:t>
      </w:r>
    </w:p>
  </w:comment>
  <w:comment w:id="3" w:author="Author" w:initials="A">
    <w:p w14:paraId="694E790A" w14:textId="77777777" w:rsidR="007A614B" w:rsidRDefault="007A614B">
      <w:pPr>
        <w:pStyle w:val="CommentText"/>
      </w:pPr>
      <w:r>
        <w:rPr>
          <w:rStyle w:val="CommentReference"/>
        </w:rPr>
        <w:annotationRef/>
      </w:r>
      <w:r>
        <w:t>The layout of this table is not very readable, but I did not take points off for this.</w:t>
      </w:r>
    </w:p>
  </w:comment>
  <w:comment w:id="4" w:author="Author" w:initials="A">
    <w:p w14:paraId="028675F7" w14:textId="77777777" w:rsidR="007A614B" w:rsidRDefault="007A614B">
      <w:pPr>
        <w:pStyle w:val="CommentText"/>
      </w:pPr>
      <w:r>
        <w:rPr>
          <w:rStyle w:val="CommentReference"/>
        </w:rPr>
        <w:annotationRef/>
      </w:r>
      <w:r>
        <w:t>6/10:  You have the basic idea, but that’s all.  See answer key for reasons why logistic isn’t a good idea. We can still do it though.</w:t>
      </w:r>
    </w:p>
  </w:comment>
  <w:comment w:id="5" w:author="Author" w:initials="A">
    <w:p w14:paraId="7B682579" w14:textId="77777777" w:rsidR="0067619B" w:rsidRDefault="0067619B">
      <w:pPr>
        <w:pStyle w:val="CommentText"/>
      </w:pPr>
      <w:r>
        <w:rPr>
          <w:rStyle w:val="CommentReference"/>
        </w:rPr>
        <w:annotationRef/>
      </w:r>
      <w:r>
        <w:t>7/10</w:t>
      </w:r>
    </w:p>
  </w:comment>
  <w:comment w:id="6" w:author="Author" w:initials="A">
    <w:p w14:paraId="65727B42" w14:textId="77777777" w:rsidR="007A614B" w:rsidRDefault="007A614B">
      <w:pPr>
        <w:pStyle w:val="CommentText"/>
      </w:pPr>
      <w:r>
        <w:rPr>
          <w:rStyle w:val="CommentReference"/>
        </w:rPr>
        <w:annotationRef/>
      </w:r>
      <w:r>
        <w:t>-1:  robust standard errors?</w:t>
      </w:r>
    </w:p>
  </w:comment>
  <w:comment w:id="7" w:author="Author" w:initials="A">
    <w:p w14:paraId="73EF7DE5" w14:textId="77777777" w:rsidR="007A614B" w:rsidRDefault="007A614B">
      <w:pPr>
        <w:pStyle w:val="CommentText"/>
      </w:pPr>
      <w:r>
        <w:rPr>
          <w:rStyle w:val="CommentReference"/>
        </w:rPr>
        <w:annotationRef/>
      </w:r>
      <w:r>
        <w:t>-1:  Either .15 higher or 1.15 as high.</w:t>
      </w:r>
    </w:p>
  </w:comment>
  <w:comment w:id="8" w:author="Author" w:initials="A">
    <w:p w14:paraId="45BDC21C" w14:textId="77777777" w:rsidR="007A614B" w:rsidRDefault="007A614B">
      <w:pPr>
        <w:pStyle w:val="CommentText"/>
      </w:pPr>
      <w:r>
        <w:rPr>
          <w:rStyle w:val="CommentReference"/>
        </w:rPr>
        <w:annotationRef/>
      </w:r>
      <w:r>
        <w:t>-1: Either .12 to .19 higher or 1.12 to 1.19 as high</w:t>
      </w:r>
    </w:p>
  </w:comment>
  <w:comment w:id="9" w:author="Author" w:initials="A">
    <w:p w14:paraId="1BCC9932" w14:textId="77777777" w:rsidR="0067619B" w:rsidRDefault="0067619B">
      <w:pPr>
        <w:pStyle w:val="CommentText"/>
      </w:pPr>
      <w:r>
        <w:rPr>
          <w:rStyle w:val="CommentReference"/>
        </w:rPr>
        <w:annotationRef/>
      </w:r>
      <w:r>
        <w:t>5/5</w:t>
      </w:r>
    </w:p>
  </w:comment>
  <w:comment w:id="10" w:author="Author" w:initials="A">
    <w:p w14:paraId="4824CE50" w14:textId="2656A732" w:rsidR="00261E6E" w:rsidRDefault="00261E6E">
      <w:pPr>
        <w:pStyle w:val="CommentText"/>
      </w:pPr>
      <w:r>
        <w:rPr>
          <w:rStyle w:val="CommentReference"/>
        </w:rPr>
        <w:annotationRef/>
      </w:r>
      <w:r>
        <w:t>7/10</w:t>
      </w:r>
    </w:p>
  </w:comment>
  <w:comment w:id="11" w:author="Author" w:initials="A">
    <w:p w14:paraId="1FE446B1" w14:textId="1AA062BD" w:rsidR="00261E6E" w:rsidRDefault="00261E6E">
      <w:pPr>
        <w:pStyle w:val="CommentText"/>
      </w:pPr>
      <w:r>
        <w:rPr>
          <w:rStyle w:val="CommentReference"/>
        </w:rPr>
        <w:annotationRef/>
      </w:r>
      <w:r>
        <w:t>-1: which type of standard errors are used?</w:t>
      </w:r>
    </w:p>
  </w:comment>
  <w:comment w:id="12" w:author="Author" w:initials="A">
    <w:p w14:paraId="787CDC66" w14:textId="13BEF5B1" w:rsidR="00261E6E" w:rsidRDefault="00261E6E">
      <w:pPr>
        <w:pStyle w:val="CommentText"/>
      </w:pPr>
      <w:r>
        <w:rPr>
          <w:rStyle w:val="CommentReference"/>
        </w:rPr>
        <w:annotationRef/>
      </w:r>
      <w:r>
        <w:t>-1:  Missing data of which type was excluded, and how many?</w:t>
      </w:r>
    </w:p>
  </w:comment>
  <w:comment w:id="13" w:author="Author" w:initials="A">
    <w:p w14:paraId="15F8A9BB" w14:textId="7096115B" w:rsidR="00261E6E" w:rsidRDefault="00261E6E">
      <w:pPr>
        <w:pStyle w:val="CommentText"/>
      </w:pPr>
      <w:r>
        <w:rPr>
          <w:rStyle w:val="CommentReference"/>
        </w:rPr>
        <w:annotationRef/>
      </w:r>
      <w:r>
        <w:t>-1:  actually for each doubling of bili, not log bili</w:t>
      </w:r>
    </w:p>
  </w:comment>
  <w:comment w:id="14" w:author="Author" w:initials="A">
    <w:p w14:paraId="47EDCEB3" w14:textId="23CB8611" w:rsidR="00261E6E" w:rsidRDefault="00261E6E">
      <w:pPr>
        <w:pStyle w:val="CommentText"/>
      </w:pPr>
      <w:r>
        <w:rPr>
          <w:rStyle w:val="CommentReference"/>
        </w:rPr>
        <w:annotationRef/>
      </w:r>
      <w:r>
        <w:t>8/10</w:t>
      </w:r>
    </w:p>
  </w:comment>
  <w:comment w:id="15" w:author="Author" w:initials="A">
    <w:p w14:paraId="6558E987" w14:textId="6D2A02D5" w:rsidR="00261E6E" w:rsidRDefault="00261E6E">
      <w:pPr>
        <w:pStyle w:val="CommentText"/>
      </w:pPr>
      <w:r>
        <w:rPr>
          <w:rStyle w:val="CommentReference"/>
        </w:rPr>
        <w:annotationRef/>
      </w:r>
      <w:r>
        <w:t>-2:  Describe what this does, not just the commands used.</w:t>
      </w:r>
    </w:p>
  </w:comment>
  <w:comment w:id="16" w:author="Author" w:initials="A">
    <w:p w14:paraId="7FBB8DAD" w14:textId="32D59CD1" w:rsidR="00261E6E" w:rsidRDefault="00261E6E">
      <w:pPr>
        <w:pStyle w:val="CommentText"/>
      </w:pPr>
      <w:r>
        <w:rPr>
          <w:rStyle w:val="CommentReference"/>
        </w:rPr>
        <w:annotationRef/>
      </w:r>
      <w:r>
        <w:t>-3: incorrect interpretation of the output</w:t>
      </w:r>
    </w:p>
  </w:comment>
  <w:comment w:id="17" w:author="Author" w:initials="A">
    <w:p w14:paraId="51E305C7" w14:textId="719FA0C9" w:rsidR="00261E6E" w:rsidRDefault="00261E6E">
      <w:pPr>
        <w:pStyle w:val="CommentText"/>
      </w:pPr>
      <w:r>
        <w:rPr>
          <w:rStyle w:val="CommentReference"/>
        </w:rPr>
        <w:annotationRef/>
      </w:r>
      <w:r>
        <w:t>10/10</w:t>
      </w:r>
    </w:p>
  </w:comment>
  <w:comment w:id="18" w:author="Author" w:initials="A">
    <w:p w14:paraId="55C9DDC8" w14:textId="1A2E7812" w:rsidR="007C40A2" w:rsidRDefault="007C40A2">
      <w:pPr>
        <w:pStyle w:val="CommentText"/>
      </w:pPr>
      <w:r>
        <w:rPr>
          <w:rStyle w:val="CommentReference"/>
        </w:rPr>
        <w:annotationRef/>
      </w:r>
      <w:r>
        <w:t>4/10:  See answer key, I think you are missing the biggest ideas about confounding</w:t>
      </w:r>
    </w:p>
  </w:comment>
  <w:comment w:id="19" w:author="Author" w:initials="A">
    <w:p w14:paraId="03C1177F" w14:textId="526594D7" w:rsidR="007C40A2" w:rsidRDefault="007C40A2">
      <w:pPr>
        <w:pStyle w:val="CommentText"/>
      </w:pPr>
      <w:r>
        <w:rPr>
          <w:rStyle w:val="CommentReference"/>
        </w:rPr>
        <w:annotationRef/>
      </w:r>
      <w:r>
        <w:t>2/10: Not what they were looking for. See answer key</w:t>
      </w:r>
    </w:p>
  </w:comment>
  <w:comment w:id="20" w:author="Author" w:initials="A">
    <w:p w14:paraId="5A6695CC" w14:textId="5210E226" w:rsidR="007C40A2" w:rsidRDefault="007C40A2">
      <w:pPr>
        <w:pStyle w:val="CommentText"/>
      </w:pPr>
      <w:r>
        <w:rPr>
          <w:rStyle w:val="CommentReference"/>
        </w:rPr>
        <w:annotationRef/>
      </w:r>
      <w:r>
        <w:t>5/10</w:t>
      </w:r>
    </w:p>
  </w:comment>
  <w:comment w:id="21" w:author="Author" w:initials="A">
    <w:p w14:paraId="1E0BD69F" w14:textId="641AEAE5" w:rsidR="007C40A2" w:rsidRDefault="007C40A2">
      <w:pPr>
        <w:pStyle w:val="CommentText"/>
      </w:pPr>
      <w:r>
        <w:rPr>
          <w:rStyle w:val="CommentReference"/>
        </w:rPr>
        <w:annotationRef/>
      </w:r>
      <w:r>
        <w:t>-1:  What kind of missing data?</w:t>
      </w:r>
    </w:p>
  </w:comment>
  <w:comment w:id="22" w:author="Author" w:initials="A">
    <w:p w14:paraId="77B24B26" w14:textId="567B7C90" w:rsidR="007C40A2" w:rsidRDefault="007C40A2">
      <w:pPr>
        <w:pStyle w:val="CommentText"/>
      </w:pPr>
      <w:r>
        <w:rPr>
          <w:rStyle w:val="CommentReference"/>
        </w:rPr>
        <w:annotationRef/>
      </w:r>
      <w:r>
        <w:t>-4:  Not the inference they were looking for</w:t>
      </w:r>
    </w:p>
  </w:comment>
  <w:comment w:id="23" w:author="Author" w:initials="A">
    <w:p w14:paraId="6CC0B12E" w14:textId="18D81F97" w:rsidR="007C40A2" w:rsidRDefault="007C40A2">
      <w:pPr>
        <w:pStyle w:val="CommentText"/>
      </w:pPr>
      <w:r>
        <w:rPr>
          <w:rStyle w:val="CommentReference"/>
        </w:rPr>
        <w:annotationRef/>
      </w:r>
      <w:r>
        <w:t>0/10:  See answer key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227C3A" w15:done="0"/>
  <w15:commentEx w15:paraId="5C41F485" w15:done="0"/>
  <w15:commentEx w15:paraId="694E790A" w15:done="0"/>
  <w15:commentEx w15:paraId="028675F7" w15:done="0"/>
  <w15:commentEx w15:paraId="7B682579" w15:done="0"/>
  <w15:commentEx w15:paraId="65727B42" w15:done="0"/>
  <w15:commentEx w15:paraId="73EF7DE5" w15:done="0"/>
  <w15:commentEx w15:paraId="45BDC21C" w15:done="0"/>
  <w15:commentEx w15:paraId="1BCC9932" w15:done="0"/>
  <w15:commentEx w15:paraId="4824CE50" w15:done="0"/>
  <w15:commentEx w15:paraId="1FE446B1" w15:done="0"/>
  <w15:commentEx w15:paraId="787CDC66" w15:done="0"/>
  <w15:commentEx w15:paraId="15F8A9BB" w15:done="0"/>
  <w15:commentEx w15:paraId="47EDCEB3" w15:done="0"/>
  <w15:commentEx w15:paraId="6558E987" w15:done="0"/>
  <w15:commentEx w15:paraId="7FBB8DAD" w15:done="0"/>
  <w15:commentEx w15:paraId="51E305C7" w15:done="0"/>
  <w15:commentEx w15:paraId="55C9DDC8" w15:done="0"/>
  <w15:commentEx w15:paraId="03C1177F" w15:done="0"/>
  <w15:commentEx w15:paraId="5A6695CC" w15:done="0"/>
  <w15:commentEx w15:paraId="1E0BD69F" w15:done="0"/>
  <w15:commentEx w15:paraId="77B24B26" w15:done="0"/>
  <w15:commentEx w15:paraId="6CC0B1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AC1ED" w14:textId="77777777" w:rsidR="00466058" w:rsidRDefault="00466058">
      <w:r>
        <w:separator/>
      </w:r>
    </w:p>
  </w:endnote>
  <w:endnote w:type="continuationSeparator" w:id="0">
    <w:p w14:paraId="718C8BDB" w14:textId="77777777" w:rsidR="00466058" w:rsidRDefault="0046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C0E9A" w14:textId="77777777" w:rsidR="00A97C4D" w:rsidRDefault="00A97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0CB75" w14:textId="77777777" w:rsidR="00A97C4D" w:rsidRDefault="00A97C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F8902" w14:textId="77777777" w:rsidR="00A97C4D" w:rsidRDefault="00A97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7DB55" w14:textId="77777777" w:rsidR="00466058" w:rsidRDefault="00466058">
      <w:r>
        <w:separator/>
      </w:r>
    </w:p>
  </w:footnote>
  <w:footnote w:type="continuationSeparator" w:id="0">
    <w:p w14:paraId="0EFBCF50" w14:textId="77777777" w:rsidR="00466058" w:rsidRDefault="00466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C1CA3" w14:textId="77777777" w:rsidR="00A97C4D" w:rsidRDefault="00A97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1C690" w14:textId="77777777" w:rsidR="004D7832" w:rsidRDefault="004D7832" w:rsidP="002F0282">
    <w:pPr>
      <w:pStyle w:val="Header"/>
    </w:pPr>
    <w:r>
      <w:t>Biost 518 / 515, Winter 2015</w:t>
    </w:r>
    <w:r>
      <w:tab/>
      <w:t>Homework #4</w:t>
    </w:r>
    <w:r>
      <w:tab/>
      <w:t xml:space="preserve">February 2,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7C40A2">
      <w:rPr>
        <w:noProof/>
        <w:snapToGrid w:val="0"/>
      </w:rPr>
      <w:t>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7C40A2">
      <w:rPr>
        <w:noProof/>
        <w:snapToGrid w:val="0"/>
      </w:rPr>
      <w:t>6</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62C5B" w14:textId="77777777" w:rsidR="00A97C4D" w:rsidRDefault="00A97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2DD8"/>
    <w:rsid w:val="00004547"/>
    <w:rsid w:val="00016D91"/>
    <w:rsid w:val="00021A79"/>
    <w:rsid w:val="000263C2"/>
    <w:rsid w:val="0004432C"/>
    <w:rsid w:val="00050FCA"/>
    <w:rsid w:val="00054A42"/>
    <w:rsid w:val="00060C13"/>
    <w:rsid w:val="0006333F"/>
    <w:rsid w:val="000817A7"/>
    <w:rsid w:val="000A3E09"/>
    <w:rsid w:val="000B407E"/>
    <w:rsid w:val="000F52B6"/>
    <w:rsid w:val="000F5479"/>
    <w:rsid w:val="0010428A"/>
    <w:rsid w:val="00115B08"/>
    <w:rsid w:val="00123BBB"/>
    <w:rsid w:val="00125DD5"/>
    <w:rsid w:val="00132AEC"/>
    <w:rsid w:val="00132BA1"/>
    <w:rsid w:val="00140EC9"/>
    <w:rsid w:val="001453AE"/>
    <w:rsid w:val="00160820"/>
    <w:rsid w:val="00165174"/>
    <w:rsid w:val="00195B2D"/>
    <w:rsid w:val="001B4B4B"/>
    <w:rsid w:val="001B502C"/>
    <w:rsid w:val="001D2DC2"/>
    <w:rsid w:val="001E13F6"/>
    <w:rsid w:val="001E36FF"/>
    <w:rsid w:val="001E5158"/>
    <w:rsid w:val="001E79FA"/>
    <w:rsid w:val="001F053D"/>
    <w:rsid w:val="001F135D"/>
    <w:rsid w:val="00202909"/>
    <w:rsid w:val="0021517E"/>
    <w:rsid w:val="00216D86"/>
    <w:rsid w:val="002213A5"/>
    <w:rsid w:val="00225E67"/>
    <w:rsid w:val="00233EA1"/>
    <w:rsid w:val="002365E3"/>
    <w:rsid w:val="0024368C"/>
    <w:rsid w:val="002573DF"/>
    <w:rsid w:val="00261CFB"/>
    <w:rsid w:val="00261E6E"/>
    <w:rsid w:val="00273FD1"/>
    <w:rsid w:val="002753EE"/>
    <w:rsid w:val="002777EC"/>
    <w:rsid w:val="00293B4B"/>
    <w:rsid w:val="002A0246"/>
    <w:rsid w:val="002A639F"/>
    <w:rsid w:val="002C1A8F"/>
    <w:rsid w:val="002D5B86"/>
    <w:rsid w:val="002D6762"/>
    <w:rsid w:val="002F0282"/>
    <w:rsid w:val="00320EA1"/>
    <w:rsid w:val="003471E3"/>
    <w:rsid w:val="00353B06"/>
    <w:rsid w:val="0036127B"/>
    <w:rsid w:val="00385CD1"/>
    <w:rsid w:val="003950CE"/>
    <w:rsid w:val="003A3387"/>
    <w:rsid w:val="003A6D85"/>
    <w:rsid w:val="003C0FBE"/>
    <w:rsid w:val="003D7C8C"/>
    <w:rsid w:val="003F3001"/>
    <w:rsid w:val="00410986"/>
    <w:rsid w:val="00410B89"/>
    <w:rsid w:val="00415759"/>
    <w:rsid w:val="0042294F"/>
    <w:rsid w:val="00422D91"/>
    <w:rsid w:val="00443606"/>
    <w:rsid w:val="004514C0"/>
    <w:rsid w:val="00452963"/>
    <w:rsid w:val="00465894"/>
    <w:rsid w:val="00466058"/>
    <w:rsid w:val="004664FD"/>
    <w:rsid w:val="00474EF6"/>
    <w:rsid w:val="004769D3"/>
    <w:rsid w:val="0047716B"/>
    <w:rsid w:val="004C0115"/>
    <w:rsid w:val="004C4390"/>
    <w:rsid w:val="004D08C7"/>
    <w:rsid w:val="004D1289"/>
    <w:rsid w:val="004D1292"/>
    <w:rsid w:val="004D7832"/>
    <w:rsid w:val="00501EC4"/>
    <w:rsid w:val="0050703D"/>
    <w:rsid w:val="00510B41"/>
    <w:rsid w:val="00511C56"/>
    <w:rsid w:val="00523AA4"/>
    <w:rsid w:val="00531E0E"/>
    <w:rsid w:val="00544C63"/>
    <w:rsid w:val="00561EE6"/>
    <w:rsid w:val="00567523"/>
    <w:rsid w:val="00586C10"/>
    <w:rsid w:val="005A0B72"/>
    <w:rsid w:val="005A11A6"/>
    <w:rsid w:val="005B14E3"/>
    <w:rsid w:val="005C35DF"/>
    <w:rsid w:val="005C5726"/>
    <w:rsid w:val="005D49E1"/>
    <w:rsid w:val="005D7E06"/>
    <w:rsid w:val="005E10EC"/>
    <w:rsid w:val="005E415C"/>
    <w:rsid w:val="006138F9"/>
    <w:rsid w:val="006152BE"/>
    <w:rsid w:val="0062265F"/>
    <w:rsid w:val="006268D1"/>
    <w:rsid w:val="006336A9"/>
    <w:rsid w:val="00634D47"/>
    <w:rsid w:val="0063762C"/>
    <w:rsid w:val="006411E2"/>
    <w:rsid w:val="00641F1E"/>
    <w:rsid w:val="00642C2C"/>
    <w:rsid w:val="006508C5"/>
    <w:rsid w:val="00654208"/>
    <w:rsid w:val="00656738"/>
    <w:rsid w:val="006628C1"/>
    <w:rsid w:val="00666546"/>
    <w:rsid w:val="00673A26"/>
    <w:rsid w:val="0067619B"/>
    <w:rsid w:val="00676B73"/>
    <w:rsid w:val="00685137"/>
    <w:rsid w:val="00693DD6"/>
    <w:rsid w:val="006A5F1B"/>
    <w:rsid w:val="006B1E11"/>
    <w:rsid w:val="006B525A"/>
    <w:rsid w:val="006C49EE"/>
    <w:rsid w:val="006E16C5"/>
    <w:rsid w:val="006E5205"/>
    <w:rsid w:val="00705ECB"/>
    <w:rsid w:val="00730780"/>
    <w:rsid w:val="007356DE"/>
    <w:rsid w:val="007366CC"/>
    <w:rsid w:val="00741AE1"/>
    <w:rsid w:val="007506C5"/>
    <w:rsid w:val="00751474"/>
    <w:rsid w:val="007518FF"/>
    <w:rsid w:val="00755DC2"/>
    <w:rsid w:val="00762DE6"/>
    <w:rsid w:val="00767D4A"/>
    <w:rsid w:val="00785A87"/>
    <w:rsid w:val="007A614B"/>
    <w:rsid w:val="007B1360"/>
    <w:rsid w:val="007B4E60"/>
    <w:rsid w:val="007C40A2"/>
    <w:rsid w:val="00836540"/>
    <w:rsid w:val="008405DC"/>
    <w:rsid w:val="00852CBF"/>
    <w:rsid w:val="0086118B"/>
    <w:rsid w:val="00863551"/>
    <w:rsid w:val="00866D32"/>
    <w:rsid w:val="0087636D"/>
    <w:rsid w:val="008A45D9"/>
    <w:rsid w:val="008B246D"/>
    <w:rsid w:val="008B53CA"/>
    <w:rsid w:val="008C509F"/>
    <w:rsid w:val="008E1C1E"/>
    <w:rsid w:val="008F73A3"/>
    <w:rsid w:val="00905BC9"/>
    <w:rsid w:val="00905E82"/>
    <w:rsid w:val="00927CF6"/>
    <w:rsid w:val="0094708F"/>
    <w:rsid w:val="00986EA0"/>
    <w:rsid w:val="00995B4F"/>
    <w:rsid w:val="009B2370"/>
    <w:rsid w:val="009C542B"/>
    <w:rsid w:val="009D5804"/>
    <w:rsid w:val="009F413F"/>
    <w:rsid w:val="00A015FF"/>
    <w:rsid w:val="00A0233D"/>
    <w:rsid w:val="00A05CD5"/>
    <w:rsid w:val="00A31D8C"/>
    <w:rsid w:val="00A354E9"/>
    <w:rsid w:val="00A4205F"/>
    <w:rsid w:val="00A44034"/>
    <w:rsid w:val="00A459C8"/>
    <w:rsid w:val="00A53924"/>
    <w:rsid w:val="00A620A3"/>
    <w:rsid w:val="00A86F93"/>
    <w:rsid w:val="00A97C4D"/>
    <w:rsid w:val="00AD2071"/>
    <w:rsid w:val="00AD29C0"/>
    <w:rsid w:val="00AF17C0"/>
    <w:rsid w:val="00AF5A1A"/>
    <w:rsid w:val="00B04F23"/>
    <w:rsid w:val="00B12B84"/>
    <w:rsid w:val="00B15F79"/>
    <w:rsid w:val="00B17CB5"/>
    <w:rsid w:val="00B212A5"/>
    <w:rsid w:val="00B42150"/>
    <w:rsid w:val="00B43F52"/>
    <w:rsid w:val="00B457A7"/>
    <w:rsid w:val="00B4705C"/>
    <w:rsid w:val="00B47B1B"/>
    <w:rsid w:val="00B70375"/>
    <w:rsid w:val="00B77108"/>
    <w:rsid w:val="00B77284"/>
    <w:rsid w:val="00B814FA"/>
    <w:rsid w:val="00BA1862"/>
    <w:rsid w:val="00BB2FED"/>
    <w:rsid w:val="00BC4CA8"/>
    <w:rsid w:val="00BF5CB8"/>
    <w:rsid w:val="00C00601"/>
    <w:rsid w:val="00C10F4B"/>
    <w:rsid w:val="00C15CDE"/>
    <w:rsid w:val="00C16A95"/>
    <w:rsid w:val="00C34EBC"/>
    <w:rsid w:val="00C525D7"/>
    <w:rsid w:val="00C55091"/>
    <w:rsid w:val="00C57D52"/>
    <w:rsid w:val="00C6102A"/>
    <w:rsid w:val="00C642DD"/>
    <w:rsid w:val="00C64E34"/>
    <w:rsid w:val="00C74FEC"/>
    <w:rsid w:val="00C8626E"/>
    <w:rsid w:val="00C93A29"/>
    <w:rsid w:val="00C96813"/>
    <w:rsid w:val="00CA4C08"/>
    <w:rsid w:val="00CC37A7"/>
    <w:rsid w:val="00CD5115"/>
    <w:rsid w:val="00D07350"/>
    <w:rsid w:val="00D16C04"/>
    <w:rsid w:val="00D31614"/>
    <w:rsid w:val="00D72BD7"/>
    <w:rsid w:val="00D82C7D"/>
    <w:rsid w:val="00DA4CD5"/>
    <w:rsid w:val="00DC01FF"/>
    <w:rsid w:val="00DD6B80"/>
    <w:rsid w:val="00DE3817"/>
    <w:rsid w:val="00DF2098"/>
    <w:rsid w:val="00E01E38"/>
    <w:rsid w:val="00E03960"/>
    <w:rsid w:val="00E5419F"/>
    <w:rsid w:val="00E56588"/>
    <w:rsid w:val="00E642DA"/>
    <w:rsid w:val="00E72E02"/>
    <w:rsid w:val="00E741C7"/>
    <w:rsid w:val="00E81610"/>
    <w:rsid w:val="00E82587"/>
    <w:rsid w:val="00E91856"/>
    <w:rsid w:val="00ED47B6"/>
    <w:rsid w:val="00F15D49"/>
    <w:rsid w:val="00F25A87"/>
    <w:rsid w:val="00F5078F"/>
    <w:rsid w:val="00F507B9"/>
    <w:rsid w:val="00F538AE"/>
    <w:rsid w:val="00F53CC1"/>
    <w:rsid w:val="00F62E43"/>
    <w:rsid w:val="00FA2C0B"/>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89C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72E02"/>
    <w:rPr>
      <w:b/>
      <w:bCs/>
    </w:rPr>
  </w:style>
  <w:style w:type="character" w:styleId="CommentReference">
    <w:name w:val="annotation reference"/>
    <w:basedOn w:val="DefaultParagraphFont"/>
    <w:rsid w:val="007A614B"/>
    <w:rPr>
      <w:sz w:val="16"/>
      <w:szCs w:val="16"/>
    </w:rPr>
  </w:style>
  <w:style w:type="paragraph" w:styleId="CommentText">
    <w:name w:val="annotation text"/>
    <w:basedOn w:val="Normal"/>
    <w:link w:val="CommentTextChar"/>
    <w:rsid w:val="007A614B"/>
  </w:style>
  <w:style w:type="character" w:customStyle="1" w:styleId="CommentTextChar">
    <w:name w:val="Comment Text Char"/>
    <w:basedOn w:val="DefaultParagraphFont"/>
    <w:link w:val="CommentText"/>
    <w:rsid w:val="007A614B"/>
  </w:style>
  <w:style w:type="paragraph" w:styleId="CommentSubject">
    <w:name w:val="annotation subject"/>
    <w:basedOn w:val="CommentText"/>
    <w:next w:val="CommentText"/>
    <w:link w:val="CommentSubjectChar"/>
    <w:rsid w:val="007A614B"/>
    <w:rPr>
      <w:b/>
      <w:bCs/>
    </w:rPr>
  </w:style>
  <w:style w:type="character" w:customStyle="1" w:styleId="CommentSubjectChar">
    <w:name w:val="Comment Subject Char"/>
    <w:basedOn w:val="CommentTextChar"/>
    <w:link w:val="CommentSubject"/>
    <w:rsid w:val="007A614B"/>
    <w:rPr>
      <w:b/>
      <w:bCs/>
    </w:rPr>
  </w:style>
  <w:style w:type="paragraph" w:styleId="BalloonText">
    <w:name w:val="Balloon Text"/>
    <w:basedOn w:val="Normal"/>
    <w:link w:val="BalloonTextChar"/>
    <w:rsid w:val="007A614B"/>
    <w:rPr>
      <w:rFonts w:ascii="Segoe UI" w:hAnsi="Segoe UI" w:cs="Segoe UI"/>
      <w:sz w:val="18"/>
      <w:szCs w:val="18"/>
    </w:rPr>
  </w:style>
  <w:style w:type="character" w:customStyle="1" w:styleId="BalloonTextChar">
    <w:name w:val="Balloon Text Char"/>
    <w:basedOn w:val="DefaultParagraphFont"/>
    <w:link w:val="BalloonText"/>
    <w:rsid w:val="007A6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235165236">
      <w:bodyDiv w:val="1"/>
      <w:marLeft w:val="0"/>
      <w:marRight w:val="0"/>
      <w:marTop w:val="0"/>
      <w:marBottom w:val="0"/>
      <w:divBdr>
        <w:top w:val="none" w:sz="0" w:space="0" w:color="auto"/>
        <w:left w:val="none" w:sz="0" w:space="0" w:color="auto"/>
        <w:bottom w:val="none" w:sz="0" w:space="0" w:color="auto"/>
        <w:right w:val="none" w:sz="0" w:space="0" w:color="auto"/>
      </w:divBdr>
    </w:div>
    <w:div w:id="1323317075">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2015-02-22T18:46:00Z</dcterms:created>
  <dcterms:modified xsi:type="dcterms:W3CDTF">2015-02-22T20:15:00Z</dcterms:modified>
</cp:coreProperties>
</file>