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553DA" w14:textId="77777777" w:rsidR="00C93A29" w:rsidRDefault="002F0282" w:rsidP="002F0282">
      <w:pPr>
        <w:autoSpaceDE w:val="0"/>
        <w:autoSpaceDN w:val="0"/>
        <w:adjustRightInd w:val="0"/>
        <w:jc w:val="center"/>
        <w:rPr>
          <w:b/>
          <w:color w:val="000000"/>
          <w:sz w:val="22"/>
          <w:szCs w:val="22"/>
        </w:rPr>
      </w:pPr>
      <w:r>
        <w:rPr>
          <w:b/>
          <w:color w:val="000000"/>
          <w:sz w:val="22"/>
          <w:szCs w:val="22"/>
        </w:rPr>
        <w:t>Biost 518</w:t>
      </w:r>
      <w:r w:rsidR="00C93A29" w:rsidRPr="0036127B">
        <w:rPr>
          <w:b/>
          <w:color w:val="000000"/>
          <w:sz w:val="22"/>
          <w:szCs w:val="22"/>
        </w:rPr>
        <w:t xml:space="preserve">: </w:t>
      </w:r>
      <w:r>
        <w:rPr>
          <w:b/>
          <w:color w:val="000000"/>
          <w:sz w:val="22"/>
          <w:szCs w:val="22"/>
        </w:rPr>
        <w:t>Applied Biostatistics II</w:t>
      </w:r>
    </w:p>
    <w:p w14:paraId="48CE8B5E" w14:textId="77777777" w:rsidR="002F0282" w:rsidRPr="0036127B" w:rsidRDefault="002F0282" w:rsidP="002F0282">
      <w:pPr>
        <w:autoSpaceDE w:val="0"/>
        <w:autoSpaceDN w:val="0"/>
        <w:adjustRightInd w:val="0"/>
        <w:jc w:val="center"/>
        <w:rPr>
          <w:b/>
          <w:color w:val="000000"/>
          <w:sz w:val="22"/>
          <w:szCs w:val="22"/>
        </w:rPr>
      </w:pPr>
      <w:r>
        <w:rPr>
          <w:b/>
          <w:color w:val="000000"/>
          <w:sz w:val="22"/>
          <w:szCs w:val="22"/>
        </w:rPr>
        <w:t>Biost 515: Biostatistics II</w:t>
      </w:r>
    </w:p>
    <w:p w14:paraId="36C55F54"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6A5F1B">
        <w:rPr>
          <w:color w:val="000000"/>
          <w:sz w:val="22"/>
          <w:szCs w:val="22"/>
        </w:rPr>
        <w:t>Winter 2015</w:t>
      </w:r>
    </w:p>
    <w:p w14:paraId="4CE6EC9C" w14:textId="77777777" w:rsidR="00C93A29" w:rsidRPr="0036127B" w:rsidRDefault="00C93A29" w:rsidP="00C93A29">
      <w:pPr>
        <w:autoSpaceDE w:val="0"/>
        <w:autoSpaceDN w:val="0"/>
        <w:adjustRightInd w:val="0"/>
        <w:jc w:val="center"/>
        <w:rPr>
          <w:b/>
          <w:color w:val="000000"/>
          <w:sz w:val="22"/>
          <w:szCs w:val="22"/>
        </w:rPr>
      </w:pPr>
    </w:p>
    <w:p w14:paraId="5210075E" w14:textId="77777777" w:rsidR="00C93A29" w:rsidRPr="0036127B" w:rsidRDefault="00F538AE" w:rsidP="00C93A29">
      <w:pPr>
        <w:autoSpaceDE w:val="0"/>
        <w:autoSpaceDN w:val="0"/>
        <w:adjustRightInd w:val="0"/>
        <w:jc w:val="center"/>
        <w:rPr>
          <w:b/>
          <w:color w:val="000000"/>
          <w:sz w:val="22"/>
          <w:szCs w:val="22"/>
        </w:rPr>
      </w:pPr>
      <w:r>
        <w:rPr>
          <w:b/>
          <w:color w:val="000000"/>
          <w:sz w:val="22"/>
          <w:szCs w:val="22"/>
        </w:rPr>
        <w:t>Homework #4</w:t>
      </w:r>
    </w:p>
    <w:p w14:paraId="4BF7942A" w14:textId="77777777" w:rsidR="00C93A29" w:rsidRPr="0036127B" w:rsidRDefault="006A5F1B" w:rsidP="00C93A29">
      <w:pPr>
        <w:autoSpaceDE w:val="0"/>
        <w:autoSpaceDN w:val="0"/>
        <w:adjustRightInd w:val="0"/>
        <w:jc w:val="center"/>
        <w:rPr>
          <w:color w:val="000000"/>
          <w:sz w:val="22"/>
          <w:szCs w:val="22"/>
        </w:rPr>
      </w:pPr>
      <w:r>
        <w:rPr>
          <w:color w:val="000000"/>
          <w:sz w:val="22"/>
          <w:szCs w:val="22"/>
        </w:rPr>
        <w:t>February 2, 2015</w:t>
      </w:r>
    </w:p>
    <w:p w14:paraId="73FBE220" w14:textId="77777777" w:rsidR="00261CFB" w:rsidRPr="009D5804" w:rsidRDefault="00261CFB" w:rsidP="00261CFB">
      <w:pPr>
        <w:autoSpaceDE w:val="0"/>
        <w:autoSpaceDN w:val="0"/>
        <w:adjustRightInd w:val="0"/>
        <w:rPr>
          <w:sz w:val="22"/>
          <w:szCs w:val="22"/>
          <w:lang w:eastAsia="zh-CN"/>
        </w:rPr>
      </w:pPr>
    </w:p>
    <w:p w14:paraId="211EE1C9" w14:textId="77777777" w:rsidR="004D7832" w:rsidRDefault="004D7832" w:rsidP="00F538AE">
      <w:pPr>
        <w:numPr>
          <w:ilvl w:val="0"/>
          <w:numId w:val="19"/>
        </w:numPr>
        <w:autoSpaceDE w:val="0"/>
        <w:autoSpaceDN w:val="0"/>
        <w:adjustRightInd w:val="0"/>
        <w:spacing w:after="120"/>
        <w:rPr>
          <w:sz w:val="22"/>
          <w:szCs w:val="22"/>
        </w:rPr>
      </w:pPr>
      <w:r>
        <w:rPr>
          <w:sz w:val="22"/>
          <w:szCs w:val="22"/>
        </w:rPr>
        <w:t>Provide suitable descriptive statistics pertinent to the scientific questions addressed in this homework.</w:t>
      </w:r>
    </w:p>
    <w:p w14:paraId="38C88EBF" w14:textId="77777777" w:rsidR="00434BEA" w:rsidRPr="00FA7CDA" w:rsidRDefault="000C57F4" w:rsidP="00876315">
      <w:pPr>
        <w:autoSpaceDE w:val="0"/>
        <w:autoSpaceDN w:val="0"/>
        <w:adjustRightInd w:val="0"/>
        <w:spacing w:after="120"/>
        <w:rPr>
          <w:b/>
          <w:sz w:val="22"/>
          <w:szCs w:val="22"/>
          <w:lang w:eastAsia="zh-CN"/>
        </w:rPr>
      </w:pPr>
      <w:r w:rsidRPr="00FA7CDA">
        <w:rPr>
          <w:b/>
          <w:sz w:val="22"/>
          <w:szCs w:val="22"/>
        </w:rPr>
        <w:t xml:space="preserve">Ans: </w:t>
      </w:r>
      <w:r w:rsidR="00790D76" w:rsidRPr="00FA7CDA">
        <w:rPr>
          <w:b/>
          <w:sz w:val="22"/>
          <w:szCs w:val="22"/>
        </w:rPr>
        <w:t xml:space="preserve">Method: </w:t>
      </w:r>
      <w:r w:rsidR="00B54419" w:rsidRPr="00FA7CDA">
        <w:rPr>
          <w:b/>
          <w:sz w:val="22"/>
          <w:szCs w:val="22"/>
        </w:rPr>
        <w:t>The scientific questions of this homework mai</w:t>
      </w:r>
      <w:r w:rsidR="00F43F9F" w:rsidRPr="00FA7CDA">
        <w:rPr>
          <w:b/>
          <w:sz w:val="22"/>
          <w:szCs w:val="22"/>
        </w:rPr>
        <w:t>nly focus on the association between all-</w:t>
      </w:r>
      <w:r w:rsidRPr="00FA7CDA">
        <w:rPr>
          <w:b/>
          <w:sz w:val="22"/>
          <w:szCs w:val="22"/>
        </w:rPr>
        <w:t xml:space="preserve">cause mortality and </w:t>
      </w:r>
      <w:r w:rsidR="00A42103" w:rsidRPr="00FA7CDA">
        <w:rPr>
          <w:b/>
          <w:sz w:val="22"/>
          <w:szCs w:val="22"/>
        </w:rPr>
        <w:t xml:space="preserve">serum bilirubin. Only a part of the variables of the "liver.txt" dataset </w:t>
      </w:r>
      <w:r w:rsidR="00FF4143" w:rsidRPr="00FA7CDA">
        <w:rPr>
          <w:b/>
          <w:sz w:val="22"/>
          <w:szCs w:val="22"/>
        </w:rPr>
        <w:t>are of interest, which include</w:t>
      </w:r>
      <w:r w:rsidR="00D203E4" w:rsidRPr="00FA7CDA">
        <w:rPr>
          <w:b/>
          <w:sz w:val="22"/>
          <w:szCs w:val="22"/>
        </w:rPr>
        <w:t xml:space="preserve"> three </w:t>
      </w:r>
      <w:r w:rsidR="004A7AAF" w:rsidRPr="00FA7CDA">
        <w:rPr>
          <w:b/>
          <w:sz w:val="22"/>
          <w:szCs w:val="22"/>
        </w:rPr>
        <w:t>continuous variable</w:t>
      </w:r>
      <w:r w:rsidR="00F77D1D" w:rsidRPr="00FA7CDA">
        <w:rPr>
          <w:b/>
          <w:sz w:val="22"/>
          <w:szCs w:val="22"/>
        </w:rPr>
        <w:t>s</w:t>
      </w:r>
      <w:r w:rsidR="004A7AAF" w:rsidRPr="00FA7CDA">
        <w:rPr>
          <w:b/>
          <w:sz w:val="22"/>
          <w:szCs w:val="22"/>
        </w:rPr>
        <w:t xml:space="preserve"> </w:t>
      </w:r>
      <w:r w:rsidR="00FF4143" w:rsidRPr="00FA7CDA">
        <w:rPr>
          <w:b/>
          <w:sz w:val="22"/>
          <w:szCs w:val="22"/>
        </w:rPr>
        <w:t>(</w:t>
      </w:r>
      <w:r w:rsidR="004A7AAF" w:rsidRPr="00FA7CDA">
        <w:rPr>
          <w:b/>
          <w:sz w:val="22"/>
          <w:szCs w:val="22"/>
        </w:rPr>
        <w:t xml:space="preserve">age, </w:t>
      </w:r>
      <w:r w:rsidR="001C58AE" w:rsidRPr="00FA7CDA">
        <w:rPr>
          <w:b/>
          <w:sz w:val="22"/>
          <w:szCs w:val="22"/>
        </w:rPr>
        <w:t>serum bilirubin</w:t>
      </w:r>
      <w:r w:rsidR="0048176D" w:rsidRPr="00FA7CDA">
        <w:rPr>
          <w:b/>
          <w:sz w:val="22"/>
          <w:szCs w:val="22"/>
        </w:rPr>
        <w:t xml:space="preserve"> level</w:t>
      </w:r>
      <w:r w:rsidR="001C58AE" w:rsidRPr="00FA7CDA">
        <w:rPr>
          <w:b/>
          <w:sz w:val="22"/>
          <w:szCs w:val="22"/>
        </w:rPr>
        <w:t xml:space="preserve">, </w:t>
      </w:r>
      <w:r w:rsidR="00242389" w:rsidRPr="00FA7CDA">
        <w:rPr>
          <w:b/>
          <w:sz w:val="22"/>
          <w:szCs w:val="22"/>
        </w:rPr>
        <w:t>observation time</w:t>
      </w:r>
      <w:r w:rsidR="00FF4143" w:rsidRPr="00FA7CDA">
        <w:rPr>
          <w:b/>
          <w:sz w:val="22"/>
          <w:szCs w:val="22"/>
        </w:rPr>
        <w:t>)</w:t>
      </w:r>
      <w:r w:rsidR="00D203E4" w:rsidRPr="00FA7CDA">
        <w:rPr>
          <w:b/>
          <w:sz w:val="22"/>
          <w:szCs w:val="22"/>
        </w:rPr>
        <w:t xml:space="preserve">, </w:t>
      </w:r>
      <w:r w:rsidR="00FF4143" w:rsidRPr="00FA7CDA">
        <w:rPr>
          <w:b/>
          <w:sz w:val="22"/>
          <w:szCs w:val="22"/>
        </w:rPr>
        <w:t xml:space="preserve">and </w:t>
      </w:r>
      <w:r w:rsidR="00737214" w:rsidRPr="00FA7CDA">
        <w:rPr>
          <w:b/>
          <w:sz w:val="22"/>
          <w:szCs w:val="22"/>
        </w:rPr>
        <w:t xml:space="preserve">3 </w:t>
      </w:r>
      <w:r w:rsidR="008F590D" w:rsidRPr="00FA7CDA">
        <w:rPr>
          <w:b/>
          <w:sz w:val="22"/>
          <w:szCs w:val="22"/>
        </w:rPr>
        <w:t>binary variables (sex, censore</w:t>
      </w:r>
      <w:r w:rsidR="003B58D8" w:rsidRPr="00FA7CDA">
        <w:rPr>
          <w:b/>
          <w:sz w:val="22"/>
          <w:szCs w:val="22"/>
        </w:rPr>
        <w:t>d status, treatment assignment</w:t>
      </w:r>
      <w:r w:rsidR="008F590D" w:rsidRPr="00FA7CDA">
        <w:rPr>
          <w:b/>
          <w:sz w:val="22"/>
          <w:szCs w:val="22"/>
        </w:rPr>
        <w:t>)</w:t>
      </w:r>
      <w:r w:rsidR="0089089C" w:rsidRPr="00FA7CDA">
        <w:rPr>
          <w:b/>
          <w:sz w:val="22"/>
          <w:szCs w:val="22"/>
        </w:rPr>
        <w:t>.</w:t>
      </w:r>
      <w:r w:rsidR="009F66C7" w:rsidRPr="00FA7CDA">
        <w:rPr>
          <w:b/>
          <w:sz w:val="22"/>
          <w:szCs w:val="22"/>
        </w:rPr>
        <w:t xml:space="preserve"> </w:t>
      </w:r>
      <w:r w:rsidR="00EC0B57" w:rsidRPr="00FA7CDA">
        <w:rPr>
          <w:b/>
          <w:sz w:val="22"/>
          <w:szCs w:val="22"/>
        </w:rPr>
        <w:t xml:space="preserve">Among these variables of interest, </w:t>
      </w:r>
      <w:r w:rsidR="00B07635" w:rsidRPr="00FA7CDA">
        <w:rPr>
          <w:b/>
          <w:sz w:val="22"/>
          <w:szCs w:val="22"/>
        </w:rPr>
        <w:t>a</w:t>
      </w:r>
      <w:r w:rsidR="008172F0" w:rsidRPr="00FA7CDA">
        <w:rPr>
          <w:b/>
          <w:sz w:val="22"/>
          <w:szCs w:val="22"/>
        </w:rPr>
        <w:t>ge</w:t>
      </w:r>
      <w:r w:rsidR="005A0B5C" w:rsidRPr="00FA7CDA">
        <w:rPr>
          <w:b/>
          <w:sz w:val="22"/>
          <w:szCs w:val="22"/>
        </w:rPr>
        <w:t xml:space="preserve"> and </w:t>
      </w:r>
      <w:r w:rsidR="006D7769" w:rsidRPr="00FA7CDA">
        <w:rPr>
          <w:b/>
          <w:sz w:val="22"/>
          <w:szCs w:val="22"/>
        </w:rPr>
        <w:t>sex</w:t>
      </w:r>
      <w:r w:rsidR="00E77980" w:rsidRPr="00FA7CDA">
        <w:rPr>
          <w:b/>
          <w:sz w:val="22"/>
          <w:szCs w:val="22"/>
        </w:rPr>
        <w:t xml:space="preserve"> </w:t>
      </w:r>
      <w:r w:rsidR="00FA5A3E" w:rsidRPr="00FA7CDA">
        <w:rPr>
          <w:b/>
          <w:sz w:val="22"/>
          <w:szCs w:val="22"/>
        </w:rPr>
        <w:t xml:space="preserve">are known to </w:t>
      </w:r>
      <w:r w:rsidR="00820F38" w:rsidRPr="00FA7CDA">
        <w:rPr>
          <w:b/>
          <w:sz w:val="22"/>
          <w:szCs w:val="22"/>
        </w:rPr>
        <w:t>associate</w:t>
      </w:r>
      <w:r w:rsidR="0048176D" w:rsidRPr="00FA7CDA">
        <w:rPr>
          <w:b/>
          <w:sz w:val="22"/>
          <w:szCs w:val="22"/>
        </w:rPr>
        <w:t xml:space="preserve"> with</w:t>
      </w:r>
      <w:r w:rsidR="002E78EE" w:rsidRPr="00FA7CDA">
        <w:rPr>
          <w:b/>
          <w:sz w:val="22"/>
          <w:szCs w:val="22"/>
        </w:rPr>
        <w:t xml:space="preserve"> the concentration of </w:t>
      </w:r>
      <w:r w:rsidR="00D35197" w:rsidRPr="00FA7CDA">
        <w:rPr>
          <w:b/>
          <w:sz w:val="22"/>
          <w:szCs w:val="22"/>
        </w:rPr>
        <w:t xml:space="preserve">serum bilirubin, </w:t>
      </w:r>
      <w:r w:rsidR="00DE15E6" w:rsidRPr="00FA7CDA">
        <w:rPr>
          <w:b/>
          <w:sz w:val="22"/>
          <w:szCs w:val="22"/>
        </w:rPr>
        <w:t xml:space="preserve">and also casually associated with </w:t>
      </w:r>
      <w:r w:rsidR="00987F83" w:rsidRPr="00FA7CDA">
        <w:rPr>
          <w:b/>
          <w:sz w:val="22"/>
          <w:szCs w:val="22"/>
        </w:rPr>
        <w:t xml:space="preserve">mortality. Hence age and sex are potential confounder/precision variable. </w:t>
      </w:r>
      <w:r w:rsidR="00E802ED" w:rsidRPr="00FA7CDA">
        <w:rPr>
          <w:b/>
          <w:sz w:val="22"/>
          <w:szCs w:val="22"/>
        </w:rPr>
        <w:t xml:space="preserve"> </w:t>
      </w:r>
      <w:r w:rsidR="004B70D1" w:rsidRPr="00FA7CDA">
        <w:rPr>
          <w:b/>
          <w:sz w:val="22"/>
          <w:szCs w:val="22"/>
        </w:rPr>
        <w:t>As this dataset is from a randomized clinical trial</w:t>
      </w:r>
      <w:r w:rsidR="00B0116D" w:rsidRPr="00FA7CDA">
        <w:rPr>
          <w:b/>
          <w:sz w:val="22"/>
          <w:szCs w:val="22"/>
        </w:rPr>
        <w:t xml:space="preserve">, intervention may </w:t>
      </w:r>
      <w:r w:rsidR="00C476A2" w:rsidRPr="00FA7CDA">
        <w:rPr>
          <w:b/>
          <w:sz w:val="22"/>
          <w:szCs w:val="22"/>
        </w:rPr>
        <w:t>also modify the association between all-cause mortality and serum bilirubin</w:t>
      </w:r>
      <w:r w:rsidR="007B44EA" w:rsidRPr="00FA7CDA">
        <w:rPr>
          <w:b/>
          <w:sz w:val="22"/>
          <w:szCs w:val="22"/>
        </w:rPr>
        <w:t xml:space="preserve">, hence may be a potential effect </w:t>
      </w:r>
      <w:r w:rsidR="00D2148D" w:rsidRPr="00FA7CDA">
        <w:rPr>
          <w:b/>
          <w:sz w:val="22"/>
          <w:szCs w:val="22"/>
        </w:rPr>
        <w:t>modifier</w:t>
      </w:r>
      <w:r w:rsidR="007B44EA" w:rsidRPr="00FA7CDA">
        <w:rPr>
          <w:b/>
          <w:sz w:val="22"/>
          <w:szCs w:val="22"/>
        </w:rPr>
        <w:t>.</w:t>
      </w:r>
    </w:p>
    <w:p w14:paraId="01190E1B" w14:textId="77777777" w:rsidR="00870115" w:rsidRPr="00FA7CDA" w:rsidRDefault="00870115" w:rsidP="00876315">
      <w:pPr>
        <w:autoSpaceDE w:val="0"/>
        <w:autoSpaceDN w:val="0"/>
        <w:adjustRightInd w:val="0"/>
        <w:spacing w:after="120"/>
        <w:rPr>
          <w:b/>
          <w:sz w:val="22"/>
          <w:szCs w:val="22"/>
          <w:lang w:eastAsia="zh-CN"/>
        </w:rPr>
      </w:pPr>
      <w:r w:rsidRPr="00FA7CDA">
        <w:rPr>
          <w:b/>
          <w:sz w:val="22"/>
          <w:szCs w:val="22"/>
          <w:lang w:eastAsia="zh-CN"/>
        </w:rPr>
        <w:t xml:space="preserve">To </w:t>
      </w:r>
      <w:r w:rsidRPr="00FA7CDA">
        <w:rPr>
          <w:rFonts w:hint="eastAsia"/>
          <w:b/>
          <w:sz w:val="22"/>
          <w:szCs w:val="22"/>
          <w:lang w:eastAsia="zh-CN"/>
        </w:rPr>
        <w:t>have a quick glance</w:t>
      </w:r>
      <w:r w:rsidR="001871B6" w:rsidRPr="00FA7CDA">
        <w:rPr>
          <w:rFonts w:hint="eastAsia"/>
          <w:b/>
          <w:sz w:val="22"/>
          <w:szCs w:val="22"/>
          <w:lang w:eastAsia="zh-CN"/>
        </w:rPr>
        <w:t xml:space="preserve"> of the </w:t>
      </w:r>
      <w:r w:rsidR="00685AD4" w:rsidRPr="00FA7CDA">
        <w:rPr>
          <w:rFonts w:hint="eastAsia"/>
          <w:b/>
          <w:sz w:val="22"/>
          <w:szCs w:val="22"/>
          <w:lang w:eastAsia="zh-CN"/>
        </w:rPr>
        <w:t xml:space="preserve">data, we present the </w:t>
      </w:r>
      <w:r w:rsidR="00E22146" w:rsidRPr="00FA7CDA">
        <w:rPr>
          <w:rFonts w:hint="eastAsia"/>
          <w:b/>
          <w:sz w:val="22"/>
          <w:szCs w:val="22"/>
          <w:lang w:eastAsia="zh-CN"/>
        </w:rPr>
        <w:t xml:space="preserve">number of observations, </w:t>
      </w:r>
      <w:r w:rsidR="006830C5" w:rsidRPr="00FA7CDA">
        <w:rPr>
          <w:rFonts w:hint="eastAsia"/>
          <w:b/>
          <w:sz w:val="22"/>
          <w:szCs w:val="22"/>
          <w:lang w:eastAsia="zh-CN"/>
        </w:rPr>
        <w:t>mean, SD, min, max</w:t>
      </w:r>
      <w:r w:rsidR="000169A6" w:rsidRPr="00FA7CDA">
        <w:rPr>
          <w:rFonts w:hint="eastAsia"/>
          <w:b/>
          <w:sz w:val="22"/>
          <w:szCs w:val="22"/>
          <w:lang w:eastAsia="zh-CN"/>
        </w:rPr>
        <w:t xml:space="preserve"> for continuous variables</w:t>
      </w:r>
      <w:r w:rsidR="00132DC1" w:rsidRPr="00FA7CDA">
        <w:rPr>
          <w:b/>
          <w:sz w:val="22"/>
          <w:szCs w:val="22"/>
          <w:lang w:eastAsia="zh-CN"/>
        </w:rPr>
        <w:t>,</w:t>
      </w:r>
      <w:r w:rsidR="000169A6" w:rsidRPr="00FA7CDA">
        <w:rPr>
          <w:rFonts w:hint="eastAsia"/>
          <w:b/>
          <w:sz w:val="22"/>
          <w:szCs w:val="22"/>
          <w:lang w:eastAsia="zh-CN"/>
        </w:rPr>
        <w:t xml:space="preserve"> age and serum bilirubin level, present percentage </w:t>
      </w:r>
      <w:r w:rsidR="00D84BC6" w:rsidRPr="00FA7CDA">
        <w:rPr>
          <w:rFonts w:hint="eastAsia"/>
          <w:b/>
          <w:sz w:val="22"/>
          <w:szCs w:val="22"/>
          <w:lang w:eastAsia="zh-CN"/>
        </w:rPr>
        <w:t>for binary variables</w:t>
      </w:r>
      <w:r w:rsidR="000169A6" w:rsidRPr="00FA7CDA">
        <w:rPr>
          <w:rFonts w:hint="eastAsia"/>
          <w:b/>
          <w:sz w:val="22"/>
          <w:szCs w:val="22"/>
          <w:lang w:eastAsia="zh-CN"/>
        </w:rPr>
        <w:t xml:space="preserve"> </w:t>
      </w:r>
      <w:r w:rsidR="00AB4E34" w:rsidRPr="00FA7CDA">
        <w:rPr>
          <w:rFonts w:hint="eastAsia"/>
          <w:b/>
          <w:sz w:val="22"/>
          <w:szCs w:val="22"/>
          <w:lang w:eastAsia="zh-CN"/>
        </w:rPr>
        <w:t>sex, censored status</w:t>
      </w:r>
      <w:r w:rsidR="009A0EA2" w:rsidRPr="00FA7CDA">
        <w:rPr>
          <w:rFonts w:hint="eastAsia"/>
          <w:b/>
          <w:sz w:val="22"/>
          <w:szCs w:val="22"/>
          <w:lang w:eastAsia="zh-CN"/>
        </w:rPr>
        <w:t xml:space="preserve"> and</w:t>
      </w:r>
      <w:r w:rsidR="002E3719" w:rsidRPr="00FA7CDA">
        <w:rPr>
          <w:rFonts w:hint="eastAsia"/>
          <w:b/>
          <w:sz w:val="22"/>
          <w:szCs w:val="22"/>
          <w:lang w:eastAsia="zh-CN"/>
        </w:rPr>
        <w:t xml:space="preserve"> treatment </w:t>
      </w:r>
      <w:r w:rsidR="00D84BC6" w:rsidRPr="00FA7CDA">
        <w:rPr>
          <w:rFonts w:hint="eastAsia"/>
          <w:b/>
          <w:sz w:val="22"/>
          <w:szCs w:val="22"/>
          <w:lang w:eastAsia="zh-CN"/>
        </w:rPr>
        <w:t>assignment</w:t>
      </w:r>
      <w:r w:rsidR="001D5EB7" w:rsidRPr="00FA7CDA">
        <w:rPr>
          <w:rFonts w:hint="eastAsia"/>
          <w:b/>
          <w:sz w:val="22"/>
          <w:szCs w:val="22"/>
          <w:lang w:eastAsia="zh-CN"/>
        </w:rPr>
        <w:t xml:space="preserve">. </w:t>
      </w:r>
      <w:r w:rsidR="00B117FD" w:rsidRPr="00FA7CDA">
        <w:rPr>
          <w:rFonts w:hint="eastAsia"/>
          <w:b/>
          <w:sz w:val="22"/>
          <w:szCs w:val="22"/>
          <w:lang w:eastAsia="zh-CN"/>
        </w:rPr>
        <w:t>Alt</w:t>
      </w:r>
      <w:r w:rsidR="009A5FAB" w:rsidRPr="00FA7CDA">
        <w:rPr>
          <w:rFonts w:hint="eastAsia"/>
          <w:b/>
          <w:sz w:val="22"/>
          <w:szCs w:val="22"/>
          <w:lang w:eastAsia="zh-CN"/>
        </w:rPr>
        <w:t>hough o</w:t>
      </w:r>
      <w:r w:rsidR="001D5EB7" w:rsidRPr="00FA7CDA">
        <w:rPr>
          <w:rFonts w:hint="eastAsia"/>
          <w:b/>
          <w:sz w:val="22"/>
          <w:szCs w:val="22"/>
          <w:lang w:eastAsia="zh-CN"/>
        </w:rPr>
        <w:t xml:space="preserve">bservation </w:t>
      </w:r>
      <w:r w:rsidR="00636D38" w:rsidRPr="00FA7CDA">
        <w:rPr>
          <w:rFonts w:hint="eastAsia"/>
          <w:b/>
          <w:sz w:val="22"/>
          <w:szCs w:val="22"/>
          <w:lang w:eastAsia="zh-CN"/>
        </w:rPr>
        <w:t xml:space="preserve">time is a continuous variable, but we are interested in </w:t>
      </w:r>
      <w:r w:rsidR="00DB61EC" w:rsidRPr="00FA7CDA">
        <w:rPr>
          <w:rFonts w:hint="eastAsia"/>
          <w:b/>
          <w:sz w:val="22"/>
          <w:szCs w:val="22"/>
          <w:lang w:eastAsia="zh-CN"/>
        </w:rPr>
        <w:t>its</w:t>
      </w:r>
      <w:r w:rsidR="00636D38" w:rsidRPr="00FA7CDA">
        <w:rPr>
          <w:rFonts w:hint="eastAsia"/>
          <w:b/>
          <w:sz w:val="22"/>
          <w:szCs w:val="22"/>
          <w:lang w:eastAsia="zh-CN"/>
        </w:rPr>
        <w:t xml:space="preserve"> </w:t>
      </w:r>
      <w:r w:rsidR="004730A3" w:rsidRPr="00FA7CDA">
        <w:rPr>
          <w:b/>
          <w:sz w:val="22"/>
          <w:szCs w:val="22"/>
          <w:lang w:eastAsia="zh-CN"/>
        </w:rPr>
        <w:t>quartiles</w:t>
      </w:r>
      <w:r w:rsidR="00812B10" w:rsidRPr="00FA7CDA">
        <w:rPr>
          <w:rFonts w:hint="eastAsia"/>
          <w:b/>
          <w:sz w:val="22"/>
          <w:szCs w:val="22"/>
          <w:lang w:eastAsia="zh-CN"/>
        </w:rPr>
        <w:t xml:space="preserve"> for understanding the censoring distribution. </w:t>
      </w:r>
      <w:r w:rsidR="00017C22" w:rsidRPr="00FA7CDA">
        <w:rPr>
          <w:rFonts w:hint="eastAsia"/>
          <w:b/>
          <w:sz w:val="22"/>
          <w:szCs w:val="22"/>
          <w:lang w:eastAsia="zh-CN"/>
        </w:rPr>
        <w:t xml:space="preserve">So min, 25%ile, median, </w:t>
      </w:r>
      <w:r w:rsidR="00017C22" w:rsidRPr="00FA7CDA">
        <w:rPr>
          <w:b/>
          <w:sz w:val="22"/>
          <w:szCs w:val="22"/>
          <w:lang w:eastAsia="zh-CN"/>
        </w:rPr>
        <w:t>7</w:t>
      </w:r>
      <w:r w:rsidR="00017C22" w:rsidRPr="00FA7CDA">
        <w:rPr>
          <w:rFonts w:hint="eastAsia"/>
          <w:b/>
          <w:sz w:val="22"/>
          <w:szCs w:val="22"/>
          <w:lang w:eastAsia="zh-CN"/>
        </w:rPr>
        <w:t xml:space="preserve">5%ile, </w:t>
      </w:r>
      <w:r w:rsidR="00017C22" w:rsidRPr="00FA7CDA">
        <w:rPr>
          <w:b/>
          <w:sz w:val="22"/>
          <w:szCs w:val="22"/>
          <w:lang w:eastAsia="zh-CN"/>
        </w:rPr>
        <w:t xml:space="preserve">max are presented for </w:t>
      </w:r>
      <w:r w:rsidR="00CF4DCC" w:rsidRPr="00FA7CDA">
        <w:rPr>
          <w:b/>
          <w:sz w:val="22"/>
          <w:szCs w:val="22"/>
          <w:lang w:eastAsia="zh-CN"/>
        </w:rPr>
        <w:t>observation time.</w:t>
      </w:r>
    </w:p>
    <w:p w14:paraId="393ED7AF" w14:textId="1F16ED52" w:rsidR="00B95054" w:rsidRPr="00FA7CDA" w:rsidRDefault="00613AAC" w:rsidP="00876315">
      <w:pPr>
        <w:autoSpaceDE w:val="0"/>
        <w:autoSpaceDN w:val="0"/>
        <w:adjustRightInd w:val="0"/>
        <w:spacing w:after="120"/>
        <w:rPr>
          <w:b/>
          <w:sz w:val="22"/>
          <w:szCs w:val="22"/>
          <w:lang w:eastAsia="zh-CN"/>
        </w:rPr>
      </w:pPr>
      <w:r w:rsidRPr="00FA7CDA">
        <w:rPr>
          <w:b/>
          <w:sz w:val="22"/>
          <w:szCs w:val="22"/>
          <w:lang w:eastAsia="zh-CN"/>
        </w:rPr>
        <w:t xml:space="preserve">In addition, we stratify the data on </w:t>
      </w:r>
      <w:r w:rsidR="002711EA" w:rsidRPr="00FA7CDA">
        <w:rPr>
          <w:b/>
          <w:sz w:val="22"/>
          <w:szCs w:val="22"/>
          <w:lang w:eastAsia="zh-CN"/>
        </w:rPr>
        <w:t xml:space="preserve">serum </w:t>
      </w:r>
      <w:r w:rsidRPr="00FA7CDA">
        <w:rPr>
          <w:b/>
          <w:sz w:val="22"/>
          <w:szCs w:val="22"/>
          <w:lang w:eastAsia="zh-CN"/>
        </w:rPr>
        <w:t xml:space="preserve">bilirubin </w:t>
      </w:r>
      <w:r w:rsidR="001463F8" w:rsidRPr="00FA7CDA">
        <w:rPr>
          <w:b/>
          <w:sz w:val="22"/>
          <w:szCs w:val="22"/>
          <w:lang w:eastAsia="zh-CN"/>
        </w:rPr>
        <w:t>level</w:t>
      </w:r>
      <w:r w:rsidR="00796FF2" w:rsidRPr="00FA7CDA">
        <w:rPr>
          <w:b/>
          <w:sz w:val="22"/>
          <w:szCs w:val="22"/>
          <w:lang w:eastAsia="zh-CN"/>
        </w:rPr>
        <w:t>s, with intervals chosen to repre</w:t>
      </w:r>
      <w:r w:rsidR="002711EA" w:rsidRPr="00FA7CDA">
        <w:rPr>
          <w:b/>
          <w:sz w:val="22"/>
          <w:szCs w:val="22"/>
          <w:lang w:eastAsia="zh-CN"/>
        </w:rPr>
        <w:t>sent approximate doubling of serum bilirubin</w:t>
      </w:r>
      <w:r w:rsidR="00796FF2" w:rsidRPr="00FA7CDA">
        <w:rPr>
          <w:b/>
          <w:sz w:val="22"/>
          <w:szCs w:val="22"/>
          <w:lang w:eastAsia="zh-CN"/>
        </w:rPr>
        <w:t xml:space="preserve"> levels</w:t>
      </w:r>
      <w:r w:rsidR="00AC13AF" w:rsidRPr="00FA7CDA">
        <w:rPr>
          <w:b/>
          <w:sz w:val="22"/>
          <w:szCs w:val="22"/>
          <w:lang w:eastAsia="zh-CN"/>
        </w:rPr>
        <w:t xml:space="preserve">. </w:t>
      </w:r>
      <w:r w:rsidR="00EB5698" w:rsidRPr="00FA7CDA">
        <w:rPr>
          <w:b/>
          <w:sz w:val="22"/>
          <w:szCs w:val="22"/>
          <w:lang w:eastAsia="zh-CN"/>
        </w:rPr>
        <w:t xml:space="preserve">In each stratum, </w:t>
      </w:r>
      <w:r w:rsidR="002633E6" w:rsidRPr="00FA7CDA">
        <w:rPr>
          <w:rFonts w:hint="eastAsia"/>
          <w:b/>
          <w:sz w:val="22"/>
          <w:szCs w:val="22"/>
          <w:lang w:eastAsia="zh-CN"/>
        </w:rPr>
        <w:t xml:space="preserve">Kaplan-Meier curve, </w:t>
      </w:r>
      <w:r w:rsidR="00155883" w:rsidRPr="00FA7CDA">
        <w:rPr>
          <w:b/>
          <w:sz w:val="22"/>
          <w:szCs w:val="22"/>
          <w:lang w:eastAsia="zh-CN"/>
        </w:rPr>
        <w:t xml:space="preserve">Kaplan-Meier estimates </w:t>
      </w:r>
      <w:r w:rsidR="000C5164" w:rsidRPr="00FA7CDA">
        <w:rPr>
          <w:b/>
          <w:sz w:val="22"/>
          <w:szCs w:val="22"/>
          <w:lang w:eastAsia="zh-CN"/>
        </w:rPr>
        <w:t xml:space="preserve">of the </w:t>
      </w:r>
      <w:r w:rsidR="00124746" w:rsidRPr="00FA7CDA">
        <w:rPr>
          <w:b/>
          <w:sz w:val="22"/>
          <w:szCs w:val="22"/>
          <w:lang w:eastAsia="zh-CN"/>
        </w:rPr>
        <w:t xml:space="preserve">10th, 50th, and 90th </w:t>
      </w:r>
      <w:r w:rsidR="000B4490" w:rsidRPr="00FA7CDA">
        <w:rPr>
          <w:b/>
          <w:sz w:val="22"/>
          <w:szCs w:val="22"/>
          <w:lang w:eastAsia="zh-CN"/>
        </w:rPr>
        <w:t>percentiles</w:t>
      </w:r>
      <w:r w:rsidR="00EF56D4" w:rsidRPr="00FA7CDA">
        <w:rPr>
          <w:b/>
          <w:sz w:val="22"/>
          <w:szCs w:val="22"/>
          <w:lang w:eastAsia="zh-CN"/>
        </w:rPr>
        <w:t xml:space="preserve"> and </w:t>
      </w:r>
      <w:r w:rsidR="00610E8C" w:rsidRPr="00FA7CDA">
        <w:rPr>
          <w:b/>
          <w:sz w:val="22"/>
          <w:szCs w:val="22"/>
          <w:lang w:eastAsia="zh-CN"/>
        </w:rPr>
        <w:t xml:space="preserve">restricted mean are also represented. </w:t>
      </w:r>
    </w:p>
    <w:p w14:paraId="13BAC200" w14:textId="2FB4B670" w:rsidR="00FE7AF0" w:rsidRPr="00FA7CDA" w:rsidRDefault="002A376D" w:rsidP="00FE7AF0">
      <w:pPr>
        <w:autoSpaceDE w:val="0"/>
        <w:autoSpaceDN w:val="0"/>
        <w:adjustRightInd w:val="0"/>
        <w:spacing w:after="120"/>
        <w:rPr>
          <w:b/>
          <w:bCs/>
          <w:sz w:val="22"/>
          <w:szCs w:val="22"/>
          <w:lang w:eastAsia="zh-CN"/>
        </w:rPr>
      </w:pPr>
      <w:r w:rsidRPr="00FA7CDA">
        <w:rPr>
          <w:b/>
          <w:sz w:val="22"/>
          <w:szCs w:val="22"/>
          <w:lang w:eastAsia="zh-CN"/>
        </w:rPr>
        <w:t>Results</w:t>
      </w:r>
      <w:r w:rsidR="00576E64" w:rsidRPr="00FA7CDA">
        <w:rPr>
          <w:b/>
          <w:sz w:val="22"/>
          <w:szCs w:val="22"/>
          <w:lang w:eastAsia="zh-CN"/>
        </w:rPr>
        <w:t>:</w:t>
      </w:r>
      <w:r w:rsidR="00DA5027" w:rsidRPr="00FA7CDA">
        <w:rPr>
          <w:rFonts w:hint="eastAsia"/>
          <w:b/>
          <w:sz w:val="22"/>
          <w:szCs w:val="22"/>
          <w:lang w:eastAsia="zh-CN"/>
        </w:rPr>
        <w:t xml:space="preserve"> In the dataset, the total</w:t>
      </w:r>
      <w:r w:rsidR="00043183" w:rsidRPr="00FA7CDA">
        <w:rPr>
          <w:rFonts w:hint="eastAsia"/>
          <w:b/>
          <w:sz w:val="22"/>
          <w:szCs w:val="22"/>
          <w:lang w:eastAsia="zh-CN"/>
        </w:rPr>
        <w:t xml:space="preserve"> 418</w:t>
      </w:r>
      <w:r w:rsidR="00DA5027" w:rsidRPr="00FA7CDA">
        <w:rPr>
          <w:rFonts w:hint="eastAsia"/>
          <w:b/>
          <w:sz w:val="22"/>
          <w:szCs w:val="22"/>
          <w:lang w:eastAsia="zh-CN"/>
        </w:rPr>
        <w:t xml:space="preserve"> </w:t>
      </w:r>
      <w:r w:rsidR="004C2ABD" w:rsidRPr="00FA7CDA">
        <w:rPr>
          <w:rFonts w:hint="eastAsia"/>
          <w:b/>
          <w:sz w:val="22"/>
          <w:szCs w:val="22"/>
          <w:lang w:eastAsia="zh-CN"/>
        </w:rPr>
        <w:t>subjects are</w:t>
      </w:r>
      <w:r w:rsidR="00043183" w:rsidRPr="00FA7CDA">
        <w:rPr>
          <w:rFonts w:hint="eastAsia"/>
          <w:b/>
          <w:sz w:val="22"/>
          <w:szCs w:val="22"/>
          <w:lang w:eastAsia="zh-CN"/>
        </w:rPr>
        <w:t xml:space="preserve"> followed for all-cause death </w:t>
      </w:r>
      <w:r w:rsidR="00786548" w:rsidRPr="00FA7CDA">
        <w:rPr>
          <w:rFonts w:hint="eastAsia"/>
          <w:b/>
          <w:sz w:val="22"/>
          <w:szCs w:val="22"/>
          <w:lang w:eastAsia="zh-CN"/>
        </w:rPr>
        <w:t xml:space="preserve">for observation time ranging from </w:t>
      </w:r>
      <w:r w:rsidR="00DD473A" w:rsidRPr="00FA7CDA">
        <w:rPr>
          <w:rFonts w:hint="eastAsia"/>
          <w:b/>
          <w:sz w:val="22"/>
          <w:szCs w:val="22"/>
          <w:lang w:eastAsia="zh-CN"/>
        </w:rPr>
        <w:t>0.11</w:t>
      </w:r>
      <w:r w:rsidR="0056734B" w:rsidRPr="00FA7CDA">
        <w:rPr>
          <w:rFonts w:hint="eastAsia"/>
          <w:b/>
          <w:sz w:val="22"/>
          <w:szCs w:val="22"/>
          <w:lang w:eastAsia="zh-CN"/>
        </w:rPr>
        <w:t xml:space="preserve"> to </w:t>
      </w:r>
      <w:r w:rsidR="00DD473A" w:rsidRPr="00FA7CDA">
        <w:rPr>
          <w:b/>
          <w:sz w:val="22"/>
          <w:szCs w:val="22"/>
          <w:lang w:eastAsia="zh-CN"/>
        </w:rPr>
        <w:t>13.14</w:t>
      </w:r>
      <w:r w:rsidR="00217456" w:rsidRPr="00FA7CDA">
        <w:rPr>
          <w:rFonts w:hint="eastAsia"/>
          <w:b/>
          <w:sz w:val="22"/>
          <w:szCs w:val="22"/>
          <w:lang w:eastAsia="zh-CN"/>
        </w:rPr>
        <w:t xml:space="preserve"> year</w:t>
      </w:r>
      <w:r w:rsidR="00DB6D7C" w:rsidRPr="00FA7CDA">
        <w:rPr>
          <w:rFonts w:hint="eastAsia"/>
          <w:b/>
          <w:sz w:val="22"/>
          <w:szCs w:val="22"/>
          <w:lang w:eastAsia="zh-CN"/>
        </w:rPr>
        <w:t>s. There're</w:t>
      </w:r>
      <w:r w:rsidR="00FF013B" w:rsidRPr="00FA7CDA">
        <w:rPr>
          <w:rFonts w:hint="eastAsia"/>
          <w:b/>
          <w:sz w:val="22"/>
          <w:szCs w:val="22"/>
          <w:lang w:eastAsia="zh-CN"/>
        </w:rPr>
        <w:t xml:space="preserve"> </w:t>
      </w:r>
      <w:r w:rsidR="00DB6D7C" w:rsidRPr="00FA7CDA">
        <w:rPr>
          <w:b/>
          <w:sz w:val="22"/>
          <w:szCs w:val="22"/>
          <w:lang w:eastAsia="zh-CN"/>
        </w:rPr>
        <w:t>10</w:t>
      </w:r>
      <w:r w:rsidR="00A60B79" w:rsidRPr="00FA7CDA">
        <w:rPr>
          <w:b/>
          <w:sz w:val="22"/>
          <w:szCs w:val="22"/>
          <w:lang w:eastAsia="zh-CN"/>
        </w:rPr>
        <w:t>6</w:t>
      </w:r>
      <w:r w:rsidR="00FF013B" w:rsidRPr="00FA7CDA">
        <w:rPr>
          <w:rFonts w:hint="eastAsia"/>
          <w:b/>
          <w:sz w:val="22"/>
          <w:szCs w:val="22"/>
          <w:lang w:eastAsia="zh-CN"/>
        </w:rPr>
        <w:t xml:space="preserve"> missing data of </w:t>
      </w:r>
      <w:r w:rsidR="00DB6D7C" w:rsidRPr="00FA7CDA">
        <w:rPr>
          <w:b/>
          <w:sz w:val="22"/>
          <w:szCs w:val="22"/>
          <w:lang w:eastAsia="zh-CN"/>
        </w:rPr>
        <w:t xml:space="preserve">sex at the study enrollment, and no missing data of age, serum bilirubin concentration. </w:t>
      </w:r>
      <w:r w:rsidR="00CA340D" w:rsidRPr="00FA7CDA">
        <w:rPr>
          <w:b/>
          <w:sz w:val="22"/>
          <w:szCs w:val="22"/>
          <w:lang w:eastAsia="zh-CN"/>
        </w:rPr>
        <w:t xml:space="preserve">Among </w:t>
      </w:r>
      <w:r w:rsidR="00CA340D" w:rsidRPr="00FA7CDA">
        <w:rPr>
          <w:b/>
          <w:bCs/>
          <w:sz w:val="22"/>
          <w:szCs w:val="22"/>
          <w:lang w:eastAsia="zh-CN"/>
        </w:rPr>
        <w:t>t</w:t>
      </w:r>
      <w:r w:rsidR="0077713F" w:rsidRPr="00FA7CDA">
        <w:rPr>
          <w:b/>
          <w:bCs/>
          <w:sz w:val="22"/>
          <w:szCs w:val="22"/>
          <w:lang w:eastAsia="zh-CN"/>
        </w:rPr>
        <w:t>he 418</w:t>
      </w:r>
      <w:r w:rsidR="00FE7AF0" w:rsidRPr="00FA7CDA">
        <w:rPr>
          <w:b/>
          <w:bCs/>
          <w:sz w:val="22"/>
          <w:szCs w:val="22"/>
          <w:lang w:eastAsia="zh-CN"/>
        </w:rPr>
        <w:t xml:space="preserve"> subjects with available serum </w:t>
      </w:r>
      <w:r w:rsidR="0010472F" w:rsidRPr="00FA7CDA">
        <w:rPr>
          <w:b/>
          <w:bCs/>
          <w:sz w:val="22"/>
          <w:szCs w:val="22"/>
          <w:lang w:eastAsia="zh-CN"/>
        </w:rPr>
        <w:t>bilirubin</w:t>
      </w:r>
      <w:r w:rsidR="00FE7AF0" w:rsidRPr="00FA7CDA">
        <w:rPr>
          <w:b/>
          <w:bCs/>
          <w:sz w:val="22"/>
          <w:szCs w:val="22"/>
          <w:lang w:eastAsia="zh-CN"/>
        </w:rPr>
        <w:t xml:space="preserve"> </w:t>
      </w:r>
      <w:r w:rsidR="0010472F" w:rsidRPr="00FA7CDA">
        <w:rPr>
          <w:b/>
          <w:bCs/>
          <w:sz w:val="22"/>
          <w:szCs w:val="22"/>
          <w:lang w:eastAsia="zh-CN"/>
        </w:rPr>
        <w:t>levels</w:t>
      </w:r>
      <w:r w:rsidR="00FE7AF0" w:rsidRPr="00FA7CDA">
        <w:rPr>
          <w:b/>
          <w:bCs/>
          <w:sz w:val="22"/>
          <w:szCs w:val="22"/>
          <w:lang w:eastAsia="zh-CN"/>
        </w:rPr>
        <w:t xml:space="preserve"> at enrollment, the mean </w:t>
      </w:r>
      <w:r w:rsidR="00464367" w:rsidRPr="00FA7CDA">
        <w:rPr>
          <w:b/>
          <w:bCs/>
          <w:sz w:val="22"/>
          <w:szCs w:val="22"/>
          <w:lang w:eastAsia="zh-CN"/>
        </w:rPr>
        <w:t>serum bilirubin</w:t>
      </w:r>
      <w:r w:rsidR="00FE7AF0" w:rsidRPr="00FA7CDA">
        <w:rPr>
          <w:b/>
          <w:bCs/>
          <w:sz w:val="22"/>
          <w:szCs w:val="22"/>
          <w:lang w:eastAsia="zh-CN"/>
        </w:rPr>
        <w:t xml:space="preserve"> </w:t>
      </w:r>
      <w:r w:rsidR="00464367" w:rsidRPr="00FA7CDA">
        <w:rPr>
          <w:b/>
          <w:bCs/>
          <w:sz w:val="22"/>
          <w:szCs w:val="22"/>
          <w:lang w:eastAsia="zh-CN"/>
        </w:rPr>
        <w:t>is</w:t>
      </w:r>
      <w:r w:rsidR="00FE7AF0" w:rsidRPr="00FA7CDA">
        <w:rPr>
          <w:b/>
          <w:bCs/>
          <w:sz w:val="22"/>
          <w:szCs w:val="22"/>
          <w:lang w:eastAsia="zh-CN"/>
        </w:rPr>
        <w:t xml:space="preserve"> </w:t>
      </w:r>
      <w:r w:rsidR="005A64E2" w:rsidRPr="00FA7CDA">
        <w:rPr>
          <w:b/>
          <w:bCs/>
          <w:sz w:val="22"/>
          <w:szCs w:val="22"/>
          <w:lang w:eastAsia="zh-CN"/>
        </w:rPr>
        <w:t>3.22</w:t>
      </w:r>
      <w:r w:rsidR="00B0073A" w:rsidRPr="00FA7CDA">
        <w:rPr>
          <w:b/>
          <w:bCs/>
          <w:sz w:val="22"/>
          <w:szCs w:val="22"/>
          <w:lang w:eastAsia="zh-CN"/>
        </w:rPr>
        <w:t xml:space="preserve"> mg/dL (SD 4.41</w:t>
      </w:r>
      <w:r w:rsidR="00FE7AF0" w:rsidRPr="00FA7CDA">
        <w:rPr>
          <w:b/>
          <w:bCs/>
          <w:sz w:val="22"/>
          <w:szCs w:val="22"/>
          <w:lang w:eastAsia="zh-CN"/>
        </w:rPr>
        <w:t xml:space="preserve"> mg/dL).</w:t>
      </w:r>
      <w:r w:rsidR="00297500" w:rsidRPr="00FA7CDA">
        <w:rPr>
          <w:b/>
          <w:bCs/>
          <w:sz w:val="22"/>
          <w:szCs w:val="22"/>
          <w:lang w:eastAsia="zh-CN"/>
        </w:rPr>
        <w:t xml:space="preserve"> Comparing the KM curve</w:t>
      </w:r>
      <w:r w:rsidR="0056417D" w:rsidRPr="00FA7CDA">
        <w:rPr>
          <w:b/>
          <w:bCs/>
          <w:sz w:val="22"/>
          <w:szCs w:val="22"/>
          <w:lang w:eastAsia="zh-CN"/>
        </w:rPr>
        <w:t>s</w:t>
      </w:r>
      <w:r w:rsidR="00297500" w:rsidRPr="00FA7CDA">
        <w:rPr>
          <w:b/>
          <w:bCs/>
          <w:sz w:val="22"/>
          <w:szCs w:val="22"/>
          <w:lang w:eastAsia="zh-CN"/>
        </w:rPr>
        <w:t xml:space="preserve"> of each stratum, the general trend is that </w:t>
      </w:r>
      <w:r w:rsidR="00447D82" w:rsidRPr="00FA7CDA">
        <w:rPr>
          <w:b/>
          <w:bCs/>
          <w:sz w:val="22"/>
          <w:szCs w:val="22"/>
          <w:lang w:eastAsia="zh-CN"/>
        </w:rPr>
        <w:t xml:space="preserve">subjects with </w:t>
      </w:r>
      <w:r w:rsidR="00CC271F" w:rsidRPr="00FA7CDA">
        <w:rPr>
          <w:b/>
          <w:bCs/>
          <w:sz w:val="22"/>
          <w:szCs w:val="22"/>
          <w:lang w:eastAsia="zh-CN"/>
        </w:rPr>
        <w:t xml:space="preserve">higher </w:t>
      </w:r>
      <w:r w:rsidR="00447D82" w:rsidRPr="00FA7CDA">
        <w:rPr>
          <w:b/>
          <w:bCs/>
          <w:sz w:val="22"/>
          <w:szCs w:val="22"/>
          <w:lang w:eastAsia="zh-CN"/>
        </w:rPr>
        <w:t>bilirubin level tend to live shorter</w:t>
      </w:r>
      <w:r w:rsidR="001578EE" w:rsidRPr="00FA7CDA">
        <w:rPr>
          <w:b/>
          <w:bCs/>
          <w:sz w:val="22"/>
          <w:szCs w:val="22"/>
          <w:lang w:eastAsia="zh-CN"/>
        </w:rPr>
        <w:t>.</w:t>
      </w:r>
      <w:r w:rsidR="009248BA" w:rsidRPr="00FA7CDA">
        <w:rPr>
          <w:b/>
          <w:bCs/>
          <w:sz w:val="22"/>
          <w:szCs w:val="22"/>
          <w:lang w:eastAsia="zh-CN"/>
        </w:rPr>
        <w:t xml:space="preserve"> </w:t>
      </w:r>
      <w:r w:rsidR="0011582F" w:rsidRPr="00FA7CDA">
        <w:rPr>
          <w:b/>
          <w:bCs/>
          <w:sz w:val="22"/>
          <w:szCs w:val="22"/>
          <w:lang w:eastAsia="zh-CN"/>
        </w:rPr>
        <w:t xml:space="preserve">The </w:t>
      </w:r>
      <w:r w:rsidR="0011582F" w:rsidRPr="00FA7CDA">
        <w:rPr>
          <w:b/>
          <w:sz w:val="22"/>
          <w:szCs w:val="22"/>
          <w:lang w:eastAsia="zh-CN"/>
        </w:rPr>
        <w:t>5-Year</w:t>
      </w:r>
      <w:r w:rsidR="0011582F" w:rsidRPr="00FA7CDA">
        <w:rPr>
          <w:rFonts w:hint="eastAsia"/>
          <w:b/>
          <w:sz w:val="22"/>
          <w:szCs w:val="22"/>
          <w:lang w:eastAsia="zh-CN"/>
        </w:rPr>
        <w:t xml:space="preserve"> Survival Probability</w:t>
      </w:r>
      <w:r w:rsidR="009B36D7" w:rsidRPr="00FA7CDA">
        <w:rPr>
          <w:b/>
          <w:sz w:val="22"/>
          <w:szCs w:val="22"/>
          <w:lang w:eastAsia="zh-CN"/>
        </w:rPr>
        <w:t xml:space="preserve"> is highest in </w:t>
      </w:r>
      <w:r w:rsidR="00A3702A" w:rsidRPr="00FA7CDA">
        <w:rPr>
          <w:b/>
          <w:bCs/>
          <w:sz w:val="22"/>
          <w:szCs w:val="22"/>
          <w:lang w:eastAsia="zh-CN"/>
        </w:rPr>
        <w:t>t</w:t>
      </w:r>
      <w:r w:rsidR="009248BA" w:rsidRPr="00FA7CDA">
        <w:rPr>
          <w:b/>
          <w:bCs/>
          <w:sz w:val="22"/>
          <w:szCs w:val="22"/>
          <w:lang w:eastAsia="zh-CN"/>
        </w:rPr>
        <w:t xml:space="preserve">he </w:t>
      </w:r>
      <w:r w:rsidR="00ED114F" w:rsidRPr="00FA7CDA">
        <w:rPr>
          <w:b/>
          <w:bCs/>
          <w:sz w:val="22"/>
          <w:szCs w:val="22"/>
          <w:lang w:eastAsia="zh-CN"/>
        </w:rPr>
        <w:t>group</w:t>
      </w:r>
      <w:r w:rsidR="00F12375" w:rsidRPr="00FA7CDA">
        <w:rPr>
          <w:b/>
          <w:bCs/>
          <w:sz w:val="22"/>
          <w:szCs w:val="22"/>
          <w:lang w:eastAsia="zh-CN"/>
        </w:rPr>
        <w:t xml:space="preserve"> with bilirubin concentration </w:t>
      </w:r>
      <w:r w:rsidR="006D68E2" w:rsidRPr="00FA7CDA">
        <w:rPr>
          <w:b/>
          <w:bCs/>
          <w:sz w:val="22"/>
          <w:szCs w:val="22"/>
          <w:lang w:eastAsia="zh-CN"/>
        </w:rPr>
        <w:t>lower</w:t>
      </w:r>
      <w:r w:rsidR="00F12375" w:rsidRPr="00FA7CDA">
        <w:rPr>
          <w:b/>
          <w:bCs/>
          <w:sz w:val="22"/>
          <w:szCs w:val="22"/>
          <w:lang w:eastAsia="zh-CN"/>
        </w:rPr>
        <w:t xml:space="preserve"> than 0.5</w:t>
      </w:r>
      <w:r w:rsidR="006768A6" w:rsidRPr="00FA7CDA">
        <w:rPr>
          <w:b/>
          <w:bCs/>
          <w:sz w:val="22"/>
          <w:szCs w:val="22"/>
          <w:lang w:eastAsia="zh-CN"/>
        </w:rPr>
        <w:t xml:space="preserve">0 </w:t>
      </w:r>
      <w:r w:rsidR="00F12375" w:rsidRPr="00FA7CDA">
        <w:rPr>
          <w:b/>
          <w:bCs/>
          <w:sz w:val="22"/>
          <w:szCs w:val="22"/>
          <w:lang w:eastAsia="zh-CN"/>
        </w:rPr>
        <w:t>mg/dL</w:t>
      </w:r>
      <w:r w:rsidR="00DE3C63" w:rsidRPr="00FA7CDA">
        <w:rPr>
          <w:b/>
          <w:bCs/>
          <w:sz w:val="22"/>
          <w:szCs w:val="22"/>
          <w:lang w:eastAsia="zh-CN"/>
        </w:rPr>
        <w:t xml:space="preserve">, and </w:t>
      </w:r>
      <w:r w:rsidR="006D68E2" w:rsidRPr="00FA7CDA">
        <w:rPr>
          <w:b/>
          <w:bCs/>
          <w:sz w:val="22"/>
          <w:szCs w:val="22"/>
          <w:lang w:eastAsia="zh-CN"/>
        </w:rPr>
        <w:t xml:space="preserve">lowest in the group with bilirubin concentration higher than </w:t>
      </w:r>
      <w:r w:rsidR="006768A6" w:rsidRPr="00FA7CDA">
        <w:rPr>
          <w:b/>
          <w:bCs/>
          <w:sz w:val="22"/>
          <w:szCs w:val="22"/>
          <w:lang w:eastAsia="zh-CN"/>
        </w:rPr>
        <w:t>16.00</w:t>
      </w:r>
      <w:r w:rsidR="00B572F7" w:rsidRPr="00FA7CDA">
        <w:rPr>
          <w:b/>
          <w:bCs/>
          <w:sz w:val="22"/>
          <w:szCs w:val="22"/>
          <w:lang w:eastAsia="zh-CN"/>
        </w:rPr>
        <w:t xml:space="preserve"> </w:t>
      </w:r>
      <w:r w:rsidR="006D68E2" w:rsidRPr="00FA7CDA">
        <w:rPr>
          <w:b/>
          <w:bCs/>
          <w:sz w:val="22"/>
          <w:szCs w:val="22"/>
          <w:lang w:eastAsia="zh-CN"/>
        </w:rPr>
        <w:t>mg/dL</w:t>
      </w:r>
      <w:r w:rsidR="00B572F7" w:rsidRPr="00FA7CDA">
        <w:rPr>
          <w:b/>
          <w:bCs/>
          <w:sz w:val="22"/>
          <w:szCs w:val="22"/>
          <w:lang w:eastAsia="zh-CN"/>
        </w:rPr>
        <w:t xml:space="preserve">. </w:t>
      </w:r>
      <w:r w:rsidR="00CB2A8E" w:rsidRPr="00FA7CDA">
        <w:rPr>
          <w:b/>
          <w:bCs/>
          <w:sz w:val="22"/>
          <w:szCs w:val="22"/>
          <w:lang w:eastAsia="zh-CN"/>
        </w:rPr>
        <w:t xml:space="preserve">On average, </w:t>
      </w:r>
      <w:r w:rsidR="00056C41" w:rsidRPr="00FA7CDA">
        <w:rPr>
          <w:b/>
          <w:bCs/>
          <w:sz w:val="22"/>
          <w:szCs w:val="22"/>
          <w:lang w:eastAsia="zh-CN"/>
        </w:rPr>
        <w:t xml:space="preserve">the subjects with bilirubin concentration between </w:t>
      </w:r>
      <w:r w:rsidR="00E27604" w:rsidRPr="00FA7CDA">
        <w:rPr>
          <w:b/>
          <w:bCs/>
          <w:sz w:val="22"/>
          <w:szCs w:val="22"/>
          <w:lang w:eastAsia="zh-CN"/>
        </w:rPr>
        <w:t>0.50-0.99 mg/dL have</w:t>
      </w:r>
      <w:r w:rsidR="006F41A1" w:rsidRPr="00FA7CDA">
        <w:rPr>
          <w:b/>
          <w:bCs/>
          <w:sz w:val="22"/>
          <w:szCs w:val="22"/>
          <w:lang w:eastAsia="zh-CN"/>
        </w:rPr>
        <w:t xml:space="preserve"> the hi</w:t>
      </w:r>
      <w:r w:rsidR="00E27604" w:rsidRPr="00FA7CDA">
        <w:rPr>
          <w:b/>
          <w:bCs/>
          <w:sz w:val="22"/>
          <w:szCs w:val="22"/>
          <w:lang w:eastAsia="zh-CN"/>
        </w:rPr>
        <w:t>ghest rest</w:t>
      </w:r>
      <w:r w:rsidR="00976A23" w:rsidRPr="00FA7CDA">
        <w:rPr>
          <w:b/>
          <w:bCs/>
          <w:sz w:val="22"/>
          <w:szCs w:val="22"/>
          <w:lang w:eastAsia="zh-CN"/>
        </w:rPr>
        <w:t xml:space="preserve">rict mean of survival, </w:t>
      </w:r>
      <w:r w:rsidR="000728F2" w:rsidRPr="00FA7CDA">
        <w:rPr>
          <w:b/>
          <w:bCs/>
          <w:sz w:val="22"/>
          <w:szCs w:val="22"/>
          <w:lang w:eastAsia="zh-CN"/>
        </w:rPr>
        <w:t>10.89 years</w:t>
      </w:r>
      <w:r w:rsidR="00976A23" w:rsidRPr="00FA7CDA">
        <w:rPr>
          <w:b/>
          <w:bCs/>
          <w:sz w:val="22"/>
          <w:szCs w:val="22"/>
          <w:lang w:eastAsia="zh-CN"/>
        </w:rPr>
        <w:t xml:space="preserve">, while the </w:t>
      </w:r>
      <w:r w:rsidR="007B6D2A" w:rsidRPr="00FA7CDA">
        <w:rPr>
          <w:b/>
          <w:bCs/>
          <w:sz w:val="22"/>
          <w:szCs w:val="22"/>
          <w:lang w:eastAsia="zh-CN"/>
        </w:rPr>
        <w:t>subjects with bilirubin concentration higher than 16.00 mg/dL</w:t>
      </w:r>
      <w:r w:rsidR="00E83E50" w:rsidRPr="00FA7CDA">
        <w:rPr>
          <w:b/>
          <w:bCs/>
          <w:sz w:val="22"/>
          <w:szCs w:val="22"/>
          <w:lang w:eastAsia="zh-CN"/>
        </w:rPr>
        <w:t xml:space="preserve"> are estimated to live </w:t>
      </w:r>
      <w:r w:rsidR="005A4730" w:rsidRPr="00FA7CDA">
        <w:rPr>
          <w:b/>
          <w:bCs/>
          <w:sz w:val="22"/>
          <w:szCs w:val="22"/>
          <w:lang w:eastAsia="zh-CN"/>
        </w:rPr>
        <w:t>2.2</w:t>
      </w:r>
      <w:r w:rsidR="005F7CE1" w:rsidRPr="00FA7CDA">
        <w:rPr>
          <w:b/>
          <w:bCs/>
          <w:sz w:val="22"/>
          <w:szCs w:val="22"/>
          <w:lang w:eastAsia="zh-CN"/>
        </w:rPr>
        <w:t xml:space="preserve">1 years with the available follow-up data. </w:t>
      </w:r>
    </w:p>
    <w:p w14:paraId="3AE51F0E" w14:textId="7C067AF4" w:rsidR="003B5CE0" w:rsidRDefault="00576E64" w:rsidP="00876315">
      <w:pPr>
        <w:autoSpaceDE w:val="0"/>
        <w:autoSpaceDN w:val="0"/>
        <w:adjustRightInd w:val="0"/>
        <w:spacing w:after="120"/>
        <w:rPr>
          <w:sz w:val="22"/>
          <w:szCs w:val="22"/>
          <w:lang w:eastAsia="zh-CN"/>
        </w:rPr>
      </w:pPr>
      <w:r>
        <w:rPr>
          <w:sz w:val="22"/>
          <w:szCs w:val="22"/>
          <w:lang w:eastAsia="zh-CN"/>
        </w:rPr>
        <w:br/>
      </w:r>
      <w:r w:rsidR="00612879">
        <w:rPr>
          <w:sz w:val="22"/>
          <w:szCs w:val="22"/>
          <w:lang w:eastAsia="zh-CN"/>
        </w:rPr>
        <w:t xml:space="preserve">Table1. Summary statistics of </w:t>
      </w:r>
      <w:r w:rsidR="006F7EE7">
        <w:rPr>
          <w:sz w:val="22"/>
          <w:szCs w:val="22"/>
          <w:lang w:eastAsia="zh-CN"/>
        </w:rPr>
        <w:t xml:space="preserve">variables of interest </w:t>
      </w:r>
      <w:r w:rsidR="004E6BFE">
        <w:rPr>
          <w:sz w:val="22"/>
          <w:szCs w:val="22"/>
          <w:lang w:eastAsia="zh-CN"/>
        </w:rPr>
        <w:t xml:space="preserve">in the </w:t>
      </w:r>
      <w:r w:rsidR="00955E82">
        <w:rPr>
          <w:sz w:val="22"/>
          <w:szCs w:val="22"/>
          <w:lang w:eastAsia="zh-CN"/>
        </w:rPr>
        <w:t>dataset</w:t>
      </w:r>
    </w:p>
    <w:tbl>
      <w:tblPr>
        <w:tblStyle w:val="TableGrid"/>
        <w:tblW w:w="0" w:type="auto"/>
        <w:tblLayout w:type="fixed"/>
        <w:tblLook w:val="04A0" w:firstRow="1" w:lastRow="0" w:firstColumn="1" w:lastColumn="0" w:noHBand="0" w:noVBand="1"/>
      </w:tblPr>
      <w:tblGrid>
        <w:gridCol w:w="1612"/>
        <w:gridCol w:w="1872"/>
        <w:gridCol w:w="2008"/>
        <w:gridCol w:w="916"/>
        <w:gridCol w:w="1080"/>
        <w:gridCol w:w="2376"/>
      </w:tblGrid>
      <w:tr w:rsidR="00F62DD7" w:rsidRPr="00F62DD7" w14:paraId="7F6D3EBE" w14:textId="77777777" w:rsidTr="004436B4">
        <w:trPr>
          <w:trHeight w:val="300"/>
        </w:trPr>
        <w:tc>
          <w:tcPr>
            <w:tcW w:w="1612" w:type="dxa"/>
            <w:noWrap/>
            <w:hideMark/>
          </w:tcPr>
          <w:p w14:paraId="02E53029" w14:textId="77777777" w:rsidR="003B5CE0" w:rsidRPr="00F62DD7" w:rsidRDefault="003B5CE0" w:rsidP="003B5CE0">
            <w:pPr>
              <w:autoSpaceDE w:val="0"/>
              <w:autoSpaceDN w:val="0"/>
              <w:adjustRightInd w:val="0"/>
              <w:spacing w:after="120"/>
              <w:rPr>
                <w:szCs w:val="18"/>
                <w:lang w:eastAsia="zh-CN"/>
              </w:rPr>
            </w:pPr>
          </w:p>
        </w:tc>
        <w:tc>
          <w:tcPr>
            <w:tcW w:w="1872" w:type="dxa"/>
            <w:noWrap/>
            <w:hideMark/>
          </w:tcPr>
          <w:p w14:paraId="2D7540BB" w14:textId="66BFE1A0" w:rsidR="003B5CE0" w:rsidRPr="00F62DD7" w:rsidRDefault="003B5CE0" w:rsidP="003B5CE0">
            <w:pPr>
              <w:autoSpaceDE w:val="0"/>
              <w:autoSpaceDN w:val="0"/>
              <w:adjustRightInd w:val="0"/>
              <w:spacing w:after="120"/>
              <w:rPr>
                <w:szCs w:val="18"/>
                <w:lang w:eastAsia="zh-CN"/>
              </w:rPr>
            </w:pPr>
            <w:r w:rsidRPr="00F62DD7">
              <w:rPr>
                <w:szCs w:val="18"/>
                <w:lang w:eastAsia="zh-CN"/>
              </w:rPr>
              <w:t>Age (years)</w:t>
            </w:r>
            <w:r w:rsidR="00AF50E7" w:rsidRPr="00AF50E7">
              <w:rPr>
                <w:szCs w:val="18"/>
                <w:vertAlign w:val="superscript"/>
                <w:lang w:eastAsia="zh-CN"/>
              </w:rPr>
              <w:t>1</w:t>
            </w:r>
          </w:p>
        </w:tc>
        <w:tc>
          <w:tcPr>
            <w:tcW w:w="2008" w:type="dxa"/>
            <w:noWrap/>
            <w:hideMark/>
          </w:tcPr>
          <w:p w14:paraId="06410362" w14:textId="6C7A1F84" w:rsidR="003B5CE0" w:rsidRPr="00F62DD7" w:rsidRDefault="003B5CE0" w:rsidP="003B5CE0">
            <w:pPr>
              <w:autoSpaceDE w:val="0"/>
              <w:autoSpaceDN w:val="0"/>
              <w:adjustRightInd w:val="0"/>
              <w:spacing w:after="120"/>
              <w:rPr>
                <w:szCs w:val="18"/>
                <w:lang w:eastAsia="zh-CN"/>
              </w:rPr>
            </w:pPr>
            <w:r w:rsidRPr="00F62DD7">
              <w:rPr>
                <w:szCs w:val="18"/>
                <w:lang w:eastAsia="zh-CN"/>
              </w:rPr>
              <w:t>Serum Bilirubin (mg/dL)</w:t>
            </w:r>
            <w:r w:rsidR="00AF50E7" w:rsidRPr="00AF50E7">
              <w:rPr>
                <w:szCs w:val="18"/>
                <w:vertAlign w:val="superscript"/>
                <w:lang w:eastAsia="zh-CN"/>
              </w:rPr>
              <w:t xml:space="preserve"> 1</w:t>
            </w:r>
          </w:p>
        </w:tc>
        <w:tc>
          <w:tcPr>
            <w:tcW w:w="916" w:type="dxa"/>
            <w:noWrap/>
            <w:hideMark/>
          </w:tcPr>
          <w:p w14:paraId="072B689F" w14:textId="779AC534" w:rsidR="003B5CE0" w:rsidRPr="00F62DD7" w:rsidRDefault="003B5CE0" w:rsidP="003B5CE0">
            <w:pPr>
              <w:autoSpaceDE w:val="0"/>
              <w:autoSpaceDN w:val="0"/>
              <w:adjustRightInd w:val="0"/>
              <w:spacing w:after="120"/>
              <w:rPr>
                <w:szCs w:val="18"/>
                <w:lang w:eastAsia="zh-CN"/>
              </w:rPr>
            </w:pPr>
            <w:r w:rsidRPr="00F62DD7">
              <w:rPr>
                <w:szCs w:val="18"/>
                <w:lang w:eastAsia="zh-CN"/>
              </w:rPr>
              <w:t>Female (%)</w:t>
            </w:r>
            <w:r w:rsidR="001D57C3">
              <w:rPr>
                <w:szCs w:val="18"/>
                <w:vertAlign w:val="superscript"/>
                <w:lang w:eastAsia="zh-CN"/>
              </w:rPr>
              <w:t>3</w:t>
            </w:r>
          </w:p>
        </w:tc>
        <w:tc>
          <w:tcPr>
            <w:tcW w:w="1080" w:type="dxa"/>
            <w:noWrap/>
            <w:hideMark/>
          </w:tcPr>
          <w:p w14:paraId="27596112" w14:textId="77777777" w:rsidR="003B5CE0" w:rsidRPr="00F62DD7" w:rsidRDefault="003B5CE0" w:rsidP="003B5CE0">
            <w:pPr>
              <w:autoSpaceDE w:val="0"/>
              <w:autoSpaceDN w:val="0"/>
              <w:adjustRightInd w:val="0"/>
              <w:spacing w:after="120"/>
              <w:rPr>
                <w:szCs w:val="18"/>
                <w:lang w:eastAsia="zh-CN"/>
              </w:rPr>
            </w:pPr>
            <w:r w:rsidRPr="00F62DD7">
              <w:rPr>
                <w:szCs w:val="18"/>
                <w:lang w:eastAsia="zh-CN"/>
              </w:rPr>
              <w:t>Uncensored (%)</w:t>
            </w:r>
          </w:p>
        </w:tc>
        <w:tc>
          <w:tcPr>
            <w:tcW w:w="2376" w:type="dxa"/>
            <w:noWrap/>
            <w:hideMark/>
          </w:tcPr>
          <w:p w14:paraId="2AEDCA0E" w14:textId="77C9EAE3" w:rsidR="003B5CE0" w:rsidRPr="00F62DD7" w:rsidRDefault="003B5CE0" w:rsidP="00325D1A">
            <w:pPr>
              <w:autoSpaceDE w:val="0"/>
              <w:autoSpaceDN w:val="0"/>
              <w:adjustRightInd w:val="0"/>
              <w:spacing w:after="120"/>
              <w:rPr>
                <w:szCs w:val="18"/>
                <w:lang w:eastAsia="zh-CN"/>
              </w:rPr>
            </w:pPr>
            <w:r w:rsidRPr="00F62DD7">
              <w:rPr>
                <w:szCs w:val="18"/>
                <w:lang w:eastAsia="zh-CN"/>
              </w:rPr>
              <w:t>Observation time (</w:t>
            </w:r>
            <w:r w:rsidR="00325D1A">
              <w:rPr>
                <w:szCs w:val="18"/>
                <w:lang w:eastAsia="zh-CN"/>
              </w:rPr>
              <w:t>year</w:t>
            </w:r>
            <w:r w:rsidRPr="00F62DD7">
              <w:rPr>
                <w:szCs w:val="18"/>
                <w:lang w:eastAsia="zh-CN"/>
              </w:rPr>
              <w:t>)</w:t>
            </w:r>
            <w:r w:rsidR="004F7907" w:rsidRPr="00AF50E7">
              <w:rPr>
                <w:szCs w:val="18"/>
                <w:vertAlign w:val="superscript"/>
                <w:lang w:eastAsia="zh-CN"/>
              </w:rPr>
              <w:t xml:space="preserve"> </w:t>
            </w:r>
            <w:r w:rsidR="004F7907">
              <w:rPr>
                <w:szCs w:val="18"/>
                <w:vertAlign w:val="superscript"/>
                <w:lang w:eastAsia="zh-CN"/>
              </w:rPr>
              <w:t>2</w:t>
            </w:r>
          </w:p>
        </w:tc>
      </w:tr>
      <w:tr w:rsidR="00F62DD7" w:rsidRPr="00F62DD7" w14:paraId="3D49DC6C" w14:textId="77777777" w:rsidTr="004436B4">
        <w:trPr>
          <w:trHeight w:val="300"/>
        </w:trPr>
        <w:tc>
          <w:tcPr>
            <w:tcW w:w="1612" w:type="dxa"/>
            <w:noWrap/>
            <w:hideMark/>
          </w:tcPr>
          <w:p w14:paraId="1D0D000D" w14:textId="6EF70D1D" w:rsidR="003B5CE0" w:rsidRPr="00F62DD7" w:rsidRDefault="00C51DD3" w:rsidP="003B5CE0">
            <w:pPr>
              <w:autoSpaceDE w:val="0"/>
              <w:autoSpaceDN w:val="0"/>
              <w:adjustRightInd w:val="0"/>
              <w:spacing w:after="120"/>
              <w:rPr>
                <w:szCs w:val="18"/>
                <w:lang w:eastAsia="zh-CN"/>
              </w:rPr>
            </w:pPr>
            <w:r>
              <w:rPr>
                <w:szCs w:val="18"/>
                <w:lang w:eastAsia="zh-CN"/>
              </w:rPr>
              <w:t>Number of O</w:t>
            </w:r>
            <w:r w:rsidR="003B5CE0" w:rsidRPr="00F62DD7">
              <w:rPr>
                <w:szCs w:val="18"/>
                <w:lang w:eastAsia="zh-CN"/>
              </w:rPr>
              <w:t>bservations</w:t>
            </w:r>
          </w:p>
        </w:tc>
        <w:tc>
          <w:tcPr>
            <w:tcW w:w="1872" w:type="dxa"/>
            <w:noWrap/>
            <w:hideMark/>
          </w:tcPr>
          <w:p w14:paraId="16C7C479" w14:textId="77777777" w:rsidR="003B5CE0" w:rsidRPr="00F62DD7" w:rsidRDefault="003B5CE0" w:rsidP="003B5CE0">
            <w:pPr>
              <w:autoSpaceDE w:val="0"/>
              <w:autoSpaceDN w:val="0"/>
              <w:adjustRightInd w:val="0"/>
              <w:spacing w:after="120"/>
              <w:rPr>
                <w:szCs w:val="18"/>
                <w:lang w:eastAsia="zh-CN"/>
              </w:rPr>
            </w:pPr>
            <w:r w:rsidRPr="00F62DD7">
              <w:rPr>
                <w:szCs w:val="18"/>
                <w:lang w:eastAsia="zh-CN"/>
              </w:rPr>
              <w:t>418</w:t>
            </w:r>
          </w:p>
        </w:tc>
        <w:tc>
          <w:tcPr>
            <w:tcW w:w="2008" w:type="dxa"/>
            <w:noWrap/>
            <w:hideMark/>
          </w:tcPr>
          <w:p w14:paraId="08C90FF5" w14:textId="77777777" w:rsidR="003B5CE0" w:rsidRPr="00F62DD7" w:rsidRDefault="003B5CE0" w:rsidP="003B5CE0">
            <w:pPr>
              <w:autoSpaceDE w:val="0"/>
              <w:autoSpaceDN w:val="0"/>
              <w:adjustRightInd w:val="0"/>
              <w:spacing w:after="120"/>
              <w:rPr>
                <w:szCs w:val="18"/>
                <w:lang w:eastAsia="zh-CN"/>
              </w:rPr>
            </w:pPr>
            <w:r w:rsidRPr="00F62DD7">
              <w:rPr>
                <w:szCs w:val="18"/>
                <w:lang w:eastAsia="zh-CN"/>
              </w:rPr>
              <w:t>418</w:t>
            </w:r>
          </w:p>
        </w:tc>
        <w:tc>
          <w:tcPr>
            <w:tcW w:w="916" w:type="dxa"/>
            <w:noWrap/>
            <w:hideMark/>
          </w:tcPr>
          <w:p w14:paraId="2475CDBF" w14:textId="77777777" w:rsidR="003B5CE0" w:rsidRPr="00F62DD7" w:rsidRDefault="003B5CE0" w:rsidP="003B5CE0">
            <w:pPr>
              <w:autoSpaceDE w:val="0"/>
              <w:autoSpaceDN w:val="0"/>
              <w:adjustRightInd w:val="0"/>
              <w:spacing w:after="120"/>
              <w:rPr>
                <w:szCs w:val="18"/>
                <w:lang w:eastAsia="zh-CN"/>
              </w:rPr>
            </w:pPr>
            <w:r w:rsidRPr="00F62DD7">
              <w:rPr>
                <w:szCs w:val="18"/>
                <w:lang w:eastAsia="zh-CN"/>
              </w:rPr>
              <w:t>312</w:t>
            </w:r>
          </w:p>
        </w:tc>
        <w:tc>
          <w:tcPr>
            <w:tcW w:w="1080" w:type="dxa"/>
            <w:noWrap/>
            <w:hideMark/>
          </w:tcPr>
          <w:p w14:paraId="5662E483" w14:textId="77777777" w:rsidR="003B5CE0" w:rsidRPr="00F62DD7" w:rsidRDefault="003B5CE0" w:rsidP="003B5CE0">
            <w:pPr>
              <w:autoSpaceDE w:val="0"/>
              <w:autoSpaceDN w:val="0"/>
              <w:adjustRightInd w:val="0"/>
              <w:spacing w:after="120"/>
              <w:rPr>
                <w:szCs w:val="18"/>
                <w:lang w:eastAsia="zh-CN"/>
              </w:rPr>
            </w:pPr>
            <w:r w:rsidRPr="00F62DD7">
              <w:rPr>
                <w:szCs w:val="18"/>
                <w:lang w:eastAsia="zh-CN"/>
              </w:rPr>
              <w:t>418</w:t>
            </w:r>
          </w:p>
        </w:tc>
        <w:tc>
          <w:tcPr>
            <w:tcW w:w="2376" w:type="dxa"/>
            <w:noWrap/>
            <w:hideMark/>
          </w:tcPr>
          <w:p w14:paraId="2AE56469" w14:textId="77777777" w:rsidR="003B5CE0" w:rsidRPr="00F62DD7" w:rsidRDefault="003B5CE0" w:rsidP="003B5CE0">
            <w:pPr>
              <w:autoSpaceDE w:val="0"/>
              <w:autoSpaceDN w:val="0"/>
              <w:adjustRightInd w:val="0"/>
              <w:spacing w:after="120"/>
              <w:rPr>
                <w:szCs w:val="18"/>
                <w:lang w:eastAsia="zh-CN"/>
              </w:rPr>
            </w:pPr>
            <w:r w:rsidRPr="00F62DD7">
              <w:rPr>
                <w:szCs w:val="18"/>
                <w:lang w:eastAsia="zh-CN"/>
              </w:rPr>
              <w:t>418</w:t>
            </w:r>
          </w:p>
        </w:tc>
      </w:tr>
      <w:tr w:rsidR="00F62DD7" w:rsidRPr="00F62DD7" w14:paraId="781FDFFE" w14:textId="77777777" w:rsidTr="004436B4">
        <w:trPr>
          <w:trHeight w:val="300"/>
        </w:trPr>
        <w:tc>
          <w:tcPr>
            <w:tcW w:w="1612" w:type="dxa"/>
            <w:noWrap/>
            <w:hideMark/>
          </w:tcPr>
          <w:p w14:paraId="5599F1A0" w14:textId="3827334B" w:rsidR="003B5CE0" w:rsidRPr="00F62DD7" w:rsidRDefault="00C51DD3" w:rsidP="003B5CE0">
            <w:pPr>
              <w:autoSpaceDE w:val="0"/>
              <w:autoSpaceDN w:val="0"/>
              <w:adjustRightInd w:val="0"/>
              <w:spacing w:after="120"/>
              <w:rPr>
                <w:szCs w:val="18"/>
                <w:lang w:eastAsia="zh-CN"/>
              </w:rPr>
            </w:pPr>
            <w:r>
              <w:rPr>
                <w:szCs w:val="18"/>
                <w:lang w:eastAsia="zh-CN"/>
              </w:rPr>
              <w:t>Summary S</w:t>
            </w:r>
            <w:r w:rsidR="003B5CE0" w:rsidRPr="00F62DD7">
              <w:rPr>
                <w:szCs w:val="18"/>
                <w:lang w:eastAsia="zh-CN"/>
              </w:rPr>
              <w:t>tatistics</w:t>
            </w:r>
          </w:p>
        </w:tc>
        <w:tc>
          <w:tcPr>
            <w:tcW w:w="1872" w:type="dxa"/>
            <w:noWrap/>
            <w:hideMark/>
          </w:tcPr>
          <w:p w14:paraId="0DD77187" w14:textId="77777777" w:rsidR="003B5CE0" w:rsidRPr="00F62DD7" w:rsidRDefault="003B5CE0" w:rsidP="003B5CE0">
            <w:pPr>
              <w:autoSpaceDE w:val="0"/>
              <w:autoSpaceDN w:val="0"/>
              <w:adjustRightInd w:val="0"/>
              <w:spacing w:after="120"/>
              <w:rPr>
                <w:szCs w:val="18"/>
                <w:lang w:eastAsia="zh-CN"/>
              </w:rPr>
            </w:pPr>
            <w:r w:rsidRPr="00F62DD7">
              <w:rPr>
                <w:szCs w:val="18"/>
                <w:lang w:eastAsia="zh-CN"/>
              </w:rPr>
              <w:t>50.7(10.4;26.3-78.4)</w:t>
            </w:r>
          </w:p>
        </w:tc>
        <w:tc>
          <w:tcPr>
            <w:tcW w:w="2008" w:type="dxa"/>
            <w:noWrap/>
            <w:hideMark/>
          </w:tcPr>
          <w:p w14:paraId="1D2AF8D3" w14:textId="77777777" w:rsidR="003B5CE0" w:rsidRPr="00F62DD7" w:rsidRDefault="003B5CE0" w:rsidP="003B5CE0">
            <w:pPr>
              <w:autoSpaceDE w:val="0"/>
              <w:autoSpaceDN w:val="0"/>
              <w:adjustRightInd w:val="0"/>
              <w:spacing w:after="120"/>
              <w:rPr>
                <w:szCs w:val="18"/>
                <w:lang w:eastAsia="zh-CN"/>
              </w:rPr>
            </w:pPr>
            <w:r w:rsidRPr="00F62DD7">
              <w:rPr>
                <w:szCs w:val="18"/>
                <w:lang w:eastAsia="zh-CN"/>
              </w:rPr>
              <w:t>3.22(4.41;0.3-28)</w:t>
            </w:r>
          </w:p>
        </w:tc>
        <w:tc>
          <w:tcPr>
            <w:tcW w:w="916" w:type="dxa"/>
            <w:noWrap/>
            <w:hideMark/>
          </w:tcPr>
          <w:p w14:paraId="149873A6" w14:textId="77777777" w:rsidR="003B5CE0" w:rsidRPr="00F62DD7" w:rsidRDefault="003B5CE0" w:rsidP="003B5CE0">
            <w:pPr>
              <w:autoSpaceDE w:val="0"/>
              <w:autoSpaceDN w:val="0"/>
              <w:adjustRightInd w:val="0"/>
              <w:spacing w:after="120"/>
              <w:rPr>
                <w:szCs w:val="18"/>
                <w:lang w:eastAsia="zh-CN"/>
              </w:rPr>
            </w:pPr>
            <w:r w:rsidRPr="00F62DD7">
              <w:rPr>
                <w:szCs w:val="18"/>
                <w:lang w:eastAsia="zh-CN"/>
              </w:rPr>
              <w:t>88.50%</w:t>
            </w:r>
          </w:p>
        </w:tc>
        <w:tc>
          <w:tcPr>
            <w:tcW w:w="1080" w:type="dxa"/>
            <w:noWrap/>
            <w:hideMark/>
          </w:tcPr>
          <w:p w14:paraId="3799553D" w14:textId="77777777" w:rsidR="003B5CE0" w:rsidRPr="00F62DD7" w:rsidRDefault="003B5CE0" w:rsidP="003B5CE0">
            <w:pPr>
              <w:autoSpaceDE w:val="0"/>
              <w:autoSpaceDN w:val="0"/>
              <w:adjustRightInd w:val="0"/>
              <w:spacing w:after="120"/>
              <w:rPr>
                <w:szCs w:val="18"/>
                <w:lang w:eastAsia="zh-CN"/>
              </w:rPr>
            </w:pPr>
            <w:r w:rsidRPr="00F62DD7">
              <w:rPr>
                <w:szCs w:val="18"/>
                <w:lang w:eastAsia="zh-CN"/>
              </w:rPr>
              <w:t>38.50%</w:t>
            </w:r>
          </w:p>
        </w:tc>
        <w:tc>
          <w:tcPr>
            <w:tcW w:w="2376" w:type="dxa"/>
            <w:noWrap/>
            <w:hideMark/>
          </w:tcPr>
          <w:p w14:paraId="1067C5E7" w14:textId="7D276E14" w:rsidR="003B5CE0" w:rsidRPr="00F62DD7" w:rsidRDefault="00A33B24" w:rsidP="003B5CE0">
            <w:pPr>
              <w:autoSpaceDE w:val="0"/>
              <w:autoSpaceDN w:val="0"/>
              <w:adjustRightInd w:val="0"/>
              <w:spacing w:after="120"/>
              <w:rPr>
                <w:szCs w:val="18"/>
                <w:lang w:eastAsia="zh-CN"/>
              </w:rPr>
            </w:pPr>
            <w:r>
              <w:rPr>
                <w:szCs w:val="18"/>
                <w:lang w:eastAsia="zh-CN"/>
              </w:rPr>
              <w:t>0.11</w:t>
            </w:r>
            <w:r w:rsidR="003B5CE0" w:rsidRPr="00F62DD7">
              <w:rPr>
                <w:szCs w:val="18"/>
                <w:lang w:eastAsia="zh-CN"/>
              </w:rPr>
              <w:t>;</w:t>
            </w:r>
            <w:r w:rsidR="000A082D" w:rsidRPr="000A082D">
              <w:rPr>
                <w:szCs w:val="18"/>
                <w:lang w:eastAsia="zh-CN"/>
              </w:rPr>
              <w:t>2.99</w:t>
            </w:r>
            <w:r w:rsidR="003B5CE0" w:rsidRPr="00F62DD7">
              <w:rPr>
                <w:szCs w:val="18"/>
                <w:lang w:eastAsia="zh-CN"/>
              </w:rPr>
              <w:t>;</w:t>
            </w:r>
            <w:r w:rsidR="000A082D">
              <w:rPr>
                <w:szCs w:val="18"/>
                <w:lang w:eastAsia="zh-CN"/>
              </w:rPr>
              <w:t>4.74</w:t>
            </w:r>
            <w:r w:rsidR="003B5CE0" w:rsidRPr="00F62DD7">
              <w:rPr>
                <w:szCs w:val="18"/>
                <w:lang w:eastAsia="zh-CN"/>
              </w:rPr>
              <w:t>;</w:t>
            </w:r>
            <w:r w:rsidR="000A082D" w:rsidRPr="000A082D">
              <w:rPr>
                <w:szCs w:val="18"/>
                <w:lang w:eastAsia="zh-CN"/>
              </w:rPr>
              <w:t>7.16</w:t>
            </w:r>
            <w:r w:rsidR="003B5CE0" w:rsidRPr="00F62DD7">
              <w:rPr>
                <w:szCs w:val="18"/>
                <w:lang w:eastAsia="zh-CN"/>
              </w:rPr>
              <w:t>;</w:t>
            </w:r>
            <w:r w:rsidR="000A082D" w:rsidRPr="000A082D">
              <w:rPr>
                <w:szCs w:val="18"/>
                <w:lang w:eastAsia="zh-CN"/>
              </w:rPr>
              <w:t>13.1</w:t>
            </w:r>
            <w:r w:rsidR="00217456">
              <w:rPr>
                <w:szCs w:val="18"/>
                <w:lang w:eastAsia="zh-CN"/>
              </w:rPr>
              <w:t>4</w:t>
            </w:r>
          </w:p>
        </w:tc>
      </w:tr>
    </w:tbl>
    <w:p w14:paraId="79E11280" w14:textId="57960E4B" w:rsidR="00576E64" w:rsidRDefault="001D57C3" w:rsidP="00876315">
      <w:pPr>
        <w:autoSpaceDE w:val="0"/>
        <w:autoSpaceDN w:val="0"/>
        <w:adjustRightInd w:val="0"/>
        <w:spacing w:after="120"/>
        <w:rPr>
          <w:sz w:val="22"/>
          <w:szCs w:val="22"/>
          <w:lang w:eastAsia="zh-CN"/>
        </w:rPr>
      </w:pPr>
      <w:r w:rsidRPr="003E6512">
        <w:rPr>
          <w:sz w:val="22"/>
          <w:szCs w:val="22"/>
          <w:vertAlign w:val="superscript"/>
          <w:lang w:eastAsia="zh-CN"/>
        </w:rPr>
        <w:t>1</w:t>
      </w:r>
      <w:r>
        <w:rPr>
          <w:sz w:val="22"/>
          <w:szCs w:val="22"/>
          <w:lang w:eastAsia="zh-CN"/>
        </w:rPr>
        <w:t xml:space="preserve"> Descriptive statistics is presented as mean (SD; min-max);</w:t>
      </w:r>
    </w:p>
    <w:p w14:paraId="2E54ABEC" w14:textId="418AFE01" w:rsidR="001D57C3" w:rsidRDefault="001D57C3" w:rsidP="00876315">
      <w:pPr>
        <w:autoSpaceDE w:val="0"/>
        <w:autoSpaceDN w:val="0"/>
        <w:adjustRightInd w:val="0"/>
        <w:spacing w:after="120"/>
        <w:rPr>
          <w:sz w:val="22"/>
          <w:szCs w:val="22"/>
          <w:lang w:eastAsia="zh-CN"/>
        </w:rPr>
      </w:pPr>
      <w:r w:rsidRPr="003E6512">
        <w:rPr>
          <w:sz w:val="22"/>
          <w:szCs w:val="22"/>
          <w:vertAlign w:val="superscript"/>
          <w:lang w:eastAsia="zh-CN"/>
        </w:rPr>
        <w:t>2</w:t>
      </w:r>
      <w:r>
        <w:rPr>
          <w:sz w:val="22"/>
          <w:szCs w:val="22"/>
          <w:lang w:eastAsia="zh-CN"/>
        </w:rPr>
        <w:t xml:space="preserve"> Descriptive statistics is presented as</w:t>
      </w:r>
      <w:r w:rsidR="005F29FE">
        <w:rPr>
          <w:sz w:val="22"/>
          <w:szCs w:val="22"/>
          <w:lang w:eastAsia="zh-CN"/>
        </w:rPr>
        <w:t xml:space="preserve"> min;25%ile;median;75%ile;max;</w:t>
      </w:r>
    </w:p>
    <w:p w14:paraId="30C70495" w14:textId="7AC73266" w:rsidR="002C0021" w:rsidRDefault="002C0021" w:rsidP="00876315">
      <w:pPr>
        <w:autoSpaceDE w:val="0"/>
        <w:autoSpaceDN w:val="0"/>
        <w:adjustRightInd w:val="0"/>
        <w:spacing w:after="120"/>
        <w:rPr>
          <w:sz w:val="22"/>
          <w:szCs w:val="22"/>
          <w:lang w:eastAsia="zh-CN"/>
        </w:rPr>
      </w:pPr>
      <w:r w:rsidRPr="003E6512">
        <w:rPr>
          <w:sz w:val="22"/>
          <w:szCs w:val="22"/>
          <w:vertAlign w:val="superscript"/>
          <w:lang w:eastAsia="zh-CN"/>
        </w:rPr>
        <w:t>3</w:t>
      </w:r>
      <w:r w:rsidR="001A3EA1">
        <w:rPr>
          <w:sz w:val="22"/>
          <w:szCs w:val="22"/>
          <w:lang w:eastAsia="zh-CN"/>
        </w:rPr>
        <w:t xml:space="preserve"> 106 missing data of sex</w:t>
      </w:r>
      <w:r w:rsidR="00D46270">
        <w:rPr>
          <w:sz w:val="22"/>
          <w:szCs w:val="22"/>
          <w:lang w:eastAsia="zh-CN"/>
        </w:rPr>
        <w:t xml:space="preserve"> is omitted</w:t>
      </w:r>
      <w:r w:rsidR="005767D6">
        <w:rPr>
          <w:sz w:val="22"/>
          <w:szCs w:val="22"/>
          <w:lang w:eastAsia="zh-CN"/>
        </w:rPr>
        <w:t xml:space="preserve"> for percentage </w:t>
      </w:r>
      <w:r w:rsidR="0035729E">
        <w:rPr>
          <w:sz w:val="22"/>
          <w:szCs w:val="22"/>
          <w:lang w:eastAsia="zh-CN"/>
        </w:rPr>
        <w:t>computation.</w:t>
      </w:r>
    </w:p>
    <w:p w14:paraId="4A8FA2D3" w14:textId="5AB28FFA" w:rsidR="00434BEA" w:rsidRDefault="004300A8" w:rsidP="008967EE">
      <w:pPr>
        <w:autoSpaceDE w:val="0"/>
        <w:autoSpaceDN w:val="0"/>
        <w:adjustRightInd w:val="0"/>
        <w:spacing w:after="120"/>
        <w:jc w:val="center"/>
        <w:rPr>
          <w:sz w:val="22"/>
          <w:szCs w:val="22"/>
          <w:lang w:eastAsia="zh-CN"/>
        </w:rPr>
      </w:pPr>
      <w:r>
        <w:rPr>
          <w:noProof/>
          <w:sz w:val="22"/>
          <w:szCs w:val="22"/>
        </w:rPr>
        <w:lastRenderedPageBreak/>
        <w:drawing>
          <wp:inline distT="0" distB="0" distL="0" distR="0" wp14:anchorId="1611480B" wp14:editId="30058944">
            <wp:extent cx="50292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st515hw4-kmCurveYear.pdf"/>
                    <pic:cNvPicPr/>
                  </pic:nvPicPr>
                  <pic:blipFill>
                    <a:blip r:embed="rId8">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37646CF7" w14:textId="48C79B65" w:rsidR="00DD473A" w:rsidRDefault="00BB59D9" w:rsidP="008967EE">
      <w:pPr>
        <w:autoSpaceDE w:val="0"/>
        <w:autoSpaceDN w:val="0"/>
        <w:adjustRightInd w:val="0"/>
        <w:spacing w:after="120"/>
        <w:jc w:val="center"/>
        <w:rPr>
          <w:sz w:val="22"/>
          <w:szCs w:val="22"/>
          <w:lang w:eastAsia="zh-CN"/>
        </w:rPr>
      </w:pPr>
      <w:r>
        <w:rPr>
          <w:rFonts w:hint="eastAsia"/>
          <w:sz w:val="22"/>
          <w:szCs w:val="22"/>
          <w:lang w:eastAsia="zh-CN"/>
        </w:rPr>
        <w:t xml:space="preserve">Figure1. </w:t>
      </w:r>
      <w:r w:rsidR="00172013">
        <w:rPr>
          <w:rFonts w:hint="eastAsia"/>
          <w:sz w:val="22"/>
          <w:szCs w:val="22"/>
          <w:lang w:eastAsia="zh-CN"/>
        </w:rPr>
        <w:t xml:space="preserve">Kaplan-Meier </w:t>
      </w:r>
      <w:r w:rsidR="00A14063">
        <w:rPr>
          <w:rFonts w:hint="eastAsia"/>
          <w:sz w:val="22"/>
          <w:szCs w:val="22"/>
          <w:lang w:eastAsia="zh-CN"/>
        </w:rPr>
        <w:t xml:space="preserve">curve for </w:t>
      </w:r>
      <w:r w:rsidR="00AB69EF">
        <w:rPr>
          <w:rFonts w:hint="eastAsia"/>
          <w:sz w:val="22"/>
          <w:szCs w:val="22"/>
          <w:lang w:eastAsia="zh-CN"/>
        </w:rPr>
        <w:t xml:space="preserve">stratum </w:t>
      </w:r>
      <w:r w:rsidR="004B546F">
        <w:rPr>
          <w:rFonts w:hint="eastAsia"/>
          <w:sz w:val="22"/>
          <w:szCs w:val="22"/>
          <w:lang w:eastAsia="zh-CN"/>
        </w:rPr>
        <w:t>defined by serum bilirubin concentrations</w:t>
      </w:r>
    </w:p>
    <w:p w14:paraId="5FF2A7C3" w14:textId="58419E0A" w:rsidR="00D717A2" w:rsidRDefault="00D717A2" w:rsidP="007E4983">
      <w:pPr>
        <w:tabs>
          <w:tab w:val="left" w:pos="920"/>
          <w:tab w:val="center" w:pos="4824"/>
        </w:tabs>
        <w:autoSpaceDE w:val="0"/>
        <w:autoSpaceDN w:val="0"/>
        <w:adjustRightInd w:val="0"/>
        <w:spacing w:after="120"/>
        <w:rPr>
          <w:sz w:val="22"/>
          <w:szCs w:val="22"/>
          <w:lang w:eastAsia="zh-CN"/>
        </w:rPr>
      </w:pPr>
      <w:r>
        <w:rPr>
          <w:rFonts w:hint="eastAsia"/>
          <w:sz w:val="22"/>
          <w:szCs w:val="22"/>
          <w:lang w:eastAsia="zh-CN"/>
        </w:rPr>
        <w:t>Table 2. Kaplan-Meier estimates for stratum defined by serum bilirubin concentrations</w:t>
      </w:r>
    </w:p>
    <w:tbl>
      <w:tblPr>
        <w:tblStyle w:val="TableGrid"/>
        <w:tblW w:w="0" w:type="auto"/>
        <w:tblLook w:val="04A0" w:firstRow="1" w:lastRow="0" w:firstColumn="1" w:lastColumn="0" w:noHBand="0" w:noVBand="1"/>
      </w:tblPr>
      <w:tblGrid>
        <w:gridCol w:w="2392"/>
        <w:gridCol w:w="958"/>
        <w:gridCol w:w="950"/>
        <w:gridCol w:w="950"/>
        <w:gridCol w:w="950"/>
        <w:gridCol w:w="950"/>
        <w:gridCol w:w="1013"/>
        <w:gridCol w:w="836"/>
        <w:gridCol w:w="865"/>
      </w:tblGrid>
      <w:tr w:rsidR="00A11242" w14:paraId="7F6F8D88" w14:textId="77777777" w:rsidTr="00650909">
        <w:tc>
          <w:tcPr>
            <w:tcW w:w="0" w:type="auto"/>
          </w:tcPr>
          <w:p w14:paraId="6ECEDFC7" w14:textId="77777777" w:rsidR="00A11242" w:rsidRDefault="00A11242" w:rsidP="00650909">
            <w:pPr>
              <w:autoSpaceDE w:val="0"/>
              <w:autoSpaceDN w:val="0"/>
              <w:adjustRightInd w:val="0"/>
              <w:spacing w:after="120"/>
              <w:jc w:val="center"/>
              <w:rPr>
                <w:sz w:val="22"/>
                <w:szCs w:val="22"/>
              </w:rPr>
            </w:pPr>
          </w:p>
        </w:tc>
        <w:tc>
          <w:tcPr>
            <w:tcW w:w="0" w:type="auto"/>
            <w:gridSpan w:val="8"/>
          </w:tcPr>
          <w:p w14:paraId="2DAA75A2" w14:textId="7F953CC6" w:rsidR="00A11242" w:rsidRDefault="00A11242" w:rsidP="00650909">
            <w:pPr>
              <w:autoSpaceDE w:val="0"/>
              <w:autoSpaceDN w:val="0"/>
              <w:adjustRightInd w:val="0"/>
              <w:spacing w:after="120"/>
              <w:jc w:val="center"/>
              <w:rPr>
                <w:sz w:val="22"/>
                <w:szCs w:val="22"/>
              </w:rPr>
            </w:pPr>
            <w:r>
              <w:rPr>
                <w:rFonts w:hint="eastAsia"/>
                <w:sz w:val="22"/>
                <w:szCs w:val="22"/>
                <w:lang w:eastAsia="zh-CN"/>
              </w:rPr>
              <w:t>Serum Bilirubin at Study Enrollment</w:t>
            </w:r>
          </w:p>
        </w:tc>
      </w:tr>
      <w:tr w:rsidR="00332CE5" w14:paraId="5277AB81" w14:textId="77777777" w:rsidTr="00650909">
        <w:tc>
          <w:tcPr>
            <w:tcW w:w="0" w:type="auto"/>
          </w:tcPr>
          <w:p w14:paraId="759597C2" w14:textId="77777777" w:rsidR="00A54064" w:rsidRDefault="00A54064" w:rsidP="00796186">
            <w:pPr>
              <w:autoSpaceDE w:val="0"/>
              <w:autoSpaceDN w:val="0"/>
              <w:adjustRightInd w:val="0"/>
              <w:spacing w:after="120"/>
              <w:rPr>
                <w:sz w:val="22"/>
                <w:szCs w:val="22"/>
              </w:rPr>
            </w:pPr>
          </w:p>
        </w:tc>
        <w:tc>
          <w:tcPr>
            <w:tcW w:w="0" w:type="auto"/>
          </w:tcPr>
          <w:p w14:paraId="3F03CC65" w14:textId="77777777" w:rsidR="00A54064" w:rsidRDefault="00A54064" w:rsidP="00796186">
            <w:pPr>
              <w:autoSpaceDE w:val="0"/>
              <w:autoSpaceDN w:val="0"/>
              <w:adjustRightInd w:val="0"/>
              <w:spacing w:after="120"/>
              <w:rPr>
                <w:sz w:val="22"/>
                <w:szCs w:val="22"/>
                <w:lang w:eastAsia="zh-CN"/>
              </w:rPr>
            </w:pPr>
            <w:r>
              <w:rPr>
                <w:rFonts w:hint="eastAsia"/>
                <w:sz w:val="22"/>
                <w:szCs w:val="22"/>
                <w:lang w:eastAsia="zh-CN"/>
              </w:rPr>
              <w:t>0.25-0.49</w:t>
            </w:r>
          </w:p>
          <w:p w14:paraId="06EBE956" w14:textId="67B95279" w:rsidR="00A54064" w:rsidRDefault="00A54064" w:rsidP="00796186">
            <w:pPr>
              <w:autoSpaceDE w:val="0"/>
              <w:autoSpaceDN w:val="0"/>
              <w:adjustRightInd w:val="0"/>
              <w:spacing w:after="120"/>
              <w:rPr>
                <w:sz w:val="22"/>
                <w:szCs w:val="22"/>
                <w:lang w:eastAsia="zh-CN"/>
              </w:rPr>
            </w:pPr>
            <w:r>
              <w:rPr>
                <w:rFonts w:hint="eastAsia"/>
                <w:sz w:val="22"/>
                <w:szCs w:val="22"/>
                <w:lang w:eastAsia="zh-CN"/>
              </w:rPr>
              <w:t>mg/dL</w:t>
            </w:r>
          </w:p>
        </w:tc>
        <w:tc>
          <w:tcPr>
            <w:tcW w:w="0" w:type="auto"/>
          </w:tcPr>
          <w:p w14:paraId="5BF76250" w14:textId="19C10C60" w:rsidR="00650909" w:rsidRDefault="00650909" w:rsidP="00650909">
            <w:pPr>
              <w:autoSpaceDE w:val="0"/>
              <w:autoSpaceDN w:val="0"/>
              <w:adjustRightInd w:val="0"/>
              <w:spacing w:after="120"/>
              <w:rPr>
                <w:sz w:val="22"/>
                <w:szCs w:val="22"/>
                <w:lang w:eastAsia="zh-CN"/>
              </w:rPr>
            </w:pPr>
            <w:r>
              <w:rPr>
                <w:rFonts w:hint="eastAsia"/>
                <w:sz w:val="22"/>
                <w:szCs w:val="22"/>
                <w:lang w:eastAsia="zh-CN"/>
              </w:rPr>
              <w:t>0.5</w:t>
            </w:r>
            <w:r>
              <w:rPr>
                <w:sz w:val="22"/>
                <w:szCs w:val="22"/>
                <w:lang w:eastAsia="zh-CN"/>
              </w:rPr>
              <w:t>0</w:t>
            </w:r>
            <w:r>
              <w:rPr>
                <w:rFonts w:hint="eastAsia"/>
                <w:sz w:val="22"/>
                <w:szCs w:val="22"/>
                <w:lang w:eastAsia="zh-CN"/>
              </w:rPr>
              <w:t>-0.99</w:t>
            </w:r>
          </w:p>
          <w:p w14:paraId="23634576" w14:textId="3C838E20" w:rsidR="00A54064" w:rsidRDefault="00650909" w:rsidP="00650909">
            <w:pPr>
              <w:autoSpaceDE w:val="0"/>
              <w:autoSpaceDN w:val="0"/>
              <w:adjustRightInd w:val="0"/>
              <w:spacing w:after="120"/>
              <w:rPr>
                <w:sz w:val="22"/>
                <w:szCs w:val="22"/>
                <w:lang w:eastAsia="zh-CN"/>
              </w:rPr>
            </w:pPr>
            <w:r>
              <w:rPr>
                <w:rFonts w:hint="eastAsia"/>
                <w:sz w:val="22"/>
                <w:szCs w:val="22"/>
                <w:lang w:eastAsia="zh-CN"/>
              </w:rPr>
              <w:t>mg/dL</w:t>
            </w:r>
          </w:p>
        </w:tc>
        <w:tc>
          <w:tcPr>
            <w:tcW w:w="0" w:type="auto"/>
          </w:tcPr>
          <w:p w14:paraId="0C51FA11" w14:textId="055ED396" w:rsidR="00A54064" w:rsidRDefault="00A54064" w:rsidP="00A54064">
            <w:pPr>
              <w:autoSpaceDE w:val="0"/>
              <w:autoSpaceDN w:val="0"/>
              <w:adjustRightInd w:val="0"/>
              <w:spacing w:after="120"/>
              <w:rPr>
                <w:sz w:val="22"/>
                <w:szCs w:val="22"/>
                <w:lang w:eastAsia="zh-CN"/>
              </w:rPr>
            </w:pPr>
            <w:r>
              <w:rPr>
                <w:rFonts w:hint="eastAsia"/>
                <w:sz w:val="22"/>
                <w:szCs w:val="22"/>
                <w:lang w:eastAsia="zh-CN"/>
              </w:rPr>
              <w:t>1.00-1.99</w:t>
            </w:r>
          </w:p>
          <w:p w14:paraId="326C82B4" w14:textId="3FF30883" w:rsidR="00A54064" w:rsidRDefault="00A54064" w:rsidP="00A54064">
            <w:pPr>
              <w:autoSpaceDE w:val="0"/>
              <w:autoSpaceDN w:val="0"/>
              <w:adjustRightInd w:val="0"/>
              <w:spacing w:after="120"/>
              <w:rPr>
                <w:sz w:val="22"/>
                <w:szCs w:val="22"/>
              </w:rPr>
            </w:pPr>
            <w:r>
              <w:rPr>
                <w:rFonts w:hint="eastAsia"/>
                <w:sz w:val="22"/>
                <w:szCs w:val="22"/>
                <w:lang w:eastAsia="zh-CN"/>
              </w:rPr>
              <w:t>mg/dL</w:t>
            </w:r>
          </w:p>
        </w:tc>
        <w:tc>
          <w:tcPr>
            <w:tcW w:w="0" w:type="auto"/>
          </w:tcPr>
          <w:p w14:paraId="699A551E" w14:textId="78007D27" w:rsidR="00A54064" w:rsidRDefault="00A54064" w:rsidP="00A54064">
            <w:pPr>
              <w:autoSpaceDE w:val="0"/>
              <w:autoSpaceDN w:val="0"/>
              <w:adjustRightInd w:val="0"/>
              <w:spacing w:after="120"/>
              <w:rPr>
                <w:sz w:val="22"/>
                <w:szCs w:val="22"/>
                <w:lang w:eastAsia="zh-CN"/>
              </w:rPr>
            </w:pPr>
            <w:r>
              <w:rPr>
                <w:rFonts w:hint="eastAsia"/>
                <w:sz w:val="22"/>
                <w:szCs w:val="22"/>
                <w:lang w:eastAsia="zh-CN"/>
              </w:rPr>
              <w:t>2.00-3.99</w:t>
            </w:r>
          </w:p>
          <w:p w14:paraId="07DF0E22" w14:textId="60C03D55" w:rsidR="00A54064" w:rsidRDefault="00A54064" w:rsidP="00A54064">
            <w:pPr>
              <w:autoSpaceDE w:val="0"/>
              <w:autoSpaceDN w:val="0"/>
              <w:adjustRightInd w:val="0"/>
              <w:spacing w:after="120"/>
              <w:rPr>
                <w:sz w:val="22"/>
                <w:szCs w:val="22"/>
              </w:rPr>
            </w:pPr>
            <w:r>
              <w:rPr>
                <w:rFonts w:hint="eastAsia"/>
                <w:sz w:val="22"/>
                <w:szCs w:val="22"/>
                <w:lang w:eastAsia="zh-CN"/>
              </w:rPr>
              <w:t>mg/dL</w:t>
            </w:r>
          </w:p>
        </w:tc>
        <w:tc>
          <w:tcPr>
            <w:tcW w:w="0" w:type="auto"/>
          </w:tcPr>
          <w:p w14:paraId="49FDD320" w14:textId="5B97D36D" w:rsidR="00A54064" w:rsidRDefault="00A54064" w:rsidP="00A54064">
            <w:pPr>
              <w:autoSpaceDE w:val="0"/>
              <w:autoSpaceDN w:val="0"/>
              <w:adjustRightInd w:val="0"/>
              <w:spacing w:after="120"/>
              <w:rPr>
                <w:sz w:val="22"/>
                <w:szCs w:val="22"/>
                <w:lang w:eastAsia="zh-CN"/>
              </w:rPr>
            </w:pPr>
            <w:r>
              <w:rPr>
                <w:rFonts w:hint="eastAsia"/>
                <w:sz w:val="22"/>
                <w:szCs w:val="22"/>
                <w:lang w:eastAsia="zh-CN"/>
              </w:rPr>
              <w:t>4.00-7.99</w:t>
            </w:r>
          </w:p>
          <w:p w14:paraId="132DE08E" w14:textId="29994606" w:rsidR="00A54064" w:rsidRDefault="00A54064" w:rsidP="00A54064">
            <w:pPr>
              <w:autoSpaceDE w:val="0"/>
              <w:autoSpaceDN w:val="0"/>
              <w:adjustRightInd w:val="0"/>
              <w:spacing w:after="120"/>
              <w:rPr>
                <w:sz w:val="22"/>
                <w:szCs w:val="22"/>
              </w:rPr>
            </w:pPr>
            <w:r>
              <w:rPr>
                <w:rFonts w:hint="eastAsia"/>
                <w:sz w:val="22"/>
                <w:szCs w:val="22"/>
                <w:lang w:eastAsia="zh-CN"/>
              </w:rPr>
              <w:t>mg/dL</w:t>
            </w:r>
          </w:p>
        </w:tc>
        <w:tc>
          <w:tcPr>
            <w:tcW w:w="0" w:type="auto"/>
          </w:tcPr>
          <w:p w14:paraId="78200E05" w14:textId="1189E0E0" w:rsidR="00A54064" w:rsidRDefault="00E107D1" w:rsidP="00A54064">
            <w:pPr>
              <w:autoSpaceDE w:val="0"/>
              <w:autoSpaceDN w:val="0"/>
              <w:adjustRightInd w:val="0"/>
              <w:spacing w:after="120"/>
              <w:rPr>
                <w:sz w:val="22"/>
                <w:szCs w:val="22"/>
                <w:lang w:eastAsia="zh-CN"/>
              </w:rPr>
            </w:pPr>
            <w:r>
              <w:rPr>
                <w:rFonts w:hint="eastAsia"/>
                <w:sz w:val="22"/>
                <w:szCs w:val="22"/>
                <w:lang w:eastAsia="zh-CN"/>
              </w:rPr>
              <w:t>8.00-15.99</w:t>
            </w:r>
          </w:p>
          <w:p w14:paraId="620C75E2" w14:textId="00C6DEB7" w:rsidR="00A54064" w:rsidRDefault="00A54064" w:rsidP="00A54064">
            <w:pPr>
              <w:autoSpaceDE w:val="0"/>
              <w:autoSpaceDN w:val="0"/>
              <w:adjustRightInd w:val="0"/>
              <w:spacing w:after="120"/>
              <w:rPr>
                <w:sz w:val="22"/>
                <w:szCs w:val="22"/>
              </w:rPr>
            </w:pPr>
            <w:r>
              <w:rPr>
                <w:rFonts w:hint="eastAsia"/>
                <w:sz w:val="22"/>
                <w:szCs w:val="22"/>
                <w:lang w:eastAsia="zh-CN"/>
              </w:rPr>
              <w:t>mg/dL</w:t>
            </w:r>
          </w:p>
        </w:tc>
        <w:tc>
          <w:tcPr>
            <w:tcW w:w="0" w:type="auto"/>
          </w:tcPr>
          <w:p w14:paraId="685AC08F" w14:textId="7FC13ACF" w:rsidR="00A54064" w:rsidRDefault="00E107D1" w:rsidP="00A54064">
            <w:pPr>
              <w:autoSpaceDE w:val="0"/>
              <w:autoSpaceDN w:val="0"/>
              <w:adjustRightInd w:val="0"/>
              <w:spacing w:after="120"/>
              <w:rPr>
                <w:sz w:val="22"/>
                <w:szCs w:val="22"/>
                <w:lang w:eastAsia="zh-CN"/>
              </w:rPr>
            </w:pPr>
            <w:r>
              <w:rPr>
                <w:rFonts w:hint="eastAsia"/>
                <w:sz w:val="22"/>
                <w:szCs w:val="22"/>
                <w:lang w:eastAsia="zh-CN"/>
              </w:rPr>
              <w:t>&gt;16.00</w:t>
            </w:r>
          </w:p>
          <w:p w14:paraId="13135830" w14:textId="7C9A22FC" w:rsidR="00A54064" w:rsidRDefault="00A54064" w:rsidP="00A54064">
            <w:pPr>
              <w:autoSpaceDE w:val="0"/>
              <w:autoSpaceDN w:val="0"/>
              <w:adjustRightInd w:val="0"/>
              <w:spacing w:after="120"/>
              <w:rPr>
                <w:sz w:val="22"/>
                <w:szCs w:val="22"/>
              </w:rPr>
            </w:pPr>
            <w:r>
              <w:rPr>
                <w:rFonts w:hint="eastAsia"/>
                <w:sz w:val="22"/>
                <w:szCs w:val="22"/>
                <w:lang w:eastAsia="zh-CN"/>
              </w:rPr>
              <w:t>mg/dL</w:t>
            </w:r>
          </w:p>
        </w:tc>
        <w:tc>
          <w:tcPr>
            <w:tcW w:w="0" w:type="auto"/>
          </w:tcPr>
          <w:p w14:paraId="682AF14B" w14:textId="69483F81" w:rsidR="00A54064" w:rsidRDefault="002054B5" w:rsidP="00796186">
            <w:pPr>
              <w:autoSpaceDE w:val="0"/>
              <w:autoSpaceDN w:val="0"/>
              <w:adjustRightInd w:val="0"/>
              <w:spacing w:after="120"/>
              <w:rPr>
                <w:sz w:val="22"/>
                <w:szCs w:val="22"/>
                <w:lang w:eastAsia="zh-CN"/>
              </w:rPr>
            </w:pPr>
            <w:r>
              <w:rPr>
                <w:rFonts w:hint="eastAsia"/>
                <w:sz w:val="22"/>
                <w:szCs w:val="22"/>
                <w:lang w:eastAsia="zh-CN"/>
              </w:rPr>
              <w:t>All level</w:t>
            </w:r>
          </w:p>
        </w:tc>
      </w:tr>
      <w:tr w:rsidR="00332CE5" w14:paraId="212E6B48" w14:textId="77777777" w:rsidTr="00650909">
        <w:tc>
          <w:tcPr>
            <w:tcW w:w="0" w:type="auto"/>
          </w:tcPr>
          <w:p w14:paraId="53FB44DC" w14:textId="5248D8DB" w:rsidR="00A54064" w:rsidRDefault="007E37EE" w:rsidP="00796186">
            <w:pPr>
              <w:autoSpaceDE w:val="0"/>
              <w:autoSpaceDN w:val="0"/>
              <w:adjustRightInd w:val="0"/>
              <w:spacing w:after="120"/>
              <w:rPr>
                <w:sz w:val="22"/>
                <w:szCs w:val="22"/>
                <w:lang w:eastAsia="zh-CN"/>
              </w:rPr>
            </w:pPr>
            <w:r>
              <w:rPr>
                <w:rFonts w:hint="eastAsia"/>
                <w:sz w:val="22"/>
                <w:szCs w:val="22"/>
                <w:lang w:eastAsia="zh-CN"/>
              </w:rPr>
              <w:t>N subjects</w:t>
            </w:r>
          </w:p>
        </w:tc>
        <w:tc>
          <w:tcPr>
            <w:tcW w:w="0" w:type="auto"/>
          </w:tcPr>
          <w:p w14:paraId="698D9352" w14:textId="148D6184" w:rsidR="00A54064" w:rsidRDefault="00245844" w:rsidP="00796186">
            <w:pPr>
              <w:autoSpaceDE w:val="0"/>
              <w:autoSpaceDN w:val="0"/>
              <w:adjustRightInd w:val="0"/>
              <w:spacing w:after="120"/>
              <w:rPr>
                <w:sz w:val="22"/>
                <w:szCs w:val="22"/>
                <w:lang w:eastAsia="zh-CN"/>
              </w:rPr>
            </w:pPr>
            <w:r>
              <w:rPr>
                <w:rFonts w:hint="eastAsia"/>
                <w:sz w:val="22"/>
                <w:szCs w:val="22"/>
                <w:lang w:eastAsia="zh-CN"/>
              </w:rPr>
              <w:t>13</w:t>
            </w:r>
          </w:p>
        </w:tc>
        <w:tc>
          <w:tcPr>
            <w:tcW w:w="0" w:type="auto"/>
          </w:tcPr>
          <w:p w14:paraId="7759A41A" w14:textId="435F2DF8" w:rsidR="00A54064" w:rsidRDefault="00245844" w:rsidP="00796186">
            <w:pPr>
              <w:autoSpaceDE w:val="0"/>
              <w:autoSpaceDN w:val="0"/>
              <w:adjustRightInd w:val="0"/>
              <w:spacing w:after="120"/>
              <w:rPr>
                <w:sz w:val="22"/>
                <w:szCs w:val="22"/>
                <w:lang w:eastAsia="zh-CN"/>
              </w:rPr>
            </w:pPr>
            <w:r>
              <w:rPr>
                <w:rFonts w:hint="eastAsia"/>
                <w:sz w:val="22"/>
                <w:szCs w:val="22"/>
                <w:lang w:eastAsia="zh-CN"/>
              </w:rPr>
              <w:t>129</w:t>
            </w:r>
          </w:p>
        </w:tc>
        <w:tc>
          <w:tcPr>
            <w:tcW w:w="0" w:type="auto"/>
          </w:tcPr>
          <w:p w14:paraId="44F96830" w14:textId="5F9DFFFC" w:rsidR="00A54064" w:rsidRDefault="00245844" w:rsidP="00796186">
            <w:pPr>
              <w:autoSpaceDE w:val="0"/>
              <w:autoSpaceDN w:val="0"/>
              <w:adjustRightInd w:val="0"/>
              <w:spacing w:after="120"/>
              <w:rPr>
                <w:sz w:val="22"/>
                <w:szCs w:val="22"/>
                <w:lang w:eastAsia="zh-CN"/>
              </w:rPr>
            </w:pPr>
            <w:r>
              <w:rPr>
                <w:rFonts w:hint="eastAsia"/>
                <w:sz w:val="22"/>
                <w:szCs w:val="22"/>
                <w:lang w:eastAsia="zh-CN"/>
              </w:rPr>
              <w:t>107</w:t>
            </w:r>
          </w:p>
        </w:tc>
        <w:tc>
          <w:tcPr>
            <w:tcW w:w="0" w:type="auto"/>
          </w:tcPr>
          <w:p w14:paraId="2F1EE543" w14:textId="7CF6DB46" w:rsidR="00A54064" w:rsidRDefault="00245844" w:rsidP="00796186">
            <w:pPr>
              <w:autoSpaceDE w:val="0"/>
              <w:autoSpaceDN w:val="0"/>
              <w:adjustRightInd w:val="0"/>
              <w:spacing w:after="120"/>
              <w:rPr>
                <w:sz w:val="22"/>
                <w:szCs w:val="22"/>
                <w:lang w:eastAsia="zh-CN"/>
              </w:rPr>
            </w:pPr>
            <w:r>
              <w:rPr>
                <w:rFonts w:hint="eastAsia"/>
                <w:sz w:val="22"/>
                <w:szCs w:val="22"/>
                <w:lang w:eastAsia="zh-CN"/>
              </w:rPr>
              <w:t>78</w:t>
            </w:r>
          </w:p>
        </w:tc>
        <w:tc>
          <w:tcPr>
            <w:tcW w:w="0" w:type="auto"/>
          </w:tcPr>
          <w:p w14:paraId="4F4DFD6D" w14:textId="328E4B15" w:rsidR="00A54064" w:rsidRDefault="00245844" w:rsidP="00796186">
            <w:pPr>
              <w:autoSpaceDE w:val="0"/>
              <w:autoSpaceDN w:val="0"/>
              <w:adjustRightInd w:val="0"/>
              <w:spacing w:after="120"/>
              <w:rPr>
                <w:sz w:val="22"/>
                <w:szCs w:val="22"/>
                <w:lang w:eastAsia="zh-CN"/>
              </w:rPr>
            </w:pPr>
            <w:r>
              <w:rPr>
                <w:rFonts w:hint="eastAsia"/>
                <w:sz w:val="22"/>
                <w:szCs w:val="22"/>
                <w:lang w:eastAsia="zh-CN"/>
              </w:rPr>
              <w:t>48</w:t>
            </w:r>
          </w:p>
        </w:tc>
        <w:tc>
          <w:tcPr>
            <w:tcW w:w="0" w:type="auto"/>
          </w:tcPr>
          <w:p w14:paraId="7E002060" w14:textId="04B7E992" w:rsidR="00A54064" w:rsidRDefault="00245844" w:rsidP="00796186">
            <w:pPr>
              <w:autoSpaceDE w:val="0"/>
              <w:autoSpaceDN w:val="0"/>
              <w:adjustRightInd w:val="0"/>
              <w:spacing w:after="120"/>
              <w:rPr>
                <w:sz w:val="22"/>
                <w:szCs w:val="22"/>
                <w:lang w:eastAsia="zh-CN"/>
              </w:rPr>
            </w:pPr>
            <w:r>
              <w:rPr>
                <w:rFonts w:hint="eastAsia"/>
                <w:sz w:val="22"/>
                <w:szCs w:val="22"/>
                <w:lang w:eastAsia="zh-CN"/>
              </w:rPr>
              <w:t>27</w:t>
            </w:r>
          </w:p>
        </w:tc>
        <w:tc>
          <w:tcPr>
            <w:tcW w:w="0" w:type="auto"/>
          </w:tcPr>
          <w:p w14:paraId="65E704A6" w14:textId="25845A46" w:rsidR="00A54064" w:rsidRDefault="00245844" w:rsidP="00796186">
            <w:pPr>
              <w:autoSpaceDE w:val="0"/>
              <w:autoSpaceDN w:val="0"/>
              <w:adjustRightInd w:val="0"/>
              <w:spacing w:after="120"/>
              <w:rPr>
                <w:sz w:val="22"/>
                <w:szCs w:val="22"/>
                <w:lang w:eastAsia="zh-CN"/>
              </w:rPr>
            </w:pPr>
            <w:r>
              <w:rPr>
                <w:rFonts w:hint="eastAsia"/>
                <w:sz w:val="22"/>
                <w:szCs w:val="22"/>
                <w:lang w:eastAsia="zh-CN"/>
              </w:rPr>
              <w:t>16</w:t>
            </w:r>
          </w:p>
        </w:tc>
        <w:tc>
          <w:tcPr>
            <w:tcW w:w="0" w:type="auto"/>
          </w:tcPr>
          <w:p w14:paraId="6AAA4538" w14:textId="09DFE419" w:rsidR="00A54064" w:rsidRDefault="00245844" w:rsidP="00796186">
            <w:pPr>
              <w:autoSpaceDE w:val="0"/>
              <w:autoSpaceDN w:val="0"/>
              <w:adjustRightInd w:val="0"/>
              <w:spacing w:after="120"/>
              <w:rPr>
                <w:sz w:val="22"/>
                <w:szCs w:val="22"/>
                <w:lang w:eastAsia="zh-CN"/>
              </w:rPr>
            </w:pPr>
            <w:r>
              <w:rPr>
                <w:rFonts w:hint="eastAsia"/>
                <w:sz w:val="22"/>
                <w:szCs w:val="22"/>
                <w:lang w:eastAsia="zh-CN"/>
              </w:rPr>
              <w:t>418</w:t>
            </w:r>
          </w:p>
        </w:tc>
      </w:tr>
      <w:tr w:rsidR="00332CE5" w14:paraId="6AE4F461" w14:textId="77777777" w:rsidTr="00650909">
        <w:tc>
          <w:tcPr>
            <w:tcW w:w="0" w:type="auto"/>
          </w:tcPr>
          <w:p w14:paraId="0CD67F41" w14:textId="1FF267EB" w:rsidR="00A54064" w:rsidRDefault="00077F94" w:rsidP="00796186">
            <w:pPr>
              <w:autoSpaceDE w:val="0"/>
              <w:autoSpaceDN w:val="0"/>
              <w:adjustRightInd w:val="0"/>
              <w:spacing w:after="120"/>
              <w:rPr>
                <w:sz w:val="22"/>
                <w:szCs w:val="22"/>
                <w:lang w:eastAsia="zh-CN"/>
              </w:rPr>
            </w:pPr>
            <w:r>
              <w:rPr>
                <w:rFonts w:hint="eastAsia"/>
                <w:sz w:val="22"/>
                <w:szCs w:val="22"/>
                <w:lang w:eastAsia="zh-CN"/>
              </w:rPr>
              <w:t>N deaths</w:t>
            </w:r>
          </w:p>
        </w:tc>
        <w:tc>
          <w:tcPr>
            <w:tcW w:w="0" w:type="auto"/>
          </w:tcPr>
          <w:p w14:paraId="1BDC88C7" w14:textId="3FC5C069" w:rsidR="00A54064" w:rsidRDefault="00163209" w:rsidP="00796186">
            <w:pPr>
              <w:autoSpaceDE w:val="0"/>
              <w:autoSpaceDN w:val="0"/>
              <w:adjustRightInd w:val="0"/>
              <w:spacing w:after="120"/>
              <w:rPr>
                <w:sz w:val="22"/>
                <w:szCs w:val="22"/>
                <w:lang w:eastAsia="zh-CN"/>
              </w:rPr>
            </w:pPr>
            <w:r>
              <w:rPr>
                <w:rFonts w:hint="eastAsia"/>
                <w:sz w:val="22"/>
                <w:szCs w:val="22"/>
                <w:lang w:eastAsia="zh-CN"/>
              </w:rPr>
              <w:t>3</w:t>
            </w:r>
          </w:p>
        </w:tc>
        <w:tc>
          <w:tcPr>
            <w:tcW w:w="0" w:type="auto"/>
          </w:tcPr>
          <w:p w14:paraId="7677FB8D" w14:textId="04EFC820" w:rsidR="00A54064" w:rsidRDefault="00163209" w:rsidP="00796186">
            <w:pPr>
              <w:autoSpaceDE w:val="0"/>
              <w:autoSpaceDN w:val="0"/>
              <w:adjustRightInd w:val="0"/>
              <w:spacing w:after="120"/>
              <w:rPr>
                <w:sz w:val="22"/>
                <w:szCs w:val="22"/>
                <w:lang w:eastAsia="zh-CN"/>
              </w:rPr>
            </w:pPr>
            <w:r>
              <w:rPr>
                <w:rFonts w:hint="eastAsia"/>
                <w:sz w:val="22"/>
                <w:szCs w:val="22"/>
                <w:lang w:eastAsia="zh-CN"/>
              </w:rPr>
              <w:t>17</w:t>
            </w:r>
          </w:p>
        </w:tc>
        <w:tc>
          <w:tcPr>
            <w:tcW w:w="0" w:type="auto"/>
          </w:tcPr>
          <w:p w14:paraId="73FA5871" w14:textId="29CCEFA0" w:rsidR="00A54064" w:rsidRDefault="00163209" w:rsidP="00796186">
            <w:pPr>
              <w:autoSpaceDE w:val="0"/>
              <w:autoSpaceDN w:val="0"/>
              <w:adjustRightInd w:val="0"/>
              <w:spacing w:after="120"/>
              <w:rPr>
                <w:sz w:val="22"/>
                <w:szCs w:val="22"/>
                <w:lang w:eastAsia="zh-CN"/>
              </w:rPr>
            </w:pPr>
            <w:r>
              <w:rPr>
                <w:rFonts w:hint="eastAsia"/>
                <w:sz w:val="22"/>
                <w:szCs w:val="22"/>
                <w:lang w:eastAsia="zh-CN"/>
              </w:rPr>
              <w:t>30</w:t>
            </w:r>
          </w:p>
        </w:tc>
        <w:tc>
          <w:tcPr>
            <w:tcW w:w="0" w:type="auto"/>
          </w:tcPr>
          <w:p w14:paraId="661FC994" w14:textId="5C1CFBF9" w:rsidR="00A54064" w:rsidRDefault="00163209" w:rsidP="00796186">
            <w:pPr>
              <w:autoSpaceDE w:val="0"/>
              <w:autoSpaceDN w:val="0"/>
              <w:adjustRightInd w:val="0"/>
              <w:spacing w:after="120"/>
              <w:rPr>
                <w:sz w:val="22"/>
                <w:szCs w:val="22"/>
                <w:lang w:eastAsia="zh-CN"/>
              </w:rPr>
            </w:pPr>
            <w:r>
              <w:rPr>
                <w:rFonts w:hint="eastAsia"/>
                <w:sz w:val="22"/>
                <w:szCs w:val="22"/>
                <w:lang w:eastAsia="zh-CN"/>
              </w:rPr>
              <w:t>44</w:t>
            </w:r>
          </w:p>
        </w:tc>
        <w:tc>
          <w:tcPr>
            <w:tcW w:w="0" w:type="auto"/>
          </w:tcPr>
          <w:p w14:paraId="6C852D92" w14:textId="6DE7EFE5" w:rsidR="00A54064" w:rsidRDefault="00163209" w:rsidP="00796186">
            <w:pPr>
              <w:autoSpaceDE w:val="0"/>
              <w:autoSpaceDN w:val="0"/>
              <w:adjustRightInd w:val="0"/>
              <w:spacing w:after="120"/>
              <w:rPr>
                <w:sz w:val="22"/>
                <w:szCs w:val="22"/>
                <w:lang w:eastAsia="zh-CN"/>
              </w:rPr>
            </w:pPr>
            <w:r>
              <w:rPr>
                <w:rFonts w:hint="eastAsia"/>
                <w:sz w:val="22"/>
                <w:szCs w:val="22"/>
                <w:lang w:eastAsia="zh-CN"/>
              </w:rPr>
              <w:t>32</w:t>
            </w:r>
          </w:p>
        </w:tc>
        <w:tc>
          <w:tcPr>
            <w:tcW w:w="0" w:type="auto"/>
          </w:tcPr>
          <w:p w14:paraId="4C322F14" w14:textId="594D4386" w:rsidR="00A54064" w:rsidRDefault="00163209" w:rsidP="00796186">
            <w:pPr>
              <w:autoSpaceDE w:val="0"/>
              <w:autoSpaceDN w:val="0"/>
              <w:adjustRightInd w:val="0"/>
              <w:spacing w:after="120"/>
              <w:rPr>
                <w:sz w:val="22"/>
                <w:szCs w:val="22"/>
                <w:lang w:eastAsia="zh-CN"/>
              </w:rPr>
            </w:pPr>
            <w:r>
              <w:rPr>
                <w:rFonts w:hint="eastAsia"/>
                <w:sz w:val="22"/>
                <w:szCs w:val="22"/>
                <w:lang w:eastAsia="zh-CN"/>
              </w:rPr>
              <w:t>20</w:t>
            </w:r>
          </w:p>
        </w:tc>
        <w:tc>
          <w:tcPr>
            <w:tcW w:w="0" w:type="auto"/>
          </w:tcPr>
          <w:p w14:paraId="3C44E19E" w14:textId="7F100B09" w:rsidR="00A54064" w:rsidRDefault="00163209" w:rsidP="00796186">
            <w:pPr>
              <w:autoSpaceDE w:val="0"/>
              <w:autoSpaceDN w:val="0"/>
              <w:adjustRightInd w:val="0"/>
              <w:spacing w:after="120"/>
              <w:rPr>
                <w:sz w:val="22"/>
                <w:szCs w:val="22"/>
                <w:lang w:eastAsia="zh-CN"/>
              </w:rPr>
            </w:pPr>
            <w:r>
              <w:rPr>
                <w:rFonts w:hint="eastAsia"/>
                <w:sz w:val="22"/>
                <w:szCs w:val="22"/>
                <w:lang w:eastAsia="zh-CN"/>
              </w:rPr>
              <w:t>15</w:t>
            </w:r>
          </w:p>
        </w:tc>
        <w:tc>
          <w:tcPr>
            <w:tcW w:w="0" w:type="auto"/>
          </w:tcPr>
          <w:p w14:paraId="39902B96" w14:textId="6725BCCA" w:rsidR="00A54064" w:rsidRDefault="000946F9" w:rsidP="00796186">
            <w:pPr>
              <w:autoSpaceDE w:val="0"/>
              <w:autoSpaceDN w:val="0"/>
              <w:adjustRightInd w:val="0"/>
              <w:spacing w:after="120"/>
              <w:rPr>
                <w:sz w:val="22"/>
                <w:szCs w:val="22"/>
                <w:lang w:eastAsia="zh-CN"/>
              </w:rPr>
            </w:pPr>
            <w:r>
              <w:rPr>
                <w:rFonts w:hint="eastAsia"/>
                <w:sz w:val="22"/>
                <w:szCs w:val="22"/>
                <w:lang w:eastAsia="zh-CN"/>
              </w:rPr>
              <w:t>161</w:t>
            </w:r>
          </w:p>
        </w:tc>
      </w:tr>
      <w:tr w:rsidR="00332CE5" w14:paraId="4983566E" w14:textId="77777777" w:rsidTr="00650909">
        <w:tc>
          <w:tcPr>
            <w:tcW w:w="0" w:type="auto"/>
          </w:tcPr>
          <w:p w14:paraId="256718C9" w14:textId="2BC56393" w:rsidR="00A54064" w:rsidRDefault="00C20FBB" w:rsidP="00796186">
            <w:pPr>
              <w:autoSpaceDE w:val="0"/>
              <w:autoSpaceDN w:val="0"/>
              <w:adjustRightInd w:val="0"/>
              <w:spacing w:after="120"/>
              <w:rPr>
                <w:sz w:val="22"/>
                <w:szCs w:val="22"/>
                <w:lang w:eastAsia="zh-CN"/>
              </w:rPr>
            </w:pPr>
            <w:r>
              <w:rPr>
                <w:rFonts w:hint="eastAsia"/>
                <w:sz w:val="22"/>
                <w:szCs w:val="22"/>
                <w:lang w:eastAsia="zh-CN"/>
              </w:rPr>
              <w:t>10%ile of Survival (year</w:t>
            </w:r>
            <w:r w:rsidR="000C42C0">
              <w:rPr>
                <w:rFonts w:hint="eastAsia"/>
                <w:sz w:val="22"/>
                <w:szCs w:val="22"/>
                <w:lang w:eastAsia="zh-CN"/>
              </w:rPr>
              <w:t>)</w:t>
            </w:r>
            <w:r w:rsidR="007035A1" w:rsidRPr="007035A1">
              <w:rPr>
                <w:sz w:val="22"/>
                <w:szCs w:val="22"/>
                <w:vertAlign w:val="superscript"/>
                <w:lang w:eastAsia="zh-CN"/>
              </w:rPr>
              <w:t>1</w:t>
            </w:r>
          </w:p>
        </w:tc>
        <w:tc>
          <w:tcPr>
            <w:tcW w:w="0" w:type="auto"/>
          </w:tcPr>
          <w:p w14:paraId="7F2E907C" w14:textId="5FC7C396" w:rsidR="00A54064" w:rsidRDefault="00197C32" w:rsidP="00796186">
            <w:pPr>
              <w:autoSpaceDE w:val="0"/>
              <w:autoSpaceDN w:val="0"/>
              <w:adjustRightInd w:val="0"/>
              <w:spacing w:after="120"/>
              <w:rPr>
                <w:sz w:val="22"/>
                <w:szCs w:val="22"/>
              </w:rPr>
            </w:pPr>
            <w:r>
              <w:rPr>
                <w:sz w:val="22"/>
                <w:szCs w:val="22"/>
              </w:rPr>
              <w:t>5.63</w:t>
            </w:r>
          </w:p>
        </w:tc>
        <w:tc>
          <w:tcPr>
            <w:tcW w:w="0" w:type="auto"/>
          </w:tcPr>
          <w:p w14:paraId="3869F177" w14:textId="0DA72C3C" w:rsidR="00A54064" w:rsidRDefault="00197C32" w:rsidP="00796186">
            <w:pPr>
              <w:autoSpaceDE w:val="0"/>
              <w:autoSpaceDN w:val="0"/>
              <w:adjustRightInd w:val="0"/>
              <w:spacing w:after="120"/>
              <w:rPr>
                <w:sz w:val="22"/>
                <w:szCs w:val="22"/>
              </w:rPr>
            </w:pPr>
            <w:r>
              <w:rPr>
                <w:sz w:val="22"/>
                <w:szCs w:val="22"/>
              </w:rPr>
              <w:t>6.09</w:t>
            </w:r>
          </w:p>
        </w:tc>
        <w:tc>
          <w:tcPr>
            <w:tcW w:w="0" w:type="auto"/>
          </w:tcPr>
          <w:p w14:paraId="536124FE" w14:textId="6158ABFF" w:rsidR="00A54064" w:rsidRDefault="00197C32" w:rsidP="00796186">
            <w:pPr>
              <w:autoSpaceDE w:val="0"/>
              <w:autoSpaceDN w:val="0"/>
              <w:adjustRightInd w:val="0"/>
              <w:spacing w:after="120"/>
              <w:rPr>
                <w:sz w:val="22"/>
                <w:szCs w:val="22"/>
              </w:rPr>
            </w:pPr>
            <w:r>
              <w:rPr>
                <w:sz w:val="22"/>
                <w:szCs w:val="22"/>
              </w:rPr>
              <w:t>3.32</w:t>
            </w:r>
          </w:p>
        </w:tc>
        <w:tc>
          <w:tcPr>
            <w:tcW w:w="0" w:type="auto"/>
          </w:tcPr>
          <w:p w14:paraId="50D4F80B" w14:textId="21CB4A4D" w:rsidR="00A54064" w:rsidRDefault="00197C32" w:rsidP="00796186">
            <w:pPr>
              <w:autoSpaceDE w:val="0"/>
              <w:autoSpaceDN w:val="0"/>
              <w:adjustRightInd w:val="0"/>
              <w:spacing w:after="120"/>
              <w:rPr>
                <w:sz w:val="22"/>
                <w:szCs w:val="22"/>
              </w:rPr>
            </w:pPr>
            <w:r>
              <w:rPr>
                <w:sz w:val="22"/>
                <w:szCs w:val="22"/>
              </w:rPr>
              <w:t>1.51</w:t>
            </w:r>
          </w:p>
        </w:tc>
        <w:tc>
          <w:tcPr>
            <w:tcW w:w="0" w:type="auto"/>
          </w:tcPr>
          <w:p w14:paraId="153C9AAF" w14:textId="0EEE3EB2" w:rsidR="00A54064" w:rsidRDefault="00197C32" w:rsidP="00796186">
            <w:pPr>
              <w:autoSpaceDE w:val="0"/>
              <w:autoSpaceDN w:val="0"/>
              <w:adjustRightInd w:val="0"/>
              <w:spacing w:after="120"/>
              <w:rPr>
                <w:sz w:val="22"/>
                <w:szCs w:val="22"/>
              </w:rPr>
            </w:pPr>
            <w:r>
              <w:rPr>
                <w:sz w:val="22"/>
                <w:szCs w:val="22"/>
              </w:rPr>
              <w:t>0.89</w:t>
            </w:r>
          </w:p>
        </w:tc>
        <w:tc>
          <w:tcPr>
            <w:tcW w:w="0" w:type="auto"/>
          </w:tcPr>
          <w:p w14:paraId="5106F980" w14:textId="47A2E571" w:rsidR="00A54064" w:rsidRDefault="00197C32" w:rsidP="00796186">
            <w:pPr>
              <w:autoSpaceDE w:val="0"/>
              <w:autoSpaceDN w:val="0"/>
              <w:adjustRightInd w:val="0"/>
              <w:spacing w:after="120"/>
              <w:rPr>
                <w:sz w:val="22"/>
                <w:szCs w:val="22"/>
              </w:rPr>
            </w:pPr>
            <w:r>
              <w:rPr>
                <w:sz w:val="22"/>
                <w:szCs w:val="22"/>
              </w:rPr>
              <w:t>0</w:t>
            </w:r>
            <w:r w:rsidRPr="00197C32">
              <w:rPr>
                <w:sz w:val="22"/>
                <w:szCs w:val="22"/>
              </w:rPr>
              <w:t>.19</w:t>
            </w:r>
          </w:p>
        </w:tc>
        <w:tc>
          <w:tcPr>
            <w:tcW w:w="0" w:type="auto"/>
          </w:tcPr>
          <w:p w14:paraId="139E79BF" w14:textId="5DA8C58A" w:rsidR="00A54064" w:rsidRDefault="00197C32" w:rsidP="00796186">
            <w:pPr>
              <w:autoSpaceDE w:val="0"/>
              <w:autoSpaceDN w:val="0"/>
              <w:adjustRightInd w:val="0"/>
              <w:spacing w:after="120"/>
              <w:rPr>
                <w:sz w:val="22"/>
                <w:szCs w:val="22"/>
              </w:rPr>
            </w:pPr>
            <w:r>
              <w:rPr>
                <w:sz w:val="22"/>
                <w:szCs w:val="22"/>
              </w:rPr>
              <w:t>0</w:t>
            </w:r>
            <w:r w:rsidRPr="00197C32">
              <w:rPr>
                <w:sz w:val="22"/>
                <w:szCs w:val="22"/>
              </w:rPr>
              <w:t>.21</w:t>
            </w:r>
          </w:p>
        </w:tc>
        <w:tc>
          <w:tcPr>
            <w:tcW w:w="0" w:type="auto"/>
          </w:tcPr>
          <w:p w14:paraId="41B14A7C" w14:textId="11F2D0E1" w:rsidR="00A54064" w:rsidRDefault="00197C32" w:rsidP="00796186">
            <w:pPr>
              <w:autoSpaceDE w:val="0"/>
              <w:autoSpaceDN w:val="0"/>
              <w:adjustRightInd w:val="0"/>
              <w:spacing w:after="120"/>
              <w:rPr>
                <w:sz w:val="22"/>
                <w:szCs w:val="22"/>
              </w:rPr>
            </w:pPr>
            <w:r>
              <w:rPr>
                <w:sz w:val="22"/>
                <w:szCs w:val="22"/>
              </w:rPr>
              <w:t>1.67</w:t>
            </w:r>
          </w:p>
        </w:tc>
      </w:tr>
      <w:tr w:rsidR="00332CE5" w14:paraId="49E6AB65" w14:textId="77777777" w:rsidTr="00650909">
        <w:tc>
          <w:tcPr>
            <w:tcW w:w="0" w:type="auto"/>
          </w:tcPr>
          <w:p w14:paraId="4E979C91" w14:textId="0CC0CADC" w:rsidR="00A54064" w:rsidRDefault="00021C01" w:rsidP="00C20FBB">
            <w:pPr>
              <w:autoSpaceDE w:val="0"/>
              <w:autoSpaceDN w:val="0"/>
              <w:adjustRightInd w:val="0"/>
              <w:spacing w:after="120"/>
              <w:rPr>
                <w:sz w:val="22"/>
                <w:szCs w:val="22"/>
              </w:rPr>
            </w:pPr>
            <w:r>
              <w:rPr>
                <w:rFonts w:hint="eastAsia"/>
                <w:sz w:val="22"/>
                <w:szCs w:val="22"/>
                <w:lang w:eastAsia="zh-CN"/>
              </w:rPr>
              <w:t>Median of Survival (</w:t>
            </w:r>
            <w:r w:rsidR="00C20FBB">
              <w:rPr>
                <w:sz w:val="22"/>
                <w:szCs w:val="22"/>
                <w:lang w:eastAsia="zh-CN"/>
              </w:rPr>
              <w:t>year</w:t>
            </w:r>
            <w:r w:rsidR="000C42C0">
              <w:rPr>
                <w:rFonts w:hint="eastAsia"/>
                <w:sz w:val="22"/>
                <w:szCs w:val="22"/>
                <w:lang w:eastAsia="zh-CN"/>
              </w:rPr>
              <w:t>)</w:t>
            </w:r>
            <w:r w:rsidR="007035A1" w:rsidRPr="007035A1">
              <w:rPr>
                <w:sz w:val="22"/>
                <w:szCs w:val="22"/>
                <w:vertAlign w:val="superscript"/>
                <w:lang w:eastAsia="zh-CN"/>
              </w:rPr>
              <w:t xml:space="preserve"> 1</w:t>
            </w:r>
          </w:p>
        </w:tc>
        <w:tc>
          <w:tcPr>
            <w:tcW w:w="0" w:type="auto"/>
          </w:tcPr>
          <w:p w14:paraId="295E4204" w14:textId="436F39D5" w:rsidR="00A54064" w:rsidRDefault="005F1578" w:rsidP="00796186">
            <w:pPr>
              <w:autoSpaceDE w:val="0"/>
              <w:autoSpaceDN w:val="0"/>
              <w:adjustRightInd w:val="0"/>
              <w:spacing w:after="120"/>
              <w:rPr>
                <w:sz w:val="22"/>
                <w:szCs w:val="22"/>
              </w:rPr>
            </w:pPr>
            <w:r>
              <w:rPr>
                <w:sz w:val="22"/>
                <w:szCs w:val="22"/>
              </w:rPr>
              <w:t>NA</w:t>
            </w:r>
          </w:p>
        </w:tc>
        <w:tc>
          <w:tcPr>
            <w:tcW w:w="0" w:type="auto"/>
          </w:tcPr>
          <w:p w14:paraId="2017570A" w14:textId="1D0A8B4E" w:rsidR="00A54064" w:rsidRDefault="005F1578" w:rsidP="00796186">
            <w:pPr>
              <w:autoSpaceDE w:val="0"/>
              <w:autoSpaceDN w:val="0"/>
              <w:adjustRightInd w:val="0"/>
              <w:spacing w:after="120"/>
              <w:rPr>
                <w:sz w:val="22"/>
                <w:szCs w:val="22"/>
              </w:rPr>
            </w:pPr>
            <w:r>
              <w:rPr>
                <w:sz w:val="22"/>
                <w:szCs w:val="22"/>
              </w:rPr>
              <w:t>NA</w:t>
            </w:r>
          </w:p>
        </w:tc>
        <w:tc>
          <w:tcPr>
            <w:tcW w:w="0" w:type="auto"/>
          </w:tcPr>
          <w:p w14:paraId="3A72EE54" w14:textId="174E6E8D" w:rsidR="00A54064" w:rsidRDefault="005F1578" w:rsidP="00796186">
            <w:pPr>
              <w:autoSpaceDE w:val="0"/>
              <w:autoSpaceDN w:val="0"/>
              <w:adjustRightInd w:val="0"/>
              <w:spacing w:after="120"/>
              <w:rPr>
                <w:sz w:val="22"/>
                <w:szCs w:val="22"/>
              </w:rPr>
            </w:pPr>
            <w:r w:rsidRPr="005F1578">
              <w:rPr>
                <w:sz w:val="22"/>
                <w:szCs w:val="22"/>
              </w:rPr>
              <w:t>11.48</w:t>
            </w:r>
          </w:p>
        </w:tc>
        <w:tc>
          <w:tcPr>
            <w:tcW w:w="0" w:type="auto"/>
          </w:tcPr>
          <w:p w14:paraId="662DE23B" w14:textId="65797E77" w:rsidR="00A54064" w:rsidRDefault="005F1578" w:rsidP="00796186">
            <w:pPr>
              <w:autoSpaceDE w:val="0"/>
              <w:autoSpaceDN w:val="0"/>
              <w:adjustRightInd w:val="0"/>
              <w:spacing w:after="120"/>
              <w:rPr>
                <w:sz w:val="22"/>
                <w:szCs w:val="22"/>
              </w:rPr>
            </w:pPr>
            <w:r w:rsidRPr="005F1578">
              <w:rPr>
                <w:sz w:val="22"/>
                <w:szCs w:val="22"/>
              </w:rPr>
              <w:t>5.70</w:t>
            </w:r>
          </w:p>
        </w:tc>
        <w:tc>
          <w:tcPr>
            <w:tcW w:w="0" w:type="auto"/>
          </w:tcPr>
          <w:p w14:paraId="094CE9D9" w14:textId="66BA3FDF" w:rsidR="00A54064" w:rsidRDefault="005F1578" w:rsidP="00796186">
            <w:pPr>
              <w:autoSpaceDE w:val="0"/>
              <w:autoSpaceDN w:val="0"/>
              <w:adjustRightInd w:val="0"/>
              <w:spacing w:after="120"/>
              <w:rPr>
                <w:sz w:val="22"/>
                <w:szCs w:val="22"/>
              </w:rPr>
            </w:pPr>
            <w:r w:rsidRPr="005F1578">
              <w:rPr>
                <w:sz w:val="22"/>
                <w:szCs w:val="22"/>
              </w:rPr>
              <w:t>3.</w:t>
            </w:r>
            <w:r>
              <w:rPr>
                <w:sz w:val="22"/>
                <w:szCs w:val="22"/>
              </w:rPr>
              <w:t>70</w:t>
            </w:r>
          </w:p>
        </w:tc>
        <w:tc>
          <w:tcPr>
            <w:tcW w:w="0" w:type="auto"/>
          </w:tcPr>
          <w:p w14:paraId="66B3D956" w14:textId="566DDCC7" w:rsidR="00A54064" w:rsidRDefault="005F1578" w:rsidP="00796186">
            <w:pPr>
              <w:autoSpaceDE w:val="0"/>
              <w:autoSpaceDN w:val="0"/>
              <w:adjustRightInd w:val="0"/>
              <w:spacing w:after="120"/>
              <w:rPr>
                <w:sz w:val="22"/>
                <w:szCs w:val="22"/>
              </w:rPr>
            </w:pPr>
            <w:r w:rsidRPr="005F1578">
              <w:rPr>
                <w:sz w:val="22"/>
                <w:szCs w:val="22"/>
              </w:rPr>
              <w:t>2.16</w:t>
            </w:r>
          </w:p>
        </w:tc>
        <w:tc>
          <w:tcPr>
            <w:tcW w:w="0" w:type="auto"/>
          </w:tcPr>
          <w:p w14:paraId="1CA5983A" w14:textId="399B579C" w:rsidR="00A54064" w:rsidRDefault="00AA7902" w:rsidP="00796186">
            <w:pPr>
              <w:autoSpaceDE w:val="0"/>
              <w:autoSpaceDN w:val="0"/>
              <w:adjustRightInd w:val="0"/>
              <w:spacing w:after="120"/>
              <w:rPr>
                <w:sz w:val="22"/>
                <w:szCs w:val="22"/>
              </w:rPr>
            </w:pPr>
            <w:r w:rsidRPr="00AA7902">
              <w:rPr>
                <w:sz w:val="22"/>
                <w:szCs w:val="22"/>
              </w:rPr>
              <w:t>2.3</w:t>
            </w:r>
            <w:r>
              <w:rPr>
                <w:sz w:val="22"/>
                <w:szCs w:val="22"/>
              </w:rPr>
              <w:t>4</w:t>
            </w:r>
          </w:p>
        </w:tc>
        <w:tc>
          <w:tcPr>
            <w:tcW w:w="0" w:type="auto"/>
          </w:tcPr>
          <w:p w14:paraId="17CDB6B3" w14:textId="6E016A18" w:rsidR="00A54064" w:rsidRDefault="00AA7902" w:rsidP="00796186">
            <w:pPr>
              <w:autoSpaceDE w:val="0"/>
              <w:autoSpaceDN w:val="0"/>
              <w:adjustRightInd w:val="0"/>
              <w:spacing w:after="120"/>
              <w:rPr>
                <w:sz w:val="22"/>
                <w:szCs w:val="22"/>
              </w:rPr>
            </w:pPr>
            <w:r w:rsidRPr="00AA7902">
              <w:rPr>
                <w:sz w:val="22"/>
                <w:szCs w:val="22"/>
              </w:rPr>
              <w:t>9.30</w:t>
            </w:r>
          </w:p>
        </w:tc>
      </w:tr>
      <w:tr w:rsidR="00332CE5" w14:paraId="1472132F" w14:textId="77777777" w:rsidTr="00650909">
        <w:tc>
          <w:tcPr>
            <w:tcW w:w="0" w:type="auto"/>
          </w:tcPr>
          <w:p w14:paraId="314A2EA3" w14:textId="52C93A61" w:rsidR="00A54064" w:rsidRDefault="00021C01" w:rsidP="00C20FBB">
            <w:pPr>
              <w:autoSpaceDE w:val="0"/>
              <w:autoSpaceDN w:val="0"/>
              <w:adjustRightInd w:val="0"/>
              <w:spacing w:after="120"/>
              <w:rPr>
                <w:sz w:val="22"/>
                <w:szCs w:val="22"/>
              </w:rPr>
            </w:pPr>
            <w:r>
              <w:rPr>
                <w:rFonts w:hint="eastAsia"/>
                <w:sz w:val="22"/>
                <w:szCs w:val="22"/>
                <w:lang w:eastAsia="zh-CN"/>
              </w:rPr>
              <w:t xml:space="preserve">90%ile of Survival </w:t>
            </w:r>
            <w:r>
              <w:rPr>
                <w:sz w:val="22"/>
                <w:szCs w:val="22"/>
                <w:lang w:eastAsia="zh-CN"/>
              </w:rPr>
              <w:t>(</w:t>
            </w:r>
            <w:r w:rsidR="00C20FBB">
              <w:rPr>
                <w:sz w:val="22"/>
                <w:szCs w:val="22"/>
                <w:lang w:eastAsia="zh-CN"/>
              </w:rPr>
              <w:t>year</w:t>
            </w:r>
            <w:r w:rsidR="000C42C0">
              <w:rPr>
                <w:rFonts w:hint="eastAsia"/>
                <w:sz w:val="22"/>
                <w:szCs w:val="22"/>
                <w:lang w:eastAsia="zh-CN"/>
              </w:rPr>
              <w:t>)</w:t>
            </w:r>
            <w:r w:rsidR="007035A1" w:rsidRPr="007035A1">
              <w:rPr>
                <w:sz w:val="22"/>
                <w:szCs w:val="22"/>
                <w:vertAlign w:val="superscript"/>
                <w:lang w:eastAsia="zh-CN"/>
              </w:rPr>
              <w:t xml:space="preserve"> 1</w:t>
            </w:r>
          </w:p>
        </w:tc>
        <w:tc>
          <w:tcPr>
            <w:tcW w:w="0" w:type="auto"/>
          </w:tcPr>
          <w:p w14:paraId="05EC011B" w14:textId="388EEA88" w:rsidR="00A54064" w:rsidRDefault="005F1578" w:rsidP="00796186">
            <w:pPr>
              <w:autoSpaceDE w:val="0"/>
              <w:autoSpaceDN w:val="0"/>
              <w:adjustRightInd w:val="0"/>
              <w:spacing w:after="120"/>
              <w:rPr>
                <w:sz w:val="22"/>
                <w:szCs w:val="22"/>
              </w:rPr>
            </w:pPr>
            <w:r>
              <w:rPr>
                <w:sz w:val="22"/>
                <w:szCs w:val="22"/>
              </w:rPr>
              <w:t>NA</w:t>
            </w:r>
          </w:p>
        </w:tc>
        <w:tc>
          <w:tcPr>
            <w:tcW w:w="0" w:type="auto"/>
          </w:tcPr>
          <w:p w14:paraId="49F30CC6" w14:textId="5DC829EA" w:rsidR="00A54064" w:rsidRDefault="005F1578" w:rsidP="00796186">
            <w:pPr>
              <w:autoSpaceDE w:val="0"/>
              <w:autoSpaceDN w:val="0"/>
              <w:adjustRightInd w:val="0"/>
              <w:spacing w:after="120"/>
              <w:rPr>
                <w:sz w:val="22"/>
                <w:szCs w:val="22"/>
              </w:rPr>
            </w:pPr>
            <w:r>
              <w:rPr>
                <w:sz w:val="22"/>
                <w:szCs w:val="22"/>
              </w:rPr>
              <w:t>NA</w:t>
            </w:r>
          </w:p>
        </w:tc>
        <w:tc>
          <w:tcPr>
            <w:tcW w:w="0" w:type="auto"/>
          </w:tcPr>
          <w:p w14:paraId="0C3DE8F7" w14:textId="4747A312" w:rsidR="00A54064" w:rsidRDefault="00A76FEE" w:rsidP="00796186">
            <w:pPr>
              <w:autoSpaceDE w:val="0"/>
              <w:autoSpaceDN w:val="0"/>
              <w:adjustRightInd w:val="0"/>
              <w:spacing w:after="120"/>
              <w:rPr>
                <w:sz w:val="22"/>
                <w:szCs w:val="22"/>
              </w:rPr>
            </w:pPr>
            <w:r>
              <w:rPr>
                <w:sz w:val="22"/>
                <w:szCs w:val="22"/>
              </w:rPr>
              <w:t>NA</w:t>
            </w:r>
          </w:p>
        </w:tc>
        <w:tc>
          <w:tcPr>
            <w:tcW w:w="0" w:type="auto"/>
          </w:tcPr>
          <w:p w14:paraId="3E1F07D3" w14:textId="0541C3B3" w:rsidR="00A54064" w:rsidRDefault="00A76FEE" w:rsidP="00796186">
            <w:pPr>
              <w:autoSpaceDE w:val="0"/>
              <w:autoSpaceDN w:val="0"/>
              <w:adjustRightInd w:val="0"/>
              <w:spacing w:after="120"/>
              <w:rPr>
                <w:sz w:val="22"/>
                <w:szCs w:val="22"/>
              </w:rPr>
            </w:pPr>
            <w:r w:rsidRPr="00A76FEE">
              <w:rPr>
                <w:sz w:val="22"/>
                <w:szCs w:val="22"/>
              </w:rPr>
              <w:t>9.4</w:t>
            </w:r>
            <w:r>
              <w:rPr>
                <w:sz w:val="22"/>
                <w:szCs w:val="22"/>
              </w:rPr>
              <w:t>4</w:t>
            </w:r>
          </w:p>
        </w:tc>
        <w:tc>
          <w:tcPr>
            <w:tcW w:w="0" w:type="auto"/>
          </w:tcPr>
          <w:p w14:paraId="477BF70E" w14:textId="098EE242" w:rsidR="00A54064" w:rsidRDefault="00A76FEE" w:rsidP="00796186">
            <w:pPr>
              <w:autoSpaceDE w:val="0"/>
              <w:autoSpaceDN w:val="0"/>
              <w:adjustRightInd w:val="0"/>
              <w:spacing w:after="120"/>
              <w:rPr>
                <w:sz w:val="22"/>
                <w:szCs w:val="22"/>
              </w:rPr>
            </w:pPr>
            <w:r w:rsidRPr="00A76FEE">
              <w:rPr>
                <w:sz w:val="22"/>
                <w:szCs w:val="22"/>
              </w:rPr>
              <w:t>10.5</w:t>
            </w:r>
            <w:r>
              <w:rPr>
                <w:sz w:val="22"/>
                <w:szCs w:val="22"/>
              </w:rPr>
              <w:t>2</w:t>
            </w:r>
          </w:p>
        </w:tc>
        <w:tc>
          <w:tcPr>
            <w:tcW w:w="0" w:type="auto"/>
          </w:tcPr>
          <w:p w14:paraId="79C19FE9" w14:textId="00FA167D" w:rsidR="00A54064" w:rsidRDefault="003876F2" w:rsidP="00796186">
            <w:pPr>
              <w:autoSpaceDE w:val="0"/>
              <w:autoSpaceDN w:val="0"/>
              <w:adjustRightInd w:val="0"/>
              <w:spacing w:after="120"/>
              <w:rPr>
                <w:sz w:val="22"/>
                <w:szCs w:val="22"/>
              </w:rPr>
            </w:pPr>
            <w:r>
              <w:rPr>
                <w:sz w:val="22"/>
                <w:szCs w:val="22"/>
              </w:rPr>
              <w:t>NA</w:t>
            </w:r>
          </w:p>
        </w:tc>
        <w:tc>
          <w:tcPr>
            <w:tcW w:w="0" w:type="auto"/>
          </w:tcPr>
          <w:p w14:paraId="1420A6F5" w14:textId="153D73C8" w:rsidR="00A54064" w:rsidRDefault="003876F2" w:rsidP="00796186">
            <w:pPr>
              <w:autoSpaceDE w:val="0"/>
              <w:autoSpaceDN w:val="0"/>
              <w:adjustRightInd w:val="0"/>
              <w:spacing w:after="120"/>
              <w:rPr>
                <w:sz w:val="22"/>
                <w:szCs w:val="22"/>
              </w:rPr>
            </w:pPr>
            <w:r>
              <w:rPr>
                <w:sz w:val="22"/>
                <w:szCs w:val="22"/>
              </w:rPr>
              <w:t>3.87</w:t>
            </w:r>
          </w:p>
        </w:tc>
        <w:tc>
          <w:tcPr>
            <w:tcW w:w="0" w:type="auto"/>
          </w:tcPr>
          <w:p w14:paraId="43B1BB7A" w14:textId="718F863D" w:rsidR="00A54064" w:rsidRDefault="003876F2" w:rsidP="00796186">
            <w:pPr>
              <w:autoSpaceDE w:val="0"/>
              <w:autoSpaceDN w:val="0"/>
              <w:adjustRightInd w:val="0"/>
              <w:spacing w:after="120"/>
              <w:rPr>
                <w:sz w:val="22"/>
                <w:szCs w:val="22"/>
              </w:rPr>
            </w:pPr>
            <w:r>
              <w:rPr>
                <w:sz w:val="22"/>
                <w:szCs w:val="22"/>
              </w:rPr>
              <w:t>NA</w:t>
            </w:r>
          </w:p>
        </w:tc>
      </w:tr>
      <w:tr w:rsidR="00332CE5" w14:paraId="7FAB5989" w14:textId="77777777" w:rsidTr="00650909">
        <w:tc>
          <w:tcPr>
            <w:tcW w:w="0" w:type="auto"/>
          </w:tcPr>
          <w:p w14:paraId="7F9C2A75" w14:textId="174325B4" w:rsidR="002054B5" w:rsidRDefault="002054B5" w:rsidP="0083485A">
            <w:pPr>
              <w:autoSpaceDE w:val="0"/>
              <w:autoSpaceDN w:val="0"/>
              <w:adjustRightInd w:val="0"/>
              <w:spacing w:after="120"/>
              <w:rPr>
                <w:sz w:val="22"/>
                <w:szCs w:val="22"/>
                <w:lang w:eastAsia="zh-CN"/>
              </w:rPr>
            </w:pPr>
            <w:r>
              <w:rPr>
                <w:sz w:val="22"/>
                <w:szCs w:val="22"/>
                <w:lang w:eastAsia="zh-CN"/>
              </w:rPr>
              <w:t>5-Year</w:t>
            </w:r>
            <w:r>
              <w:rPr>
                <w:rFonts w:hint="eastAsia"/>
                <w:sz w:val="22"/>
                <w:szCs w:val="22"/>
                <w:lang w:eastAsia="zh-CN"/>
              </w:rPr>
              <w:t xml:space="preserve"> Survival Probability (%)</w:t>
            </w:r>
            <w:r w:rsidR="007035A1">
              <w:rPr>
                <w:sz w:val="22"/>
                <w:szCs w:val="22"/>
                <w:vertAlign w:val="superscript"/>
                <w:lang w:eastAsia="zh-CN"/>
              </w:rPr>
              <w:t>1</w:t>
            </w:r>
          </w:p>
        </w:tc>
        <w:tc>
          <w:tcPr>
            <w:tcW w:w="0" w:type="auto"/>
          </w:tcPr>
          <w:p w14:paraId="2515C3D1" w14:textId="5A6849B8" w:rsidR="002054B5" w:rsidRDefault="0083485A" w:rsidP="0083485A">
            <w:pPr>
              <w:autoSpaceDE w:val="0"/>
              <w:autoSpaceDN w:val="0"/>
              <w:adjustRightInd w:val="0"/>
              <w:spacing w:after="120"/>
              <w:rPr>
                <w:sz w:val="22"/>
                <w:szCs w:val="22"/>
                <w:lang w:eastAsia="zh-CN"/>
              </w:rPr>
            </w:pPr>
            <w:r>
              <w:rPr>
                <w:rFonts w:hint="eastAsia"/>
                <w:sz w:val="22"/>
                <w:szCs w:val="22"/>
                <w:lang w:eastAsia="zh-CN"/>
              </w:rPr>
              <w:t>100.00</w:t>
            </w:r>
          </w:p>
        </w:tc>
        <w:tc>
          <w:tcPr>
            <w:tcW w:w="0" w:type="auto"/>
          </w:tcPr>
          <w:p w14:paraId="4F05DF66" w14:textId="378A5B8F" w:rsidR="002054B5" w:rsidRDefault="00E06DB1" w:rsidP="0083485A">
            <w:pPr>
              <w:autoSpaceDE w:val="0"/>
              <w:autoSpaceDN w:val="0"/>
              <w:adjustRightInd w:val="0"/>
              <w:spacing w:after="120"/>
              <w:rPr>
                <w:sz w:val="22"/>
                <w:szCs w:val="22"/>
                <w:lang w:eastAsia="zh-CN"/>
              </w:rPr>
            </w:pPr>
            <w:r>
              <w:rPr>
                <w:rFonts w:hint="eastAsia"/>
                <w:sz w:val="22"/>
                <w:szCs w:val="22"/>
                <w:lang w:eastAsia="zh-CN"/>
              </w:rPr>
              <w:t>92.37</w:t>
            </w:r>
          </w:p>
        </w:tc>
        <w:tc>
          <w:tcPr>
            <w:tcW w:w="0" w:type="auto"/>
          </w:tcPr>
          <w:p w14:paraId="2F5827EB" w14:textId="4703DF60" w:rsidR="002054B5" w:rsidRDefault="00E06DB1" w:rsidP="0083485A">
            <w:pPr>
              <w:autoSpaceDE w:val="0"/>
              <w:autoSpaceDN w:val="0"/>
              <w:adjustRightInd w:val="0"/>
              <w:spacing w:after="120"/>
              <w:rPr>
                <w:sz w:val="22"/>
                <w:szCs w:val="22"/>
                <w:lang w:eastAsia="zh-CN"/>
              </w:rPr>
            </w:pPr>
            <w:r>
              <w:rPr>
                <w:rFonts w:hint="eastAsia"/>
                <w:sz w:val="22"/>
                <w:szCs w:val="22"/>
                <w:lang w:eastAsia="zh-CN"/>
              </w:rPr>
              <w:t>87.11</w:t>
            </w:r>
          </w:p>
        </w:tc>
        <w:tc>
          <w:tcPr>
            <w:tcW w:w="0" w:type="auto"/>
          </w:tcPr>
          <w:p w14:paraId="6400305F" w14:textId="7270008E" w:rsidR="002054B5" w:rsidRDefault="00E06DB1" w:rsidP="0083485A">
            <w:pPr>
              <w:autoSpaceDE w:val="0"/>
              <w:autoSpaceDN w:val="0"/>
              <w:adjustRightInd w:val="0"/>
              <w:spacing w:after="120"/>
              <w:rPr>
                <w:sz w:val="22"/>
                <w:szCs w:val="22"/>
                <w:lang w:eastAsia="zh-CN"/>
              </w:rPr>
            </w:pPr>
            <w:r>
              <w:rPr>
                <w:rFonts w:hint="eastAsia"/>
                <w:sz w:val="22"/>
                <w:szCs w:val="22"/>
                <w:lang w:eastAsia="zh-CN"/>
              </w:rPr>
              <w:t>52.50</w:t>
            </w:r>
          </w:p>
        </w:tc>
        <w:tc>
          <w:tcPr>
            <w:tcW w:w="0" w:type="auto"/>
          </w:tcPr>
          <w:p w14:paraId="764C89B8" w14:textId="71AEE961" w:rsidR="002054B5" w:rsidRDefault="00E06DB1" w:rsidP="0083485A">
            <w:pPr>
              <w:autoSpaceDE w:val="0"/>
              <w:autoSpaceDN w:val="0"/>
              <w:adjustRightInd w:val="0"/>
              <w:spacing w:after="120"/>
              <w:rPr>
                <w:sz w:val="22"/>
                <w:szCs w:val="22"/>
                <w:lang w:eastAsia="zh-CN"/>
              </w:rPr>
            </w:pPr>
            <w:r>
              <w:rPr>
                <w:rFonts w:hint="eastAsia"/>
                <w:sz w:val="22"/>
                <w:szCs w:val="22"/>
                <w:lang w:eastAsia="zh-CN"/>
              </w:rPr>
              <w:t>32.95</w:t>
            </w:r>
          </w:p>
        </w:tc>
        <w:tc>
          <w:tcPr>
            <w:tcW w:w="0" w:type="auto"/>
          </w:tcPr>
          <w:p w14:paraId="714C568B" w14:textId="46BA8EF0" w:rsidR="002054B5" w:rsidRDefault="00E06DB1" w:rsidP="0083485A">
            <w:pPr>
              <w:autoSpaceDE w:val="0"/>
              <w:autoSpaceDN w:val="0"/>
              <w:adjustRightInd w:val="0"/>
              <w:spacing w:after="120"/>
              <w:rPr>
                <w:sz w:val="22"/>
                <w:szCs w:val="22"/>
                <w:lang w:eastAsia="zh-CN"/>
              </w:rPr>
            </w:pPr>
            <w:r>
              <w:rPr>
                <w:rFonts w:hint="eastAsia"/>
                <w:sz w:val="22"/>
                <w:szCs w:val="22"/>
                <w:lang w:eastAsia="zh-CN"/>
              </w:rPr>
              <w:t>30.86</w:t>
            </w:r>
          </w:p>
        </w:tc>
        <w:tc>
          <w:tcPr>
            <w:tcW w:w="0" w:type="auto"/>
          </w:tcPr>
          <w:p w14:paraId="18A118B2" w14:textId="262EA6E7" w:rsidR="002054B5" w:rsidRDefault="00E06DB1" w:rsidP="0083485A">
            <w:pPr>
              <w:autoSpaceDE w:val="0"/>
              <w:autoSpaceDN w:val="0"/>
              <w:adjustRightInd w:val="0"/>
              <w:spacing w:after="120"/>
              <w:rPr>
                <w:sz w:val="22"/>
                <w:szCs w:val="22"/>
                <w:lang w:eastAsia="zh-CN"/>
              </w:rPr>
            </w:pPr>
            <w:r>
              <w:rPr>
                <w:rFonts w:hint="eastAsia"/>
                <w:sz w:val="22"/>
                <w:szCs w:val="22"/>
                <w:lang w:eastAsia="zh-CN"/>
              </w:rPr>
              <w:t>6.25</w:t>
            </w:r>
          </w:p>
        </w:tc>
        <w:tc>
          <w:tcPr>
            <w:tcW w:w="0" w:type="auto"/>
          </w:tcPr>
          <w:p w14:paraId="773D246D" w14:textId="1E034DC0" w:rsidR="002054B5" w:rsidRDefault="007A653A" w:rsidP="0083485A">
            <w:pPr>
              <w:autoSpaceDE w:val="0"/>
              <w:autoSpaceDN w:val="0"/>
              <w:adjustRightInd w:val="0"/>
              <w:spacing w:after="120"/>
              <w:rPr>
                <w:sz w:val="22"/>
                <w:szCs w:val="22"/>
                <w:lang w:eastAsia="zh-CN"/>
              </w:rPr>
            </w:pPr>
            <w:r>
              <w:rPr>
                <w:rFonts w:hint="eastAsia"/>
                <w:sz w:val="22"/>
                <w:szCs w:val="22"/>
                <w:lang w:eastAsia="zh-CN"/>
              </w:rPr>
              <w:t>70.29</w:t>
            </w:r>
          </w:p>
        </w:tc>
      </w:tr>
      <w:tr w:rsidR="00332CE5" w14:paraId="5A21542F" w14:textId="77777777" w:rsidTr="00650909">
        <w:tc>
          <w:tcPr>
            <w:tcW w:w="0" w:type="auto"/>
          </w:tcPr>
          <w:p w14:paraId="4863E0BE" w14:textId="060A31F3" w:rsidR="002054B5" w:rsidRDefault="002054B5" w:rsidP="0083485A">
            <w:pPr>
              <w:autoSpaceDE w:val="0"/>
              <w:autoSpaceDN w:val="0"/>
              <w:adjustRightInd w:val="0"/>
              <w:spacing w:after="120"/>
              <w:rPr>
                <w:sz w:val="22"/>
                <w:szCs w:val="22"/>
              </w:rPr>
            </w:pPr>
            <w:r>
              <w:rPr>
                <w:sz w:val="22"/>
                <w:szCs w:val="22"/>
                <w:lang w:eastAsia="zh-CN"/>
              </w:rPr>
              <w:t>10-Year</w:t>
            </w:r>
            <w:r>
              <w:rPr>
                <w:rFonts w:hint="eastAsia"/>
                <w:sz w:val="22"/>
                <w:szCs w:val="22"/>
                <w:lang w:eastAsia="zh-CN"/>
              </w:rPr>
              <w:t xml:space="preserve"> Survival Probability (%)</w:t>
            </w:r>
            <w:r w:rsidR="007035A1" w:rsidRPr="007035A1">
              <w:rPr>
                <w:sz w:val="22"/>
                <w:szCs w:val="22"/>
                <w:vertAlign w:val="superscript"/>
                <w:lang w:eastAsia="zh-CN"/>
              </w:rPr>
              <w:t>1</w:t>
            </w:r>
          </w:p>
        </w:tc>
        <w:tc>
          <w:tcPr>
            <w:tcW w:w="0" w:type="auto"/>
          </w:tcPr>
          <w:p w14:paraId="3AB1A5FA" w14:textId="54767EA3" w:rsidR="002054B5" w:rsidRDefault="0083485A" w:rsidP="0083485A">
            <w:pPr>
              <w:autoSpaceDE w:val="0"/>
              <w:autoSpaceDN w:val="0"/>
              <w:adjustRightInd w:val="0"/>
              <w:spacing w:after="120"/>
              <w:rPr>
                <w:sz w:val="22"/>
                <w:szCs w:val="22"/>
              </w:rPr>
            </w:pPr>
            <w:r>
              <w:rPr>
                <w:rFonts w:hint="eastAsia"/>
                <w:sz w:val="22"/>
                <w:szCs w:val="22"/>
                <w:lang w:eastAsia="zh-CN"/>
              </w:rPr>
              <w:t>58.33</w:t>
            </w:r>
          </w:p>
        </w:tc>
        <w:tc>
          <w:tcPr>
            <w:tcW w:w="0" w:type="auto"/>
          </w:tcPr>
          <w:p w14:paraId="4C393033" w14:textId="5D9F8E81" w:rsidR="002054B5" w:rsidRDefault="004300A8" w:rsidP="0083485A">
            <w:pPr>
              <w:autoSpaceDE w:val="0"/>
              <w:autoSpaceDN w:val="0"/>
              <w:adjustRightInd w:val="0"/>
              <w:spacing w:after="120"/>
              <w:rPr>
                <w:sz w:val="22"/>
                <w:szCs w:val="22"/>
                <w:lang w:eastAsia="zh-CN"/>
              </w:rPr>
            </w:pPr>
            <w:r>
              <w:rPr>
                <w:sz w:val="22"/>
                <w:szCs w:val="22"/>
                <w:lang w:eastAsia="zh-CN"/>
              </w:rPr>
              <w:t>78.04</w:t>
            </w:r>
          </w:p>
        </w:tc>
        <w:tc>
          <w:tcPr>
            <w:tcW w:w="0" w:type="auto"/>
          </w:tcPr>
          <w:p w14:paraId="48FB0033" w14:textId="02D84388" w:rsidR="002054B5" w:rsidRDefault="00E06DB1" w:rsidP="0083485A">
            <w:pPr>
              <w:autoSpaceDE w:val="0"/>
              <w:autoSpaceDN w:val="0"/>
              <w:adjustRightInd w:val="0"/>
              <w:spacing w:after="120"/>
              <w:rPr>
                <w:sz w:val="22"/>
                <w:szCs w:val="22"/>
                <w:lang w:eastAsia="zh-CN"/>
              </w:rPr>
            </w:pPr>
            <w:r>
              <w:rPr>
                <w:rFonts w:hint="eastAsia"/>
                <w:sz w:val="22"/>
                <w:szCs w:val="22"/>
                <w:lang w:eastAsia="zh-CN"/>
              </w:rPr>
              <w:t>53.85</w:t>
            </w:r>
          </w:p>
        </w:tc>
        <w:tc>
          <w:tcPr>
            <w:tcW w:w="0" w:type="auto"/>
          </w:tcPr>
          <w:p w14:paraId="60437F0A" w14:textId="37BCCB42" w:rsidR="002054B5" w:rsidRDefault="00E06DB1" w:rsidP="0083485A">
            <w:pPr>
              <w:autoSpaceDE w:val="0"/>
              <w:autoSpaceDN w:val="0"/>
              <w:adjustRightInd w:val="0"/>
              <w:spacing w:after="120"/>
              <w:rPr>
                <w:sz w:val="22"/>
                <w:szCs w:val="22"/>
                <w:lang w:eastAsia="zh-CN"/>
              </w:rPr>
            </w:pPr>
            <w:r>
              <w:rPr>
                <w:rFonts w:hint="eastAsia"/>
                <w:sz w:val="22"/>
                <w:szCs w:val="22"/>
                <w:lang w:eastAsia="zh-CN"/>
              </w:rPr>
              <w:t>9.52</w:t>
            </w:r>
          </w:p>
        </w:tc>
        <w:tc>
          <w:tcPr>
            <w:tcW w:w="0" w:type="auto"/>
          </w:tcPr>
          <w:p w14:paraId="186D8CA9" w14:textId="00E22FDD" w:rsidR="002054B5" w:rsidRDefault="004300A8" w:rsidP="0083485A">
            <w:pPr>
              <w:autoSpaceDE w:val="0"/>
              <w:autoSpaceDN w:val="0"/>
              <w:adjustRightInd w:val="0"/>
              <w:spacing w:after="120"/>
              <w:rPr>
                <w:sz w:val="22"/>
                <w:szCs w:val="22"/>
                <w:lang w:eastAsia="zh-CN"/>
              </w:rPr>
            </w:pPr>
            <w:r>
              <w:rPr>
                <w:sz w:val="22"/>
                <w:szCs w:val="22"/>
                <w:lang w:eastAsia="zh-CN"/>
              </w:rPr>
              <w:t>12.20</w:t>
            </w:r>
          </w:p>
        </w:tc>
        <w:tc>
          <w:tcPr>
            <w:tcW w:w="0" w:type="auto"/>
          </w:tcPr>
          <w:p w14:paraId="3DB9E3B2" w14:textId="7E0A69CC" w:rsidR="002054B5" w:rsidRDefault="00E06DB1" w:rsidP="0083485A">
            <w:pPr>
              <w:autoSpaceDE w:val="0"/>
              <w:autoSpaceDN w:val="0"/>
              <w:adjustRightInd w:val="0"/>
              <w:spacing w:after="120"/>
              <w:rPr>
                <w:sz w:val="22"/>
                <w:szCs w:val="22"/>
                <w:lang w:eastAsia="zh-CN"/>
              </w:rPr>
            </w:pPr>
            <w:r>
              <w:rPr>
                <w:rFonts w:hint="eastAsia"/>
                <w:sz w:val="22"/>
                <w:szCs w:val="22"/>
                <w:lang w:eastAsia="zh-CN"/>
              </w:rPr>
              <w:t>NA</w:t>
            </w:r>
          </w:p>
        </w:tc>
        <w:tc>
          <w:tcPr>
            <w:tcW w:w="0" w:type="auto"/>
          </w:tcPr>
          <w:p w14:paraId="1F60F543" w14:textId="66C5BFFC" w:rsidR="002054B5" w:rsidRDefault="00E06DB1" w:rsidP="0083485A">
            <w:pPr>
              <w:autoSpaceDE w:val="0"/>
              <w:autoSpaceDN w:val="0"/>
              <w:adjustRightInd w:val="0"/>
              <w:spacing w:after="120"/>
              <w:rPr>
                <w:sz w:val="22"/>
                <w:szCs w:val="22"/>
                <w:lang w:eastAsia="zh-CN"/>
              </w:rPr>
            </w:pPr>
            <w:r>
              <w:rPr>
                <w:rFonts w:hint="eastAsia"/>
                <w:sz w:val="22"/>
                <w:szCs w:val="22"/>
                <w:lang w:eastAsia="zh-CN"/>
              </w:rPr>
              <w:t>NA</w:t>
            </w:r>
          </w:p>
        </w:tc>
        <w:tc>
          <w:tcPr>
            <w:tcW w:w="0" w:type="auto"/>
          </w:tcPr>
          <w:p w14:paraId="65ADDDC2" w14:textId="2F20F928" w:rsidR="002054B5" w:rsidRDefault="007A653A" w:rsidP="0083485A">
            <w:pPr>
              <w:autoSpaceDE w:val="0"/>
              <w:autoSpaceDN w:val="0"/>
              <w:adjustRightInd w:val="0"/>
              <w:spacing w:after="120"/>
              <w:rPr>
                <w:sz w:val="22"/>
                <w:szCs w:val="22"/>
                <w:lang w:eastAsia="zh-CN"/>
              </w:rPr>
            </w:pPr>
            <w:r>
              <w:rPr>
                <w:rFonts w:hint="eastAsia"/>
                <w:sz w:val="22"/>
                <w:szCs w:val="22"/>
                <w:lang w:eastAsia="zh-CN"/>
              </w:rPr>
              <w:t>4</w:t>
            </w:r>
            <w:r w:rsidR="004300A8">
              <w:rPr>
                <w:rFonts w:hint="eastAsia"/>
                <w:sz w:val="22"/>
                <w:szCs w:val="22"/>
                <w:lang w:eastAsia="zh-CN"/>
              </w:rPr>
              <w:t>4.22</w:t>
            </w:r>
          </w:p>
        </w:tc>
      </w:tr>
      <w:tr w:rsidR="00332CE5" w14:paraId="03F3FA02" w14:textId="77777777" w:rsidTr="00650909">
        <w:tc>
          <w:tcPr>
            <w:tcW w:w="0" w:type="auto"/>
          </w:tcPr>
          <w:p w14:paraId="70B69D55" w14:textId="330330B9" w:rsidR="002054B5" w:rsidRDefault="002054B5" w:rsidP="0083485A">
            <w:pPr>
              <w:autoSpaceDE w:val="0"/>
              <w:autoSpaceDN w:val="0"/>
              <w:adjustRightInd w:val="0"/>
              <w:spacing w:after="120"/>
              <w:rPr>
                <w:sz w:val="22"/>
                <w:szCs w:val="22"/>
                <w:lang w:eastAsia="zh-CN"/>
              </w:rPr>
            </w:pPr>
            <w:r>
              <w:rPr>
                <w:rFonts w:hint="eastAsia"/>
                <w:sz w:val="22"/>
                <w:szCs w:val="22"/>
                <w:lang w:eastAsia="zh-CN"/>
              </w:rPr>
              <w:t>Restricted Mean of Survival (year)</w:t>
            </w:r>
            <w:r w:rsidR="007035A1" w:rsidRPr="007035A1">
              <w:rPr>
                <w:sz w:val="22"/>
                <w:szCs w:val="22"/>
                <w:vertAlign w:val="superscript"/>
                <w:lang w:eastAsia="zh-CN"/>
              </w:rPr>
              <w:t xml:space="preserve"> </w:t>
            </w:r>
          </w:p>
        </w:tc>
        <w:tc>
          <w:tcPr>
            <w:tcW w:w="0" w:type="auto"/>
          </w:tcPr>
          <w:p w14:paraId="4647132E" w14:textId="47B55C70" w:rsidR="002054B5" w:rsidRPr="00332CE5" w:rsidRDefault="00332CE5" w:rsidP="00332CE5">
            <w:pPr>
              <w:rPr>
                <w:sz w:val="22"/>
                <w:szCs w:val="22"/>
              </w:rPr>
            </w:pPr>
            <w:r>
              <w:rPr>
                <w:sz w:val="22"/>
                <w:szCs w:val="22"/>
              </w:rPr>
              <w:t>9.16</w:t>
            </w:r>
            <w:r w:rsidR="00D4039A">
              <w:rPr>
                <w:sz w:val="22"/>
                <w:szCs w:val="22"/>
                <w:vertAlign w:val="superscript"/>
                <w:lang w:eastAsia="zh-CN"/>
              </w:rPr>
              <w:t>2</w:t>
            </w:r>
          </w:p>
        </w:tc>
        <w:tc>
          <w:tcPr>
            <w:tcW w:w="0" w:type="auto"/>
          </w:tcPr>
          <w:p w14:paraId="38ADF1CB" w14:textId="1712178A" w:rsidR="002054B5" w:rsidRDefault="00332CE5" w:rsidP="0083485A">
            <w:pPr>
              <w:autoSpaceDE w:val="0"/>
              <w:autoSpaceDN w:val="0"/>
              <w:adjustRightInd w:val="0"/>
              <w:spacing w:after="120"/>
              <w:rPr>
                <w:sz w:val="22"/>
                <w:szCs w:val="22"/>
              </w:rPr>
            </w:pPr>
            <w:r>
              <w:rPr>
                <w:sz w:val="22"/>
                <w:szCs w:val="22"/>
              </w:rPr>
              <w:t>10.89</w:t>
            </w:r>
            <w:r w:rsidR="00D4039A">
              <w:rPr>
                <w:sz w:val="22"/>
                <w:szCs w:val="22"/>
                <w:vertAlign w:val="superscript"/>
                <w:lang w:eastAsia="zh-CN"/>
              </w:rPr>
              <w:t>2</w:t>
            </w:r>
          </w:p>
        </w:tc>
        <w:tc>
          <w:tcPr>
            <w:tcW w:w="0" w:type="auto"/>
          </w:tcPr>
          <w:p w14:paraId="0421BEBC" w14:textId="10BDFF63" w:rsidR="002054B5" w:rsidRDefault="00332CE5" w:rsidP="0083485A">
            <w:pPr>
              <w:autoSpaceDE w:val="0"/>
              <w:autoSpaceDN w:val="0"/>
              <w:adjustRightInd w:val="0"/>
              <w:spacing w:after="120"/>
              <w:rPr>
                <w:sz w:val="22"/>
                <w:szCs w:val="22"/>
              </w:rPr>
            </w:pPr>
            <w:r>
              <w:rPr>
                <w:sz w:val="22"/>
                <w:szCs w:val="22"/>
              </w:rPr>
              <w:t>9.615</w:t>
            </w:r>
            <w:r w:rsidR="00D4039A">
              <w:rPr>
                <w:sz w:val="22"/>
                <w:szCs w:val="22"/>
                <w:vertAlign w:val="superscript"/>
                <w:lang w:eastAsia="zh-CN"/>
              </w:rPr>
              <w:t>2</w:t>
            </w:r>
          </w:p>
        </w:tc>
        <w:tc>
          <w:tcPr>
            <w:tcW w:w="0" w:type="auto"/>
          </w:tcPr>
          <w:p w14:paraId="1D9ED870" w14:textId="5556C722" w:rsidR="002054B5" w:rsidRDefault="00332CE5" w:rsidP="0083485A">
            <w:pPr>
              <w:autoSpaceDE w:val="0"/>
              <w:autoSpaceDN w:val="0"/>
              <w:adjustRightInd w:val="0"/>
              <w:spacing w:after="120"/>
              <w:rPr>
                <w:sz w:val="22"/>
                <w:szCs w:val="22"/>
              </w:rPr>
            </w:pPr>
            <w:r>
              <w:rPr>
                <w:sz w:val="22"/>
                <w:szCs w:val="22"/>
              </w:rPr>
              <w:t>6.073</w:t>
            </w:r>
            <w:r w:rsidR="00D4039A">
              <w:rPr>
                <w:sz w:val="22"/>
                <w:szCs w:val="22"/>
                <w:vertAlign w:val="superscript"/>
                <w:lang w:eastAsia="zh-CN"/>
              </w:rPr>
              <w:t>2</w:t>
            </w:r>
          </w:p>
        </w:tc>
        <w:tc>
          <w:tcPr>
            <w:tcW w:w="0" w:type="auto"/>
          </w:tcPr>
          <w:p w14:paraId="71E2059E" w14:textId="0AFA076C" w:rsidR="002054B5" w:rsidRDefault="00332CE5" w:rsidP="0083485A">
            <w:pPr>
              <w:autoSpaceDE w:val="0"/>
              <w:autoSpaceDN w:val="0"/>
              <w:adjustRightInd w:val="0"/>
              <w:spacing w:after="120"/>
              <w:rPr>
                <w:sz w:val="22"/>
                <w:szCs w:val="22"/>
              </w:rPr>
            </w:pPr>
            <w:r w:rsidRPr="00332CE5">
              <w:rPr>
                <w:sz w:val="22"/>
                <w:szCs w:val="22"/>
              </w:rPr>
              <w:t>4.74</w:t>
            </w:r>
          </w:p>
        </w:tc>
        <w:tc>
          <w:tcPr>
            <w:tcW w:w="0" w:type="auto"/>
          </w:tcPr>
          <w:p w14:paraId="06FE82CD" w14:textId="022E6866" w:rsidR="002054B5" w:rsidRDefault="00332CE5" w:rsidP="0083485A">
            <w:pPr>
              <w:autoSpaceDE w:val="0"/>
              <w:autoSpaceDN w:val="0"/>
              <w:adjustRightInd w:val="0"/>
              <w:spacing w:after="120"/>
              <w:rPr>
                <w:sz w:val="22"/>
                <w:szCs w:val="22"/>
              </w:rPr>
            </w:pPr>
            <w:r>
              <w:rPr>
                <w:sz w:val="22"/>
                <w:szCs w:val="22"/>
              </w:rPr>
              <w:t>3.25</w:t>
            </w:r>
            <w:r w:rsidR="00D4039A">
              <w:rPr>
                <w:sz w:val="22"/>
                <w:szCs w:val="22"/>
                <w:vertAlign w:val="superscript"/>
                <w:lang w:eastAsia="zh-CN"/>
              </w:rPr>
              <w:t>2</w:t>
            </w:r>
          </w:p>
        </w:tc>
        <w:tc>
          <w:tcPr>
            <w:tcW w:w="0" w:type="auto"/>
          </w:tcPr>
          <w:p w14:paraId="6CECA473" w14:textId="17CE8829" w:rsidR="002054B5" w:rsidRDefault="00332CE5" w:rsidP="0083485A">
            <w:pPr>
              <w:autoSpaceDE w:val="0"/>
              <w:autoSpaceDN w:val="0"/>
              <w:adjustRightInd w:val="0"/>
              <w:spacing w:after="120"/>
              <w:rPr>
                <w:sz w:val="22"/>
                <w:szCs w:val="22"/>
              </w:rPr>
            </w:pPr>
            <w:r>
              <w:rPr>
                <w:sz w:val="22"/>
                <w:szCs w:val="22"/>
              </w:rPr>
              <w:t>2.21</w:t>
            </w:r>
            <w:r w:rsidR="00D4039A">
              <w:rPr>
                <w:sz w:val="22"/>
                <w:szCs w:val="22"/>
                <w:vertAlign w:val="superscript"/>
                <w:lang w:eastAsia="zh-CN"/>
              </w:rPr>
              <w:t>2</w:t>
            </w:r>
          </w:p>
        </w:tc>
        <w:tc>
          <w:tcPr>
            <w:tcW w:w="0" w:type="auto"/>
          </w:tcPr>
          <w:p w14:paraId="4D6DAF89" w14:textId="12AC1F9E" w:rsidR="002054B5" w:rsidRDefault="00332CE5" w:rsidP="0083485A">
            <w:pPr>
              <w:autoSpaceDE w:val="0"/>
              <w:autoSpaceDN w:val="0"/>
              <w:adjustRightInd w:val="0"/>
              <w:spacing w:after="120"/>
              <w:rPr>
                <w:sz w:val="22"/>
                <w:szCs w:val="22"/>
              </w:rPr>
            </w:pPr>
            <w:r>
              <w:rPr>
                <w:sz w:val="22"/>
                <w:szCs w:val="22"/>
              </w:rPr>
              <w:t>8.36</w:t>
            </w:r>
            <w:r w:rsidR="00D4039A">
              <w:rPr>
                <w:sz w:val="22"/>
                <w:szCs w:val="22"/>
                <w:vertAlign w:val="superscript"/>
                <w:lang w:eastAsia="zh-CN"/>
              </w:rPr>
              <w:t>2</w:t>
            </w:r>
          </w:p>
        </w:tc>
      </w:tr>
    </w:tbl>
    <w:p w14:paraId="036648E8" w14:textId="0F4A5E69" w:rsidR="00796186" w:rsidRPr="008967EE" w:rsidRDefault="00CC5C5B" w:rsidP="00796186">
      <w:pPr>
        <w:autoSpaceDE w:val="0"/>
        <w:autoSpaceDN w:val="0"/>
        <w:adjustRightInd w:val="0"/>
        <w:spacing w:after="120"/>
        <w:rPr>
          <w:sz w:val="22"/>
          <w:szCs w:val="22"/>
          <w:lang w:eastAsia="zh-CN"/>
        </w:rPr>
      </w:pPr>
      <w:r w:rsidRPr="002C768B">
        <w:rPr>
          <w:sz w:val="22"/>
          <w:szCs w:val="22"/>
          <w:vertAlign w:val="superscript"/>
          <w:lang w:eastAsia="zh-CN"/>
        </w:rPr>
        <w:t>1</w:t>
      </w:r>
      <w:r w:rsidR="002C768B">
        <w:rPr>
          <w:sz w:val="22"/>
          <w:szCs w:val="22"/>
          <w:lang w:eastAsia="zh-CN"/>
        </w:rPr>
        <w:t>The descriptive statistics is b</w:t>
      </w:r>
      <w:r w:rsidR="00CE06EC" w:rsidRPr="00CE06EC">
        <w:rPr>
          <w:sz w:val="22"/>
          <w:szCs w:val="22"/>
          <w:lang w:eastAsia="zh-CN"/>
        </w:rPr>
        <w:t xml:space="preserve">ased on Kaplan-Meier estimates. NA indicates that the corresponding </w:t>
      </w:r>
      <w:r w:rsidR="00C4295A">
        <w:rPr>
          <w:sz w:val="22"/>
          <w:szCs w:val="22"/>
          <w:lang w:eastAsia="zh-CN"/>
        </w:rPr>
        <w:t>statistic</w:t>
      </w:r>
      <w:r w:rsidR="00CE06EC" w:rsidRPr="00CE06EC">
        <w:rPr>
          <w:sz w:val="22"/>
          <w:szCs w:val="22"/>
          <w:lang w:eastAsia="zh-CN"/>
        </w:rPr>
        <w:t xml:space="preserve"> is not estimable with the available data. </w:t>
      </w:r>
    </w:p>
    <w:p w14:paraId="2B8389FE" w14:textId="28CCF691" w:rsidR="00CC5C5B" w:rsidRPr="00CE06EC" w:rsidRDefault="00CC5C5B" w:rsidP="00796186">
      <w:pPr>
        <w:autoSpaceDE w:val="0"/>
        <w:autoSpaceDN w:val="0"/>
        <w:adjustRightInd w:val="0"/>
        <w:spacing w:after="120"/>
        <w:rPr>
          <w:sz w:val="22"/>
          <w:szCs w:val="22"/>
        </w:rPr>
      </w:pPr>
      <w:r>
        <w:rPr>
          <w:sz w:val="22"/>
          <w:szCs w:val="22"/>
          <w:vertAlign w:val="superscript"/>
          <w:lang w:eastAsia="zh-CN"/>
        </w:rPr>
        <w:t>2</w:t>
      </w:r>
      <w:r w:rsidR="00CE06EC">
        <w:rPr>
          <w:sz w:val="22"/>
          <w:szCs w:val="22"/>
          <w:vertAlign w:val="superscript"/>
          <w:lang w:eastAsia="zh-CN"/>
        </w:rPr>
        <w:t xml:space="preserve"> </w:t>
      </w:r>
      <w:r w:rsidR="00CE06EC">
        <w:rPr>
          <w:sz w:val="22"/>
          <w:szCs w:val="22"/>
          <w:lang w:eastAsia="zh-CN"/>
        </w:rPr>
        <w:t xml:space="preserve">largest </w:t>
      </w:r>
      <w:r w:rsidR="00CE06EC" w:rsidRPr="00CE06EC">
        <w:rPr>
          <w:sz w:val="22"/>
          <w:szCs w:val="22"/>
          <w:lang w:eastAsia="zh-CN"/>
        </w:rPr>
        <w:t>observed</w:t>
      </w:r>
      <w:r w:rsidR="00CE06EC">
        <w:rPr>
          <w:sz w:val="22"/>
          <w:szCs w:val="22"/>
          <w:lang w:eastAsia="zh-CN"/>
        </w:rPr>
        <w:t xml:space="preserve"> analysis time is censored;</w:t>
      </w:r>
      <w:r w:rsidR="00CE06EC" w:rsidRPr="00CE06EC">
        <w:rPr>
          <w:sz w:val="22"/>
          <w:szCs w:val="22"/>
          <w:lang w:eastAsia="zh-CN"/>
        </w:rPr>
        <w:t xml:space="preserve"> mean is underestimated</w:t>
      </w:r>
      <w:r w:rsidR="00CE06EC">
        <w:rPr>
          <w:sz w:val="22"/>
          <w:szCs w:val="22"/>
          <w:lang w:eastAsia="zh-CN"/>
        </w:rPr>
        <w:t>.</w:t>
      </w:r>
    </w:p>
    <w:p w14:paraId="551976FA" w14:textId="77777777" w:rsidR="00CC5C5B" w:rsidRDefault="00CC5C5B" w:rsidP="00796186">
      <w:pPr>
        <w:autoSpaceDE w:val="0"/>
        <w:autoSpaceDN w:val="0"/>
        <w:adjustRightInd w:val="0"/>
        <w:spacing w:after="120"/>
        <w:rPr>
          <w:sz w:val="22"/>
          <w:szCs w:val="22"/>
        </w:rPr>
      </w:pPr>
    </w:p>
    <w:p w14:paraId="06078E01" w14:textId="77777777" w:rsidR="002777EC" w:rsidRDefault="004D7832" w:rsidP="00F538AE">
      <w:pPr>
        <w:numPr>
          <w:ilvl w:val="0"/>
          <w:numId w:val="19"/>
        </w:numPr>
        <w:autoSpaceDE w:val="0"/>
        <w:autoSpaceDN w:val="0"/>
        <w:adjustRightInd w:val="0"/>
        <w:spacing w:after="120"/>
        <w:rPr>
          <w:sz w:val="22"/>
          <w:szCs w:val="22"/>
        </w:rPr>
      </w:pPr>
      <w:r>
        <w:rPr>
          <w:sz w:val="22"/>
          <w:szCs w:val="22"/>
        </w:rPr>
        <w:t>In prior homeworks using the Cardiovascular Health Study datasets, we were able to use logistic regression to investigate associations between mortality and various covariates. Why might such an approach not seem advisable with these data? (Consider the extent to which such analyses might be confounded and/or lack precision.)</w:t>
      </w:r>
    </w:p>
    <w:p w14:paraId="6F4CBDEB" w14:textId="46659D07" w:rsidR="005B538F" w:rsidRPr="002522CD" w:rsidRDefault="00691105" w:rsidP="00E270B2">
      <w:pPr>
        <w:autoSpaceDE w:val="0"/>
        <w:autoSpaceDN w:val="0"/>
        <w:adjustRightInd w:val="0"/>
        <w:spacing w:after="120"/>
        <w:rPr>
          <w:b/>
          <w:sz w:val="22"/>
          <w:szCs w:val="22"/>
        </w:rPr>
      </w:pPr>
      <w:r w:rsidRPr="002522CD">
        <w:rPr>
          <w:b/>
          <w:sz w:val="22"/>
          <w:szCs w:val="22"/>
        </w:rPr>
        <w:t xml:space="preserve">Ans: </w:t>
      </w:r>
      <w:r w:rsidR="00A035A3" w:rsidRPr="002522CD">
        <w:rPr>
          <w:b/>
          <w:sz w:val="22"/>
          <w:szCs w:val="22"/>
        </w:rPr>
        <w:t xml:space="preserve">In the Cardiovascular Health Study dataset, </w:t>
      </w:r>
      <w:r w:rsidR="00045B96" w:rsidRPr="002522CD">
        <w:rPr>
          <w:b/>
          <w:sz w:val="22"/>
          <w:szCs w:val="22"/>
        </w:rPr>
        <w:t>the minimal observation time of censored data is just above 4 years.</w:t>
      </w:r>
      <w:r w:rsidR="00E270B2" w:rsidRPr="002522CD">
        <w:rPr>
          <w:b/>
          <w:sz w:val="22"/>
          <w:szCs w:val="22"/>
        </w:rPr>
        <w:t xml:space="preserve"> </w:t>
      </w:r>
      <w:r w:rsidR="00F9746B" w:rsidRPr="002522CD">
        <w:rPr>
          <w:b/>
          <w:sz w:val="22"/>
          <w:szCs w:val="22"/>
        </w:rPr>
        <w:t xml:space="preserve"> And</w:t>
      </w:r>
      <w:r w:rsidR="009E7F23" w:rsidRPr="002522CD">
        <w:rPr>
          <w:b/>
          <w:sz w:val="22"/>
          <w:szCs w:val="22"/>
        </w:rPr>
        <w:t xml:space="preserve"> in the previous analysis, we were only</w:t>
      </w:r>
      <w:r w:rsidR="00F9746B" w:rsidRPr="002522CD">
        <w:rPr>
          <w:b/>
          <w:sz w:val="22"/>
          <w:szCs w:val="22"/>
        </w:rPr>
        <w:t xml:space="preserve"> interested in </w:t>
      </w:r>
      <w:r w:rsidR="00096513" w:rsidRPr="002522CD">
        <w:rPr>
          <w:b/>
          <w:sz w:val="22"/>
          <w:szCs w:val="22"/>
        </w:rPr>
        <w:t xml:space="preserve">the </w:t>
      </w:r>
      <w:r w:rsidR="00F9746B" w:rsidRPr="002522CD">
        <w:rPr>
          <w:b/>
          <w:sz w:val="22"/>
          <w:szCs w:val="22"/>
        </w:rPr>
        <w:t>mortality within 4 years</w:t>
      </w:r>
      <w:r w:rsidR="00045B96" w:rsidRPr="002522CD">
        <w:rPr>
          <w:b/>
          <w:sz w:val="22"/>
          <w:szCs w:val="22"/>
        </w:rPr>
        <w:t>.</w:t>
      </w:r>
      <w:r w:rsidR="005B538F" w:rsidRPr="002522CD">
        <w:rPr>
          <w:b/>
          <w:sz w:val="22"/>
          <w:szCs w:val="22"/>
        </w:rPr>
        <w:t xml:space="preserve"> </w:t>
      </w:r>
      <w:r w:rsidR="00BD1D3F" w:rsidRPr="002522CD">
        <w:rPr>
          <w:b/>
          <w:sz w:val="22"/>
          <w:szCs w:val="22"/>
        </w:rPr>
        <w:t xml:space="preserve">But in the PBC </w:t>
      </w:r>
      <w:r w:rsidR="00BC442F" w:rsidRPr="002522CD">
        <w:rPr>
          <w:b/>
          <w:sz w:val="22"/>
          <w:szCs w:val="22"/>
        </w:rPr>
        <w:t xml:space="preserve">dataset, </w:t>
      </w:r>
      <w:r w:rsidR="00C10AFB" w:rsidRPr="002522CD">
        <w:rPr>
          <w:b/>
          <w:sz w:val="22"/>
          <w:szCs w:val="22"/>
        </w:rPr>
        <w:t xml:space="preserve">we're interested in </w:t>
      </w:r>
      <w:r w:rsidR="002D4AB5" w:rsidRPr="002522CD">
        <w:rPr>
          <w:b/>
          <w:sz w:val="22"/>
          <w:szCs w:val="22"/>
        </w:rPr>
        <w:t xml:space="preserve">all-cause mortality </w:t>
      </w:r>
      <w:r w:rsidR="00B4659C" w:rsidRPr="002522CD">
        <w:rPr>
          <w:b/>
          <w:sz w:val="22"/>
          <w:szCs w:val="22"/>
        </w:rPr>
        <w:t xml:space="preserve">over </w:t>
      </w:r>
      <w:r w:rsidR="00AF1935" w:rsidRPr="002522CD">
        <w:rPr>
          <w:b/>
          <w:sz w:val="22"/>
          <w:szCs w:val="22"/>
        </w:rPr>
        <w:t xml:space="preserve">all </w:t>
      </w:r>
      <w:r w:rsidR="00B4659C" w:rsidRPr="002522CD">
        <w:rPr>
          <w:b/>
          <w:sz w:val="22"/>
          <w:szCs w:val="22"/>
        </w:rPr>
        <w:t xml:space="preserve">the follow-up time. </w:t>
      </w:r>
      <w:r w:rsidR="00676981" w:rsidRPr="002522CD">
        <w:rPr>
          <w:b/>
          <w:sz w:val="22"/>
          <w:szCs w:val="22"/>
        </w:rPr>
        <w:t xml:space="preserve">Doing logistic </w:t>
      </w:r>
      <w:r w:rsidR="00D33BEB" w:rsidRPr="002522CD">
        <w:rPr>
          <w:b/>
          <w:sz w:val="22"/>
          <w:szCs w:val="22"/>
        </w:rPr>
        <w:t xml:space="preserve">regression </w:t>
      </w:r>
      <w:r w:rsidR="00322681" w:rsidRPr="002522CD">
        <w:rPr>
          <w:b/>
          <w:sz w:val="22"/>
          <w:szCs w:val="22"/>
        </w:rPr>
        <w:t>using the data before the minimal observation time</w:t>
      </w:r>
      <w:r w:rsidR="00781FA7" w:rsidRPr="002522CD">
        <w:rPr>
          <w:b/>
          <w:sz w:val="22"/>
          <w:szCs w:val="22"/>
        </w:rPr>
        <w:t xml:space="preserve"> </w:t>
      </w:r>
      <w:r w:rsidR="0005700F" w:rsidRPr="002522CD">
        <w:rPr>
          <w:b/>
          <w:sz w:val="22"/>
          <w:szCs w:val="22"/>
        </w:rPr>
        <w:t>cannot</w:t>
      </w:r>
      <w:r w:rsidR="00781FA7" w:rsidRPr="002522CD">
        <w:rPr>
          <w:b/>
          <w:sz w:val="22"/>
          <w:szCs w:val="22"/>
        </w:rPr>
        <w:t xml:space="preserve"> </w:t>
      </w:r>
      <w:r w:rsidR="00983DEA" w:rsidRPr="002522CD">
        <w:rPr>
          <w:b/>
          <w:sz w:val="22"/>
          <w:szCs w:val="22"/>
        </w:rPr>
        <w:t xml:space="preserve">answer the scientific question. </w:t>
      </w:r>
      <w:r w:rsidR="0005700F" w:rsidRPr="002522CD">
        <w:rPr>
          <w:b/>
          <w:sz w:val="22"/>
          <w:szCs w:val="22"/>
        </w:rPr>
        <w:t xml:space="preserve"> Also </w:t>
      </w:r>
      <w:r w:rsidR="00DA162C" w:rsidRPr="002522CD">
        <w:rPr>
          <w:b/>
          <w:sz w:val="22"/>
          <w:szCs w:val="22"/>
        </w:rPr>
        <w:t>the minimal observation time of censored data is</w:t>
      </w:r>
      <w:r w:rsidR="0008233A" w:rsidRPr="002522CD">
        <w:rPr>
          <w:b/>
          <w:sz w:val="22"/>
          <w:szCs w:val="22"/>
        </w:rPr>
        <w:t xml:space="preserve"> 1.46 years. </w:t>
      </w:r>
      <w:r w:rsidR="00C4711C" w:rsidRPr="002522CD">
        <w:rPr>
          <w:b/>
          <w:sz w:val="22"/>
          <w:szCs w:val="22"/>
        </w:rPr>
        <w:t xml:space="preserve">And </w:t>
      </w:r>
      <w:r w:rsidR="00AB26E7" w:rsidRPr="002522CD">
        <w:rPr>
          <w:b/>
          <w:sz w:val="22"/>
          <w:szCs w:val="22"/>
        </w:rPr>
        <w:t>the number of</w:t>
      </w:r>
      <w:r w:rsidR="0005700F" w:rsidRPr="002522CD">
        <w:rPr>
          <w:b/>
          <w:sz w:val="22"/>
          <w:szCs w:val="22"/>
        </w:rPr>
        <w:t xml:space="preserve"> </w:t>
      </w:r>
      <w:r w:rsidR="000F5FC1" w:rsidRPr="002522CD">
        <w:rPr>
          <w:b/>
          <w:sz w:val="22"/>
          <w:szCs w:val="22"/>
        </w:rPr>
        <w:t>subjects who die</w:t>
      </w:r>
      <w:r w:rsidR="00CA5F76" w:rsidRPr="002522CD">
        <w:rPr>
          <w:b/>
          <w:sz w:val="22"/>
          <w:szCs w:val="22"/>
        </w:rPr>
        <w:t xml:space="preserve"> </w:t>
      </w:r>
      <w:r w:rsidR="008D78CD" w:rsidRPr="002522CD">
        <w:rPr>
          <w:b/>
          <w:sz w:val="22"/>
          <w:szCs w:val="22"/>
        </w:rPr>
        <w:t xml:space="preserve">before 1.46 years after the study enrollment is </w:t>
      </w:r>
      <w:r w:rsidR="00CB058B" w:rsidRPr="002522CD">
        <w:rPr>
          <w:b/>
          <w:sz w:val="22"/>
          <w:szCs w:val="22"/>
        </w:rPr>
        <w:t>only 37.</w:t>
      </w:r>
      <w:r w:rsidR="00A46C2D" w:rsidRPr="002522CD">
        <w:rPr>
          <w:b/>
          <w:sz w:val="22"/>
          <w:szCs w:val="22"/>
        </w:rPr>
        <w:t xml:space="preserve"> </w:t>
      </w:r>
      <w:r w:rsidR="00CB058B" w:rsidRPr="002522CD">
        <w:rPr>
          <w:b/>
          <w:sz w:val="22"/>
          <w:szCs w:val="22"/>
        </w:rPr>
        <w:t xml:space="preserve">The reduction </w:t>
      </w:r>
      <w:r w:rsidR="0013654B" w:rsidRPr="002522CD">
        <w:rPr>
          <w:b/>
          <w:sz w:val="22"/>
          <w:szCs w:val="22"/>
        </w:rPr>
        <w:t>of sample</w:t>
      </w:r>
      <w:r w:rsidR="00207CF9" w:rsidRPr="002522CD">
        <w:rPr>
          <w:b/>
          <w:sz w:val="22"/>
          <w:szCs w:val="22"/>
        </w:rPr>
        <w:t xml:space="preserve"> size from 418 to 37 </w:t>
      </w:r>
      <w:r w:rsidR="00A46C2D" w:rsidRPr="002522CD">
        <w:rPr>
          <w:b/>
          <w:sz w:val="22"/>
          <w:szCs w:val="22"/>
        </w:rPr>
        <w:t xml:space="preserve">greatly </w:t>
      </w:r>
      <w:r w:rsidR="009E57A2" w:rsidRPr="002522CD">
        <w:rPr>
          <w:b/>
          <w:sz w:val="22"/>
          <w:szCs w:val="22"/>
        </w:rPr>
        <w:t>reduce</w:t>
      </w:r>
      <w:r w:rsidR="00207CF9" w:rsidRPr="002522CD">
        <w:rPr>
          <w:b/>
          <w:sz w:val="22"/>
          <w:szCs w:val="22"/>
        </w:rPr>
        <w:t>s</w:t>
      </w:r>
      <w:r w:rsidR="009E57A2" w:rsidRPr="002522CD">
        <w:rPr>
          <w:b/>
          <w:sz w:val="22"/>
          <w:szCs w:val="22"/>
        </w:rPr>
        <w:t xml:space="preserve"> the analysis's precision.</w:t>
      </w:r>
      <w:r w:rsidR="007E45B7" w:rsidRPr="002522CD">
        <w:rPr>
          <w:b/>
          <w:sz w:val="22"/>
          <w:szCs w:val="22"/>
        </w:rPr>
        <w:t xml:space="preserve"> (SE may increase </w:t>
      </w:r>
      <w:r w:rsidR="002522CD" w:rsidRPr="002522CD">
        <w:rPr>
          <w:b/>
          <w:sz w:val="22"/>
          <w:szCs w:val="22"/>
        </w:rPr>
        <w:t>more than 3 times.</w:t>
      </w:r>
      <w:r w:rsidR="007E45B7" w:rsidRPr="002522CD">
        <w:rPr>
          <w:b/>
          <w:sz w:val="22"/>
          <w:szCs w:val="22"/>
        </w:rPr>
        <w:t>)</w:t>
      </w:r>
      <w:r w:rsidR="009E57A2" w:rsidRPr="002522CD">
        <w:rPr>
          <w:b/>
          <w:sz w:val="22"/>
          <w:szCs w:val="22"/>
        </w:rPr>
        <w:t xml:space="preserve"> </w:t>
      </w:r>
    </w:p>
    <w:p w14:paraId="17512E1C" w14:textId="77777777" w:rsidR="00A459C8" w:rsidRDefault="00C55091" w:rsidP="002777EC">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serum </w:t>
      </w:r>
      <w:r w:rsidR="002777EC">
        <w:rPr>
          <w:sz w:val="22"/>
          <w:szCs w:val="22"/>
        </w:rPr>
        <w:t>bilirubin</w:t>
      </w:r>
      <w:r w:rsidR="00F538AE">
        <w:rPr>
          <w:sz w:val="22"/>
          <w:szCs w:val="22"/>
        </w:rPr>
        <w:t xml:space="preserve"> </w:t>
      </w:r>
      <w:r w:rsidRPr="009D5804">
        <w:rPr>
          <w:sz w:val="22"/>
          <w:szCs w:val="22"/>
        </w:rPr>
        <w:t xml:space="preserve">and all-cause mortality by comparing the </w:t>
      </w:r>
      <w:r w:rsidR="00F538AE" w:rsidRPr="002522CD">
        <w:rPr>
          <w:sz w:val="22"/>
          <w:szCs w:val="22"/>
          <w:highlight w:val="lightGray"/>
        </w:rPr>
        <w:t>instantaneous risk (hazard) of</w:t>
      </w:r>
      <w:r w:rsidRPr="002522CD">
        <w:rPr>
          <w:sz w:val="22"/>
          <w:szCs w:val="22"/>
          <w:highlight w:val="lightGray"/>
        </w:rPr>
        <w:t xml:space="preserve"> death</w:t>
      </w:r>
      <w:r w:rsidRPr="009D5804">
        <w:rPr>
          <w:sz w:val="22"/>
          <w:szCs w:val="22"/>
        </w:rPr>
        <w:t xml:space="preserve"> </w:t>
      </w:r>
      <w:r w:rsidR="00F538AE">
        <w:rPr>
          <w:sz w:val="22"/>
          <w:szCs w:val="22"/>
        </w:rPr>
        <w:t>over the entire period of observation across groups defined by</w:t>
      </w:r>
      <w:r w:rsidR="00B457A7" w:rsidRPr="009D5804">
        <w:rPr>
          <w:sz w:val="22"/>
          <w:szCs w:val="22"/>
        </w:rPr>
        <w:t xml:space="preserve"> </w:t>
      </w:r>
      <w:r w:rsidR="00B457A7" w:rsidRPr="002522CD">
        <w:rPr>
          <w:sz w:val="22"/>
          <w:szCs w:val="22"/>
          <w:highlight w:val="lightGray"/>
        </w:rPr>
        <w:t xml:space="preserve">serum </w:t>
      </w:r>
      <w:r w:rsidR="002777EC" w:rsidRPr="002522CD">
        <w:rPr>
          <w:sz w:val="22"/>
          <w:szCs w:val="22"/>
          <w:highlight w:val="lightGray"/>
        </w:rPr>
        <w:t>bilirubin</w:t>
      </w:r>
      <w:r w:rsidR="00B457A7" w:rsidRPr="002522CD">
        <w:rPr>
          <w:sz w:val="22"/>
          <w:szCs w:val="22"/>
          <w:highlight w:val="lightGray"/>
        </w:rPr>
        <w:t xml:space="preserve"> </w:t>
      </w:r>
      <w:r w:rsidR="00F538AE" w:rsidRPr="002522CD">
        <w:rPr>
          <w:sz w:val="22"/>
          <w:szCs w:val="22"/>
          <w:highlight w:val="lightGray"/>
        </w:rPr>
        <w:t>modeled as a continuous variable</w:t>
      </w:r>
      <w:r w:rsidR="00F538AE">
        <w:rPr>
          <w:sz w:val="22"/>
          <w:szCs w:val="22"/>
        </w:rPr>
        <w:t xml:space="preserve">. </w:t>
      </w:r>
    </w:p>
    <w:p w14:paraId="2062AA56" w14:textId="77777777" w:rsidR="00A459C8" w:rsidRDefault="00F538AE" w:rsidP="002777EC">
      <w:pPr>
        <w:numPr>
          <w:ilvl w:val="1"/>
          <w:numId w:val="19"/>
        </w:numPr>
        <w:autoSpaceDE w:val="0"/>
        <w:autoSpaceDN w:val="0"/>
        <w:adjustRightInd w:val="0"/>
        <w:spacing w:after="120"/>
        <w:rPr>
          <w:sz w:val="22"/>
          <w:szCs w:val="22"/>
        </w:rPr>
      </w:pPr>
      <w:r>
        <w:rPr>
          <w:sz w:val="22"/>
          <w:szCs w:val="22"/>
        </w:rPr>
        <w:t xml:space="preserve">Include </w:t>
      </w:r>
      <w:r w:rsidR="002777EC">
        <w:rPr>
          <w:sz w:val="22"/>
          <w:szCs w:val="22"/>
        </w:rPr>
        <w:t>a</w:t>
      </w:r>
      <w:r>
        <w:rPr>
          <w:sz w:val="22"/>
          <w:szCs w:val="22"/>
        </w:rPr>
        <w:t xml:space="preserve"> </w:t>
      </w:r>
      <w:r w:rsidR="00A620A3">
        <w:rPr>
          <w:sz w:val="22"/>
          <w:szCs w:val="22"/>
        </w:rPr>
        <w:t xml:space="preserve">full report of your </w:t>
      </w:r>
      <w:r w:rsidR="002777EC">
        <w:rPr>
          <w:sz w:val="22"/>
          <w:szCs w:val="22"/>
        </w:rPr>
        <w:t>inference about the association</w:t>
      </w:r>
      <w:r>
        <w:rPr>
          <w:sz w:val="22"/>
          <w:szCs w:val="22"/>
        </w:rPr>
        <w:t>.</w:t>
      </w:r>
    </w:p>
    <w:p w14:paraId="27362C36" w14:textId="35B4FD13" w:rsidR="00730FFA" w:rsidRPr="00FC0D60" w:rsidRDefault="00BD0515" w:rsidP="00BD0515">
      <w:pPr>
        <w:autoSpaceDE w:val="0"/>
        <w:autoSpaceDN w:val="0"/>
        <w:adjustRightInd w:val="0"/>
        <w:spacing w:after="120"/>
        <w:ind w:left="720"/>
        <w:rPr>
          <w:b/>
          <w:sz w:val="22"/>
          <w:szCs w:val="22"/>
        </w:rPr>
      </w:pPr>
      <w:r w:rsidRPr="00FC0D60">
        <w:rPr>
          <w:b/>
          <w:sz w:val="22"/>
          <w:szCs w:val="22"/>
        </w:rPr>
        <w:t xml:space="preserve">Ans: Method: </w:t>
      </w:r>
      <w:r w:rsidR="00730FFA" w:rsidRPr="00FC0D60">
        <w:rPr>
          <w:b/>
          <w:sz w:val="22"/>
          <w:szCs w:val="22"/>
        </w:rPr>
        <w:t>There's n</w:t>
      </w:r>
      <w:r w:rsidR="00812109" w:rsidRPr="00FC0D60">
        <w:rPr>
          <w:b/>
          <w:sz w:val="22"/>
          <w:szCs w:val="22"/>
        </w:rPr>
        <w:t xml:space="preserve">o missing data of </w:t>
      </w:r>
      <w:r w:rsidR="00730FFA" w:rsidRPr="00FC0D60">
        <w:rPr>
          <w:b/>
          <w:sz w:val="22"/>
          <w:szCs w:val="22"/>
        </w:rPr>
        <w:t xml:space="preserve">the variables of interest. </w:t>
      </w:r>
      <w:r w:rsidR="00033877" w:rsidRPr="00FC0D60">
        <w:rPr>
          <w:b/>
          <w:sz w:val="22"/>
          <w:szCs w:val="22"/>
        </w:rPr>
        <w:t>Hazard</w:t>
      </w:r>
      <w:r w:rsidR="00294E21" w:rsidRPr="00FC0D60">
        <w:rPr>
          <w:b/>
          <w:sz w:val="22"/>
          <w:szCs w:val="22"/>
        </w:rPr>
        <w:t>s</w:t>
      </w:r>
      <w:r w:rsidR="00730FFA" w:rsidRPr="00FC0D60">
        <w:rPr>
          <w:b/>
          <w:sz w:val="22"/>
          <w:szCs w:val="22"/>
        </w:rPr>
        <w:t xml:space="preserve"> of death</w:t>
      </w:r>
      <w:r w:rsidR="00294E21" w:rsidRPr="00FC0D60">
        <w:rPr>
          <w:b/>
          <w:sz w:val="22"/>
          <w:szCs w:val="22"/>
        </w:rPr>
        <w:t xml:space="preserve"> are compared</w:t>
      </w:r>
      <w:r w:rsidR="003A6A9F" w:rsidRPr="00FC0D60">
        <w:rPr>
          <w:b/>
          <w:sz w:val="22"/>
          <w:szCs w:val="22"/>
        </w:rPr>
        <w:t xml:space="preserve"> across groups defined </w:t>
      </w:r>
      <w:r w:rsidR="00F532B0" w:rsidRPr="00FC0D60">
        <w:rPr>
          <w:b/>
          <w:sz w:val="22"/>
          <w:szCs w:val="22"/>
        </w:rPr>
        <w:t xml:space="preserve">by serum bilirubin using proportional </w:t>
      </w:r>
      <w:r w:rsidR="005E03CA" w:rsidRPr="00FC0D60">
        <w:rPr>
          <w:b/>
          <w:sz w:val="22"/>
          <w:szCs w:val="22"/>
        </w:rPr>
        <w:t xml:space="preserve">hazards </w:t>
      </w:r>
      <w:r w:rsidR="00CF0A2B" w:rsidRPr="00FC0D60">
        <w:rPr>
          <w:b/>
          <w:sz w:val="22"/>
          <w:szCs w:val="22"/>
        </w:rPr>
        <w:t>regression</w:t>
      </w:r>
      <w:r w:rsidR="00602D7E" w:rsidRPr="00FC0D60">
        <w:rPr>
          <w:b/>
          <w:sz w:val="22"/>
          <w:szCs w:val="22"/>
        </w:rPr>
        <w:t xml:space="preserve"> </w:t>
      </w:r>
      <w:r w:rsidR="00810408">
        <w:rPr>
          <w:b/>
          <w:sz w:val="22"/>
          <w:szCs w:val="22"/>
        </w:rPr>
        <w:t>(</w:t>
      </w:r>
      <w:r w:rsidR="00810408" w:rsidRPr="00FC0D60">
        <w:rPr>
          <w:b/>
          <w:sz w:val="22"/>
          <w:szCs w:val="22"/>
        </w:rPr>
        <w:t>robust</w:t>
      </w:r>
      <w:r w:rsidR="00810408">
        <w:rPr>
          <w:b/>
          <w:sz w:val="22"/>
          <w:szCs w:val="22"/>
        </w:rPr>
        <w:t>)</w:t>
      </w:r>
      <w:r w:rsidR="00810408" w:rsidRPr="00FC0D60">
        <w:rPr>
          <w:b/>
          <w:sz w:val="22"/>
          <w:szCs w:val="22"/>
        </w:rPr>
        <w:t xml:space="preserve"> </w:t>
      </w:r>
      <w:r w:rsidR="006912CA" w:rsidRPr="00FC0D60">
        <w:rPr>
          <w:b/>
          <w:sz w:val="22"/>
          <w:szCs w:val="22"/>
        </w:rPr>
        <w:t xml:space="preserve">modeling </w:t>
      </w:r>
      <w:r w:rsidR="000415AE" w:rsidRPr="00FC0D60">
        <w:rPr>
          <w:b/>
          <w:sz w:val="22"/>
          <w:szCs w:val="22"/>
        </w:rPr>
        <w:t>serum bilirubin modeled as a continuous variable.</w:t>
      </w:r>
      <w:r w:rsidR="005D793E" w:rsidRPr="00FC0D60">
        <w:rPr>
          <w:b/>
          <w:sz w:val="22"/>
          <w:szCs w:val="22"/>
        </w:rPr>
        <w:t xml:space="preserve"> </w:t>
      </w:r>
      <w:r w:rsidR="00D31F5D" w:rsidRPr="00FC0D60">
        <w:rPr>
          <w:b/>
          <w:sz w:val="22"/>
          <w:szCs w:val="22"/>
        </w:rPr>
        <w:t>Hazard ratio</w:t>
      </w:r>
      <w:r w:rsidR="0084152B" w:rsidRPr="00FC0D60">
        <w:rPr>
          <w:b/>
          <w:sz w:val="22"/>
          <w:szCs w:val="22"/>
        </w:rPr>
        <w:t xml:space="preserve"> </w:t>
      </w:r>
      <w:r w:rsidR="00D31F5D" w:rsidRPr="00FC0D60">
        <w:rPr>
          <w:b/>
          <w:sz w:val="22"/>
          <w:szCs w:val="22"/>
        </w:rPr>
        <w:t>is</w:t>
      </w:r>
      <w:r w:rsidR="0084041E" w:rsidRPr="00FC0D60">
        <w:rPr>
          <w:b/>
          <w:sz w:val="22"/>
          <w:szCs w:val="22"/>
        </w:rPr>
        <w:t xml:space="preserve"> </w:t>
      </w:r>
      <w:r w:rsidR="00FC0084" w:rsidRPr="00FC0D60">
        <w:rPr>
          <w:b/>
          <w:sz w:val="22"/>
          <w:szCs w:val="22"/>
        </w:rPr>
        <w:t xml:space="preserve">summarized </w:t>
      </w:r>
      <w:r w:rsidR="002D5FF1" w:rsidRPr="00FC0D60">
        <w:rPr>
          <w:b/>
          <w:sz w:val="22"/>
          <w:szCs w:val="22"/>
        </w:rPr>
        <w:t>to describe</w:t>
      </w:r>
      <w:r w:rsidR="00FC0084" w:rsidRPr="00FC0D60">
        <w:rPr>
          <w:b/>
          <w:sz w:val="22"/>
          <w:szCs w:val="22"/>
        </w:rPr>
        <w:t xml:space="preserve"> the </w:t>
      </w:r>
      <w:r w:rsidR="005A5D36" w:rsidRPr="00FC0D60">
        <w:rPr>
          <w:b/>
          <w:sz w:val="22"/>
          <w:szCs w:val="22"/>
        </w:rPr>
        <w:t xml:space="preserve">association of </w:t>
      </w:r>
      <w:r w:rsidR="006E33BE" w:rsidRPr="00FC0D60">
        <w:rPr>
          <w:b/>
          <w:sz w:val="22"/>
          <w:szCs w:val="22"/>
        </w:rPr>
        <w:t xml:space="preserve">all-cause mortality </w:t>
      </w:r>
      <w:r w:rsidR="007470A9" w:rsidRPr="00FC0D60">
        <w:rPr>
          <w:b/>
          <w:sz w:val="22"/>
          <w:szCs w:val="22"/>
        </w:rPr>
        <w:t>and serum</w:t>
      </w:r>
      <w:r w:rsidR="00346BA6" w:rsidRPr="00FC0D60">
        <w:rPr>
          <w:b/>
          <w:sz w:val="22"/>
          <w:szCs w:val="22"/>
        </w:rPr>
        <w:t xml:space="preserve"> bilirubin level. </w:t>
      </w:r>
      <w:r w:rsidR="008A087A" w:rsidRPr="00FC0D60">
        <w:rPr>
          <w:b/>
          <w:sz w:val="22"/>
          <w:szCs w:val="22"/>
        </w:rPr>
        <w:t>Confidence interval and two-sided p value is computed using Wald statistics based on the Huber-White sandwich estimator.</w:t>
      </w:r>
    </w:p>
    <w:p w14:paraId="6A1B6330" w14:textId="7D05FDDB" w:rsidR="00FC0084" w:rsidRPr="00FC0D60" w:rsidRDefault="00DB3D1B" w:rsidP="00BD0515">
      <w:pPr>
        <w:autoSpaceDE w:val="0"/>
        <w:autoSpaceDN w:val="0"/>
        <w:adjustRightInd w:val="0"/>
        <w:spacing w:after="120"/>
        <w:ind w:left="720"/>
        <w:rPr>
          <w:b/>
          <w:sz w:val="22"/>
          <w:szCs w:val="22"/>
        </w:rPr>
      </w:pPr>
      <w:r w:rsidRPr="00FC0D60">
        <w:rPr>
          <w:b/>
          <w:sz w:val="22"/>
          <w:szCs w:val="22"/>
        </w:rPr>
        <w:t xml:space="preserve">Results: </w:t>
      </w:r>
      <w:r w:rsidR="00AE00AF" w:rsidRPr="00FC0D60">
        <w:rPr>
          <w:b/>
          <w:sz w:val="22"/>
          <w:szCs w:val="22"/>
        </w:rPr>
        <w:t xml:space="preserve">The total number of subjects is 418 and total number of observed </w:t>
      </w:r>
      <w:r w:rsidR="00DE1C0D" w:rsidRPr="00FC0D60">
        <w:rPr>
          <w:b/>
          <w:sz w:val="22"/>
          <w:szCs w:val="22"/>
        </w:rPr>
        <w:t>deaths</w:t>
      </w:r>
      <w:r w:rsidR="00AE00AF" w:rsidRPr="00FC0D60">
        <w:rPr>
          <w:b/>
          <w:sz w:val="22"/>
          <w:szCs w:val="22"/>
        </w:rPr>
        <w:t xml:space="preserve"> is 161.</w:t>
      </w:r>
      <w:r w:rsidR="00DE1C0D" w:rsidRPr="00FC0D60">
        <w:rPr>
          <w:b/>
          <w:sz w:val="22"/>
          <w:szCs w:val="22"/>
        </w:rPr>
        <w:t xml:space="preserve"> From </w:t>
      </w:r>
      <w:r w:rsidR="004D2760" w:rsidRPr="00FC0D60">
        <w:rPr>
          <w:b/>
          <w:sz w:val="22"/>
          <w:szCs w:val="22"/>
        </w:rPr>
        <w:t xml:space="preserve">proportional hazards regression analysis with robust standard error estimates, </w:t>
      </w:r>
      <w:r w:rsidR="00466692" w:rsidRPr="00FC0D60">
        <w:rPr>
          <w:b/>
          <w:sz w:val="22"/>
          <w:szCs w:val="22"/>
        </w:rPr>
        <w:t>we estimate that for each 1 mg/dL</w:t>
      </w:r>
      <w:r w:rsidR="004D2760" w:rsidRPr="00FC0D60">
        <w:rPr>
          <w:b/>
          <w:sz w:val="22"/>
          <w:szCs w:val="22"/>
        </w:rPr>
        <w:t xml:space="preserve"> unit difference in serum bilirubin, the risk of </w:t>
      </w:r>
      <w:r w:rsidR="00086A6F" w:rsidRPr="00FC0D60">
        <w:rPr>
          <w:b/>
          <w:sz w:val="22"/>
          <w:szCs w:val="22"/>
        </w:rPr>
        <w:t>death is 15.24</w:t>
      </w:r>
      <w:r w:rsidR="004D2760" w:rsidRPr="00FC0D60">
        <w:rPr>
          <w:b/>
          <w:sz w:val="22"/>
          <w:szCs w:val="22"/>
        </w:rPr>
        <w:t xml:space="preserve">% higher in the group with the higher </w:t>
      </w:r>
      <w:r w:rsidR="00086A6F" w:rsidRPr="00FC0D60">
        <w:rPr>
          <w:b/>
          <w:sz w:val="22"/>
          <w:szCs w:val="22"/>
        </w:rPr>
        <w:t>serum bilirubin.</w:t>
      </w:r>
      <w:r w:rsidR="00466692" w:rsidRPr="00FC0D60">
        <w:rPr>
          <w:b/>
          <w:sz w:val="22"/>
          <w:szCs w:val="22"/>
        </w:rPr>
        <w:t xml:space="preserve"> This estimate is highly statistically significant (P &lt; 0.001). A 95% CI suggests that this observation is not unusual if a group that has a 1 mg/dL higher </w:t>
      </w:r>
      <w:r w:rsidR="00183759" w:rsidRPr="00FC0D60">
        <w:rPr>
          <w:rFonts w:hint="eastAsia"/>
          <w:b/>
          <w:sz w:val="22"/>
          <w:szCs w:val="22"/>
        </w:rPr>
        <w:t>b</w:t>
      </w:r>
      <w:r w:rsidR="00183759" w:rsidRPr="00FC0D60">
        <w:rPr>
          <w:b/>
          <w:sz w:val="22"/>
          <w:szCs w:val="22"/>
        </w:rPr>
        <w:t>ilirubin</w:t>
      </w:r>
      <w:r w:rsidR="00466692" w:rsidRPr="00FC0D60">
        <w:rPr>
          <w:b/>
          <w:sz w:val="22"/>
          <w:szCs w:val="22"/>
        </w:rPr>
        <w:t xml:space="preserve"> might have risk of </w:t>
      </w:r>
      <w:r w:rsidR="00183759" w:rsidRPr="00FC0D60">
        <w:rPr>
          <w:b/>
          <w:sz w:val="22"/>
          <w:szCs w:val="22"/>
        </w:rPr>
        <w:t>death that was anywhere from 12</w:t>
      </w:r>
      <w:r w:rsidR="00466692" w:rsidRPr="00FC0D60">
        <w:rPr>
          <w:b/>
          <w:sz w:val="22"/>
          <w:szCs w:val="22"/>
        </w:rPr>
        <w:t>.</w:t>
      </w:r>
      <w:r w:rsidR="00183759" w:rsidRPr="00FC0D60">
        <w:rPr>
          <w:b/>
          <w:sz w:val="22"/>
          <w:szCs w:val="22"/>
        </w:rPr>
        <w:t>08% higher to 18.47</w:t>
      </w:r>
      <w:r w:rsidR="00466692" w:rsidRPr="00FC0D60">
        <w:rPr>
          <w:b/>
          <w:sz w:val="22"/>
          <w:szCs w:val="22"/>
        </w:rPr>
        <w:t xml:space="preserve">% higher than the group with the lower </w:t>
      </w:r>
      <w:r w:rsidR="00183759" w:rsidRPr="00FC0D60">
        <w:rPr>
          <w:b/>
          <w:sz w:val="22"/>
          <w:szCs w:val="22"/>
        </w:rPr>
        <w:t>serum bilirubin</w:t>
      </w:r>
      <w:r w:rsidR="00FC0D60" w:rsidRPr="00FC0D60">
        <w:rPr>
          <w:b/>
          <w:sz w:val="22"/>
          <w:szCs w:val="22"/>
        </w:rPr>
        <w:t>.  </w:t>
      </w:r>
    </w:p>
    <w:p w14:paraId="042D67A2" w14:textId="77777777" w:rsidR="00A459C8" w:rsidRDefault="00A459C8" w:rsidP="002777EC">
      <w:pPr>
        <w:numPr>
          <w:ilvl w:val="1"/>
          <w:numId w:val="19"/>
        </w:numPr>
        <w:autoSpaceDE w:val="0"/>
        <w:autoSpaceDN w:val="0"/>
        <w:adjustRightInd w:val="0"/>
        <w:spacing w:after="120"/>
        <w:rPr>
          <w:sz w:val="22"/>
          <w:szCs w:val="22"/>
        </w:rPr>
      </w:pPr>
      <w:r>
        <w:rPr>
          <w:sz w:val="22"/>
          <w:szCs w:val="22"/>
        </w:rPr>
        <w:t xml:space="preserve">For each population defined by serum </w:t>
      </w:r>
      <w:r w:rsidR="002777EC">
        <w:rPr>
          <w:sz w:val="22"/>
          <w:szCs w:val="22"/>
        </w:rPr>
        <w:t>bilirubin</w:t>
      </w:r>
      <w:r>
        <w:rPr>
          <w:sz w:val="22"/>
          <w:szCs w:val="22"/>
        </w:rPr>
        <w:t xml:space="preserve"> value, compute the hazard ratio relative to a group having serum </w:t>
      </w:r>
      <w:r w:rsidR="002777EC">
        <w:rPr>
          <w:sz w:val="22"/>
          <w:szCs w:val="22"/>
        </w:rPr>
        <w:t>bilirubin of 1</w:t>
      </w:r>
      <w:r>
        <w:rPr>
          <w:sz w:val="22"/>
          <w:szCs w:val="22"/>
        </w:rPr>
        <w:t xml:space="preserve"> mg/dL. </w:t>
      </w:r>
      <w:r w:rsidR="00E01E38">
        <w:rPr>
          <w:sz w:val="22"/>
          <w:szCs w:val="22"/>
        </w:rPr>
        <w:t>(This will be used in problem 6</w:t>
      </w:r>
      <w:r w:rsidR="00A620A3">
        <w:rPr>
          <w:sz w:val="22"/>
          <w:szCs w:val="22"/>
        </w:rPr>
        <w:t xml:space="preserve">). </w:t>
      </w:r>
      <w:r>
        <w:rPr>
          <w:sz w:val="22"/>
          <w:szCs w:val="22"/>
        </w:rPr>
        <w:t xml:space="preserve">If </w:t>
      </w:r>
      <w:r>
        <w:rPr>
          <w:i/>
          <w:iCs/>
          <w:sz w:val="22"/>
          <w:szCs w:val="22"/>
        </w:rPr>
        <w:t>HR</w:t>
      </w:r>
      <w:r>
        <w:rPr>
          <w:sz w:val="22"/>
          <w:szCs w:val="22"/>
        </w:rPr>
        <w:t xml:space="preserve"> is the hazard ratio (use the actual hazard ratio estimate) obtained from your regression model, this can be effected by the Stata code</w:t>
      </w:r>
    </w:p>
    <w:p w14:paraId="5CED62C7" w14:textId="77777777" w:rsidR="00A620A3" w:rsidRDefault="00A459C8" w:rsidP="002777EC">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 xml:space="preserve">gen fithrA = </w:t>
      </w:r>
      <w:r w:rsidR="00A620A3">
        <w:rPr>
          <w:rFonts w:ascii="Courier New" w:hAnsi="Courier New" w:cs="Courier New"/>
          <w:i/>
          <w:iCs/>
          <w:sz w:val="22"/>
          <w:szCs w:val="22"/>
        </w:rPr>
        <w:t>HR ^ (</w:t>
      </w:r>
      <w:r w:rsidR="002777EC">
        <w:rPr>
          <w:rFonts w:ascii="Courier New" w:hAnsi="Courier New" w:cs="Courier New"/>
          <w:i/>
          <w:iCs/>
          <w:sz w:val="22"/>
          <w:szCs w:val="22"/>
        </w:rPr>
        <w:t>bili</w:t>
      </w:r>
      <w:r w:rsidR="002777EC">
        <w:rPr>
          <w:rFonts w:ascii="Courier New" w:hAnsi="Courier New" w:cs="Courier New"/>
          <w:sz w:val="22"/>
          <w:szCs w:val="22"/>
        </w:rPr>
        <w:t xml:space="preserve"> – 1</w:t>
      </w:r>
      <w:r w:rsidR="00A620A3">
        <w:rPr>
          <w:rFonts w:ascii="Courier New" w:hAnsi="Courier New" w:cs="Courier New"/>
          <w:sz w:val="22"/>
          <w:szCs w:val="22"/>
        </w:rPr>
        <w:t>)</w:t>
      </w:r>
    </w:p>
    <w:p w14:paraId="19F35D96" w14:textId="77777777" w:rsidR="00A620A3" w:rsidRDefault="00A620A3" w:rsidP="002777EC">
      <w:pPr>
        <w:autoSpaceDE w:val="0"/>
        <w:autoSpaceDN w:val="0"/>
        <w:adjustRightInd w:val="0"/>
        <w:spacing w:after="120"/>
        <w:ind w:left="1440"/>
        <w:rPr>
          <w:sz w:val="22"/>
          <w:szCs w:val="22"/>
        </w:rPr>
      </w:pPr>
      <w:r>
        <w:rPr>
          <w:sz w:val="22"/>
          <w:szCs w:val="22"/>
        </w:rPr>
        <w:t xml:space="preserve">It could also be computed by creating a centered </w:t>
      </w:r>
      <w:r w:rsidR="002777EC">
        <w:rPr>
          <w:sz w:val="22"/>
          <w:szCs w:val="22"/>
        </w:rPr>
        <w:t>bilirubin</w:t>
      </w:r>
      <w:r>
        <w:rPr>
          <w:sz w:val="22"/>
          <w:szCs w:val="22"/>
        </w:rPr>
        <w:t xml:space="preserve"> variable, and then using the Stata </w:t>
      </w:r>
      <w:r>
        <w:rPr>
          <w:rFonts w:ascii="Courier New" w:hAnsi="Courier New" w:cs="Courier New"/>
          <w:sz w:val="22"/>
          <w:szCs w:val="22"/>
        </w:rPr>
        <w:t>predict</w:t>
      </w:r>
      <w:r>
        <w:rPr>
          <w:sz w:val="22"/>
          <w:szCs w:val="22"/>
        </w:rPr>
        <w:t xml:space="preserve"> command</w:t>
      </w:r>
    </w:p>
    <w:p w14:paraId="285A0F8C" w14:textId="77777777" w:rsidR="00A620A3" w:rsidRDefault="00A620A3" w:rsidP="002777EC">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r w:rsidR="002777EC">
        <w:rPr>
          <w:rFonts w:ascii="Courier New" w:hAnsi="Courier New" w:cs="Courier New"/>
          <w:sz w:val="22"/>
          <w:szCs w:val="22"/>
        </w:rPr>
        <w:t>gen cbili</w:t>
      </w:r>
      <w:r>
        <w:rPr>
          <w:rFonts w:ascii="Courier New" w:hAnsi="Courier New" w:cs="Courier New"/>
          <w:sz w:val="22"/>
          <w:szCs w:val="22"/>
        </w:rPr>
        <w:t xml:space="preserve"> = </w:t>
      </w:r>
      <w:r w:rsidR="002777EC">
        <w:rPr>
          <w:rFonts w:ascii="Courier New" w:hAnsi="Courier New" w:cs="Courier New"/>
          <w:sz w:val="22"/>
          <w:szCs w:val="22"/>
        </w:rPr>
        <w:t>bili – 1</w:t>
      </w:r>
    </w:p>
    <w:p w14:paraId="22132F59" w14:textId="77777777" w:rsidR="00A620A3" w:rsidRDefault="002777EC" w:rsidP="00A620A3">
      <w:pPr>
        <w:autoSpaceDE w:val="0"/>
        <w:autoSpaceDN w:val="0"/>
        <w:adjustRightInd w:val="0"/>
        <w:spacing w:after="120"/>
        <w:ind w:left="1440" w:firstLine="720"/>
        <w:rPr>
          <w:rFonts w:ascii="Courier New" w:hAnsi="Courier New" w:cs="Courier New"/>
          <w:sz w:val="22"/>
          <w:szCs w:val="22"/>
        </w:rPr>
      </w:pPr>
      <w:r>
        <w:rPr>
          <w:rFonts w:ascii="Courier New" w:hAnsi="Courier New" w:cs="Courier New"/>
          <w:sz w:val="22"/>
          <w:szCs w:val="22"/>
        </w:rPr>
        <w:t>stcox cbili</w:t>
      </w:r>
    </w:p>
    <w:p w14:paraId="550C39BB" w14:textId="77777777" w:rsidR="00125DD5" w:rsidRDefault="00A620A3" w:rsidP="00A620A3">
      <w:pPr>
        <w:autoSpaceDE w:val="0"/>
        <w:autoSpaceDN w:val="0"/>
        <w:adjustRightInd w:val="0"/>
        <w:spacing w:after="120"/>
        <w:ind w:left="1440" w:firstLine="720"/>
        <w:rPr>
          <w:sz w:val="22"/>
          <w:szCs w:val="22"/>
          <w:lang w:eastAsia="zh-CN"/>
        </w:rPr>
      </w:pPr>
      <w:r>
        <w:rPr>
          <w:rFonts w:ascii="Courier New" w:hAnsi="Courier New" w:cs="Courier New"/>
          <w:sz w:val="22"/>
          <w:szCs w:val="22"/>
        </w:rPr>
        <w:t>predict fithrA</w:t>
      </w:r>
      <w:r w:rsidR="00A459C8">
        <w:rPr>
          <w:rFonts w:ascii="Courier New" w:hAnsi="Courier New" w:cs="Courier New"/>
          <w:sz w:val="22"/>
          <w:szCs w:val="22"/>
        </w:rPr>
        <w:t xml:space="preserve"> </w:t>
      </w:r>
      <w:r w:rsidR="00BF5CB8">
        <w:rPr>
          <w:sz w:val="22"/>
          <w:szCs w:val="22"/>
        </w:rPr>
        <w:t xml:space="preserve"> </w:t>
      </w:r>
    </w:p>
    <w:p w14:paraId="11CA9422" w14:textId="6545F565" w:rsidR="001F0D6E" w:rsidRPr="001F0D6E" w:rsidRDefault="001F0D6E" w:rsidP="001F0D6E">
      <w:pPr>
        <w:autoSpaceDE w:val="0"/>
        <w:autoSpaceDN w:val="0"/>
        <w:adjustRightInd w:val="0"/>
        <w:spacing w:after="120"/>
        <w:ind w:left="720"/>
        <w:rPr>
          <w:b/>
          <w:sz w:val="22"/>
          <w:szCs w:val="22"/>
        </w:rPr>
      </w:pPr>
      <w:r w:rsidRPr="001F0D6E">
        <w:rPr>
          <w:rFonts w:hint="eastAsia"/>
          <w:b/>
          <w:sz w:val="22"/>
          <w:szCs w:val="22"/>
        </w:rPr>
        <w:t>Ans</w:t>
      </w:r>
      <w:r>
        <w:rPr>
          <w:rFonts w:hint="eastAsia"/>
          <w:b/>
          <w:sz w:val="22"/>
          <w:szCs w:val="22"/>
        </w:rPr>
        <w:t xml:space="preserve">: </w:t>
      </w:r>
      <w:r w:rsidRPr="001F0D6E">
        <w:rPr>
          <w:b/>
          <w:sz w:val="22"/>
          <w:szCs w:val="22"/>
        </w:rPr>
        <w:t xml:space="preserve">Fitted values </w:t>
      </w:r>
      <w:r>
        <w:rPr>
          <w:b/>
          <w:sz w:val="22"/>
          <w:szCs w:val="22"/>
        </w:rPr>
        <w:t>are to be displayed in problem 6</w:t>
      </w:r>
      <w:r w:rsidRPr="001F0D6E">
        <w:rPr>
          <w:b/>
          <w:sz w:val="22"/>
          <w:szCs w:val="22"/>
        </w:rPr>
        <w:t xml:space="preserve">. </w:t>
      </w:r>
    </w:p>
    <w:p w14:paraId="510F90F3" w14:textId="77777777" w:rsidR="00A620A3" w:rsidRDefault="00A620A3" w:rsidP="002777EC">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serum </w:t>
      </w:r>
      <w:r w:rsidR="002777EC">
        <w:rPr>
          <w:sz w:val="22"/>
          <w:szCs w:val="22"/>
        </w:rPr>
        <w:t>bilirubin</w:t>
      </w:r>
      <w:r>
        <w:rPr>
          <w:sz w:val="22"/>
          <w:szCs w:val="22"/>
        </w:rPr>
        <w:t xml:space="preserve"> </w:t>
      </w:r>
      <w:r w:rsidRPr="009D5804">
        <w:rPr>
          <w:sz w:val="22"/>
          <w:szCs w:val="22"/>
        </w:rPr>
        <w:t xml:space="preserve">and all-cause mortality by comparing the </w:t>
      </w:r>
      <w:r w:rsidRPr="00BE256E">
        <w:rPr>
          <w:sz w:val="22"/>
          <w:szCs w:val="22"/>
          <w:highlight w:val="lightGray"/>
        </w:rPr>
        <w:t>instantaneous risk (hazard) of death</w:t>
      </w:r>
      <w:r w:rsidRPr="009D5804">
        <w:rPr>
          <w:sz w:val="22"/>
          <w:szCs w:val="22"/>
        </w:rPr>
        <w:t xml:space="preserve"> </w:t>
      </w:r>
      <w:r>
        <w:rPr>
          <w:sz w:val="22"/>
          <w:szCs w:val="22"/>
        </w:rPr>
        <w:t>over the entire period of observation across groups defined by</w:t>
      </w:r>
      <w:r w:rsidRPr="009D5804">
        <w:rPr>
          <w:sz w:val="22"/>
          <w:szCs w:val="22"/>
        </w:rPr>
        <w:t xml:space="preserve"> serum </w:t>
      </w:r>
      <w:r w:rsidR="002777EC">
        <w:rPr>
          <w:sz w:val="22"/>
          <w:szCs w:val="22"/>
        </w:rPr>
        <w:t>bilirubin</w:t>
      </w:r>
      <w:r w:rsidRPr="009D5804">
        <w:rPr>
          <w:sz w:val="22"/>
          <w:szCs w:val="22"/>
        </w:rPr>
        <w:t xml:space="preserve"> </w:t>
      </w:r>
      <w:r>
        <w:rPr>
          <w:sz w:val="22"/>
          <w:szCs w:val="22"/>
        </w:rPr>
        <w:t xml:space="preserve">modeled as a continuous </w:t>
      </w:r>
      <w:r w:rsidR="00474EF6" w:rsidRPr="00BE256E">
        <w:rPr>
          <w:sz w:val="22"/>
          <w:szCs w:val="22"/>
          <w:highlight w:val="lightGray"/>
        </w:rPr>
        <w:t>logarithmically</w:t>
      </w:r>
      <w:r w:rsidR="00474EF6">
        <w:rPr>
          <w:sz w:val="22"/>
          <w:szCs w:val="22"/>
        </w:rPr>
        <w:t xml:space="preserve"> </w:t>
      </w:r>
      <w:r w:rsidR="00474EF6" w:rsidRPr="00BE256E">
        <w:rPr>
          <w:sz w:val="22"/>
          <w:szCs w:val="22"/>
          <w:highlight w:val="lightGray"/>
        </w:rPr>
        <w:t xml:space="preserve">transformed </w:t>
      </w:r>
      <w:r w:rsidRPr="00BE256E">
        <w:rPr>
          <w:sz w:val="22"/>
          <w:szCs w:val="22"/>
          <w:highlight w:val="lightGray"/>
        </w:rPr>
        <w:t>variable</w:t>
      </w:r>
      <w:r>
        <w:rPr>
          <w:sz w:val="22"/>
          <w:szCs w:val="22"/>
        </w:rPr>
        <w:t xml:space="preserve">. </w:t>
      </w:r>
    </w:p>
    <w:p w14:paraId="5D38A832" w14:textId="77777777" w:rsidR="00E01E38" w:rsidRPr="001F0D6E" w:rsidRDefault="00E01E38" w:rsidP="002777EC">
      <w:pPr>
        <w:numPr>
          <w:ilvl w:val="1"/>
          <w:numId w:val="19"/>
        </w:numPr>
        <w:autoSpaceDE w:val="0"/>
        <w:autoSpaceDN w:val="0"/>
        <w:adjustRightInd w:val="0"/>
        <w:spacing w:after="120"/>
        <w:rPr>
          <w:sz w:val="22"/>
          <w:szCs w:val="22"/>
        </w:rPr>
      </w:pPr>
      <w:r>
        <w:rPr>
          <w:sz w:val="22"/>
          <w:szCs w:val="22"/>
        </w:rPr>
        <w:t xml:space="preserve">Why might this analysis be preferred </w:t>
      </w:r>
      <w:r>
        <w:rPr>
          <w:i/>
          <w:iCs/>
          <w:sz w:val="22"/>
          <w:szCs w:val="22"/>
        </w:rPr>
        <w:t>a priori?</w:t>
      </w:r>
    </w:p>
    <w:p w14:paraId="0C737E03" w14:textId="38FD7B81" w:rsidR="001F0D6E" w:rsidRPr="001D145F" w:rsidRDefault="001F0D6E" w:rsidP="001F0D6E">
      <w:pPr>
        <w:autoSpaceDE w:val="0"/>
        <w:autoSpaceDN w:val="0"/>
        <w:adjustRightInd w:val="0"/>
        <w:spacing w:after="120"/>
        <w:ind w:left="720"/>
        <w:rPr>
          <w:b/>
          <w:sz w:val="22"/>
          <w:szCs w:val="22"/>
          <w:lang w:eastAsia="zh-CN"/>
        </w:rPr>
      </w:pPr>
      <w:r w:rsidRPr="00E479E9">
        <w:rPr>
          <w:b/>
          <w:sz w:val="22"/>
          <w:szCs w:val="22"/>
        </w:rPr>
        <w:t>Ans:</w:t>
      </w:r>
      <w:r w:rsidR="004C6EEF" w:rsidRPr="004C6EEF">
        <w:rPr>
          <w:b/>
          <w:sz w:val="22"/>
          <w:szCs w:val="22"/>
          <w:lang w:eastAsia="zh-CN"/>
        </w:rPr>
        <w:t xml:space="preserve"> A constant difference in </w:t>
      </w:r>
      <w:r w:rsidR="004C6EEF">
        <w:rPr>
          <w:b/>
          <w:sz w:val="22"/>
          <w:szCs w:val="22"/>
          <w:lang w:eastAsia="zh-CN"/>
        </w:rPr>
        <w:t>serum bilirubin level</w:t>
      </w:r>
      <w:r w:rsidR="004C6EEF" w:rsidRPr="004C6EEF">
        <w:rPr>
          <w:b/>
          <w:sz w:val="22"/>
          <w:szCs w:val="22"/>
          <w:lang w:eastAsia="zh-CN"/>
        </w:rPr>
        <w:t xml:space="preserve"> would not be expected to </w:t>
      </w:r>
      <w:r w:rsidR="00D76675">
        <w:rPr>
          <w:b/>
          <w:sz w:val="22"/>
          <w:szCs w:val="22"/>
          <w:lang w:eastAsia="zh-CN"/>
        </w:rPr>
        <w:t>lead to</w:t>
      </w:r>
      <w:r w:rsidR="004C6EEF" w:rsidRPr="004C6EEF">
        <w:rPr>
          <w:b/>
          <w:sz w:val="22"/>
          <w:szCs w:val="22"/>
          <w:lang w:eastAsia="zh-CN"/>
        </w:rPr>
        <w:t xml:space="preserve"> same increase in risk</w:t>
      </w:r>
      <w:r w:rsidR="00706B49">
        <w:rPr>
          <w:b/>
          <w:sz w:val="22"/>
          <w:szCs w:val="22"/>
          <w:lang w:eastAsia="zh-CN"/>
        </w:rPr>
        <w:t xml:space="preserve">. </w:t>
      </w:r>
      <w:r w:rsidR="00B91872">
        <w:rPr>
          <w:b/>
          <w:sz w:val="22"/>
          <w:szCs w:val="22"/>
          <w:lang w:eastAsia="zh-CN"/>
        </w:rPr>
        <w:t xml:space="preserve">Instead, we expect same </w:t>
      </w:r>
      <w:r w:rsidR="001458AF">
        <w:rPr>
          <w:rFonts w:hint="eastAsia"/>
          <w:b/>
          <w:sz w:val="22"/>
          <w:szCs w:val="22"/>
          <w:lang w:eastAsia="zh-CN"/>
        </w:rPr>
        <w:t xml:space="preserve">increase in risk for </w:t>
      </w:r>
      <w:r w:rsidR="00D117BB">
        <w:rPr>
          <w:rFonts w:hint="eastAsia"/>
          <w:b/>
          <w:sz w:val="22"/>
          <w:szCs w:val="22"/>
          <w:lang w:eastAsia="zh-CN"/>
        </w:rPr>
        <w:t xml:space="preserve">multiplicative changes in serum bilirubin level. So this analysis is the preferred </w:t>
      </w:r>
      <w:r w:rsidR="00E76FB9" w:rsidRPr="00E76FB9">
        <w:rPr>
          <w:rFonts w:hint="eastAsia"/>
          <w:b/>
          <w:i/>
          <w:sz w:val="22"/>
          <w:szCs w:val="22"/>
          <w:lang w:eastAsia="zh-CN"/>
        </w:rPr>
        <w:t>a priori</w:t>
      </w:r>
      <w:r w:rsidR="001D630A">
        <w:rPr>
          <w:rFonts w:hint="eastAsia"/>
          <w:b/>
          <w:i/>
          <w:sz w:val="22"/>
          <w:szCs w:val="22"/>
          <w:lang w:eastAsia="zh-CN"/>
        </w:rPr>
        <w:t>.</w:t>
      </w:r>
    </w:p>
    <w:p w14:paraId="619971E9" w14:textId="77777777" w:rsidR="00A620A3" w:rsidRDefault="002777EC" w:rsidP="002777EC">
      <w:pPr>
        <w:numPr>
          <w:ilvl w:val="1"/>
          <w:numId w:val="19"/>
        </w:numPr>
        <w:autoSpaceDE w:val="0"/>
        <w:autoSpaceDN w:val="0"/>
        <w:adjustRightInd w:val="0"/>
        <w:spacing w:after="120"/>
        <w:rPr>
          <w:sz w:val="22"/>
          <w:szCs w:val="22"/>
        </w:rPr>
      </w:pPr>
      <w:r>
        <w:rPr>
          <w:sz w:val="22"/>
          <w:szCs w:val="22"/>
        </w:rPr>
        <w:t>Include a full report of your inference about the association.</w:t>
      </w:r>
    </w:p>
    <w:p w14:paraId="5C3791F7" w14:textId="5C773E18" w:rsidR="005C39BB" w:rsidRPr="00FC0D60" w:rsidRDefault="005C39BB" w:rsidP="005C39BB">
      <w:pPr>
        <w:autoSpaceDE w:val="0"/>
        <w:autoSpaceDN w:val="0"/>
        <w:adjustRightInd w:val="0"/>
        <w:spacing w:after="120"/>
        <w:ind w:left="720"/>
        <w:rPr>
          <w:b/>
          <w:sz w:val="22"/>
          <w:szCs w:val="22"/>
        </w:rPr>
      </w:pPr>
      <w:r w:rsidRPr="00E479E9">
        <w:rPr>
          <w:b/>
          <w:sz w:val="22"/>
          <w:szCs w:val="22"/>
        </w:rPr>
        <w:t>Ans:</w:t>
      </w:r>
      <w:r>
        <w:rPr>
          <w:rFonts w:hint="eastAsia"/>
          <w:b/>
          <w:sz w:val="22"/>
          <w:szCs w:val="22"/>
          <w:lang w:eastAsia="zh-CN"/>
        </w:rPr>
        <w:t xml:space="preserve"> </w:t>
      </w:r>
      <w:r w:rsidRPr="00FC0D60">
        <w:rPr>
          <w:b/>
          <w:sz w:val="22"/>
          <w:szCs w:val="22"/>
        </w:rPr>
        <w:t xml:space="preserve">Method: There's no missing data of the variables of interest. Hazards of death are compared across groups defined by serum bilirubin using proportional hazards regression </w:t>
      </w:r>
      <w:r w:rsidR="00113623">
        <w:rPr>
          <w:b/>
          <w:sz w:val="22"/>
          <w:szCs w:val="22"/>
        </w:rPr>
        <w:t>(</w:t>
      </w:r>
      <w:r w:rsidRPr="00FC0D60">
        <w:rPr>
          <w:b/>
          <w:sz w:val="22"/>
          <w:szCs w:val="22"/>
        </w:rPr>
        <w:t>robust</w:t>
      </w:r>
      <w:r w:rsidR="00113623">
        <w:rPr>
          <w:b/>
          <w:sz w:val="22"/>
          <w:szCs w:val="22"/>
        </w:rPr>
        <w:t>)</w:t>
      </w:r>
      <w:r w:rsidRPr="00FC0D60">
        <w:rPr>
          <w:b/>
          <w:sz w:val="22"/>
          <w:szCs w:val="22"/>
        </w:rPr>
        <w:t xml:space="preserve"> modeling serum bilirubin modeled as a </w:t>
      </w:r>
      <w:r>
        <w:rPr>
          <w:b/>
          <w:sz w:val="22"/>
          <w:szCs w:val="22"/>
        </w:rPr>
        <w:t xml:space="preserve">log </w:t>
      </w:r>
      <w:r w:rsidR="00875D7A">
        <w:rPr>
          <w:b/>
          <w:sz w:val="22"/>
          <w:szCs w:val="22"/>
        </w:rPr>
        <w:t xml:space="preserve">(base 2) </w:t>
      </w:r>
      <w:r>
        <w:rPr>
          <w:b/>
          <w:sz w:val="22"/>
          <w:szCs w:val="22"/>
        </w:rPr>
        <w:t xml:space="preserve">transformed </w:t>
      </w:r>
      <w:r w:rsidRPr="00FC0D60">
        <w:rPr>
          <w:b/>
          <w:sz w:val="22"/>
          <w:szCs w:val="22"/>
        </w:rPr>
        <w:t>continuous variable. Hazard ratio is summarized to describe the association of all-cause mortality and serum bilirubin level. Confidence interval and two-sided p value is computed using Wald statistics based on the Huber-White sandwich estimator.</w:t>
      </w:r>
    </w:p>
    <w:p w14:paraId="6BD0EA5C" w14:textId="2211130C" w:rsidR="005C39BB" w:rsidRPr="003C70B2" w:rsidRDefault="005C39BB" w:rsidP="005C39BB">
      <w:pPr>
        <w:autoSpaceDE w:val="0"/>
        <w:autoSpaceDN w:val="0"/>
        <w:adjustRightInd w:val="0"/>
        <w:spacing w:after="120"/>
        <w:ind w:left="720"/>
        <w:rPr>
          <w:b/>
          <w:sz w:val="22"/>
          <w:szCs w:val="22"/>
        </w:rPr>
      </w:pPr>
      <w:r w:rsidRPr="00FC0D60">
        <w:rPr>
          <w:b/>
          <w:sz w:val="22"/>
          <w:szCs w:val="22"/>
        </w:rPr>
        <w:t xml:space="preserve">Results: The total number of subjects is 418 and total number of observed deaths is 161. From proportional hazards regression analysis with robust standard error estimates, we estimate that for each </w:t>
      </w:r>
      <w:r w:rsidR="006343D0">
        <w:rPr>
          <w:b/>
          <w:sz w:val="22"/>
          <w:szCs w:val="22"/>
        </w:rPr>
        <w:t>doubling</w:t>
      </w:r>
      <w:r w:rsidRPr="00FC0D60">
        <w:rPr>
          <w:b/>
          <w:sz w:val="22"/>
          <w:szCs w:val="22"/>
        </w:rPr>
        <w:t xml:space="preserve"> in serum bilirubin, the risk of death is </w:t>
      </w:r>
      <w:r w:rsidR="0085510C">
        <w:rPr>
          <w:b/>
          <w:sz w:val="22"/>
          <w:szCs w:val="22"/>
        </w:rPr>
        <w:t>98.45</w:t>
      </w:r>
      <w:r w:rsidR="00D35CB8">
        <w:rPr>
          <w:b/>
          <w:sz w:val="22"/>
          <w:szCs w:val="22"/>
        </w:rPr>
        <w:t>%</w:t>
      </w:r>
      <w:r w:rsidRPr="00FC0D60">
        <w:rPr>
          <w:b/>
          <w:sz w:val="22"/>
          <w:szCs w:val="22"/>
        </w:rPr>
        <w:t xml:space="preserve"> higher </w:t>
      </w:r>
      <w:r w:rsidR="00BF0176">
        <w:rPr>
          <w:b/>
          <w:sz w:val="22"/>
          <w:szCs w:val="22"/>
        </w:rPr>
        <w:t>(</w:t>
      </w:r>
      <w:r w:rsidR="000F3F57">
        <w:rPr>
          <w:b/>
          <w:sz w:val="22"/>
          <w:szCs w:val="22"/>
        </w:rPr>
        <w:t>hazard ratio =</w:t>
      </w:r>
      <w:r w:rsidR="00A0698A">
        <w:rPr>
          <w:b/>
          <w:sz w:val="22"/>
          <w:szCs w:val="22"/>
        </w:rPr>
        <w:t xml:space="preserve"> 1.984</w:t>
      </w:r>
      <w:r w:rsidR="00BF0176">
        <w:rPr>
          <w:b/>
          <w:sz w:val="22"/>
          <w:szCs w:val="22"/>
        </w:rPr>
        <w:t xml:space="preserve">) </w:t>
      </w:r>
      <w:r w:rsidRPr="00FC0D60">
        <w:rPr>
          <w:b/>
          <w:sz w:val="22"/>
          <w:szCs w:val="22"/>
        </w:rPr>
        <w:t xml:space="preserve">in the group with the higher serum bilirubin. This estimate is highly statistically significant (P &lt; 0.001). A 95% CI suggests that this observation is not unusual if a group that has </w:t>
      </w:r>
      <w:r w:rsidR="00453EBF">
        <w:rPr>
          <w:b/>
          <w:sz w:val="22"/>
          <w:szCs w:val="22"/>
        </w:rPr>
        <w:t xml:space="preserve">a </w:t>
      </w:r>
      <w:r w:rsidRPr="00FC0D60">
        <w:rPr>
          <w:rFonts w:hint="eastAsia"/>
          <w:b/>
          <w:sz w:val="22"/>
          <w:szCs w:val="22"/>
        </w:rPr>
        <w:t>b</w:t>
      </w:r>
      <w:r w:rsidRPr="00FC0D60">
        <w:rPr>
          <w:b/>
          <w:sz w:val="22"/>
          <w:szCs w:val="22"/>
        </w:rPr>
        <w:t xml:space="preserve">ilirubin </w:t>
      </w:r>
      <w:r w:rsidR="00453EBF">
        <w:rPr>
          <w:b/>
          <w:sz w:val="22"/>
          <w:szCs w:val="22"/>
        </w:rPr>
        <w:t xml:space="preserve">twice as high as another </w:t>
      </w:r>
      <w:r w:rsidRPr="00FC0D60">
        <w:rPr>
          <w:b/>
          <w:sz w:val="22"/>
          <w:szCs w:val="22"/>
        </w:rPr>
        <w:t xml:space="preserve">might have risk of death that was anywhere from </w:t>
      </w:r>
      <w:r w:rsidR="004638BB">
        <w:rPr>
          <w:b/>
          <w:sz w:val="22"/>
          <w:szCs w:val="22"/>
        </w:rPr>
        <w:t>1.781 to 2.212</w:t>
      </w:r>
      <w:r w:rsidR="00B56F9C">
        <w:rPr>
          <w:b/>
          <w:sz w:val="22"/>
          <w:szCs w:val="22"/>
        </w:rPr>
        <w:t xml:space="preserve"> times as high as </w:t>
      </w:r>
      <w:r w:rsidRPr="00FC0D60">
        <w:rPr>
          <w:b/>
          <w:sz w:val="22"/>
          <w:szCs w:val="22"/>
        </w:rPr>
        <w:t>the group with the lower serum bilirubin.  </w:t>
      </w:r>
    </w:p>
    <w:p w14:paraId="56B3D920" w14:textId="77777777" w:rsidR="00A620A3" w:rsidRDefault="00A620A3" w:rsidP="002777EC">
      <w:pPr>
        <w:numPr>
          <w:ilvl w:val="1"/>
          <w:numId w:val="19"/>
        </w:numPr>
        <w:autoSpaceDE w:val="0"/>
        <w:autoSpaceDN w:val="0"/>
        <w:adjustRightInd w:val="0"/>
        <w:spacing w:after="120"/>
        <w:rPr>
          <w:sz w:val="22"/>
          <w:szCs w:val="22"/>
        </w:rPr>
      </w:pPr>
      <w:r>
        <w:rPr>
          <w:sz w:val="22"/>
          <w:szCs w:val="22"/>
        </w:rPr>
        <w:t xml:space="preserve">For each population defined by serum </w:t>
      </w:r>
      <w:r w:rsidR="002777EC">
        <w:rPr>
          <w:sz w:val="22"/>
          <w:szCs w:val="22"/>
        </w:rPr>
        <w:t>bilirubin</w:t>
      </w:r>
      <w:r>
        <w:rPr>
          <w:sz w:val="22"/>
          <w:szCs w:val="22"/>
        </w:rPr>
        <w:t xml:space="preserve"> value, compute the hazard ratio relative to</w:t>
      </w:r>
      <w:r w:rsidR="002777EC">
        <w:rPr>
          <w:sz w:val="22"/>
          <w:szCs w:val="22"/>
        </w:rPr>
        <w:t xml:space="preserve"> a group having serum LDL of 1</w:t>
      </w:r>
      <w:r>
        <w:rPr>
          <w:sz w:val="22"/>
          <w:szCs w:val="22"/>
        </w:rPr>
        <w:t xml:space="preserve"> mg/dL.</w:t>
      </w:r>
      <w:r w:rsidR="00E01E38">
        <w:rPr>
          <w:sz w:val="22"/>
          <w:szCs w:val="22"/>
        </w:rPr>
        <w:t xml:space="preserve"> (This will be used in problem 6</w:t>
      </w:r>
      <w:r>
        <w:rPr>
          <w:sz w:val="22"/>
          <w:szCs w:val="22"/>
        </w:rPr>
        <w:t xml:space="preserve">). If </w:t>
      </w:r>
      <w:r>
        <w:rPr>
          <w:i/>
          <w:iCs/>
          <w:sz w:val="22"/>
          <w:szCs w:val="22"/>
        </w:rPr>
        <w:t>HR</w:t>
      </w:r>
      <w:r>
        <w:rPr>
          <w:sz w:val="22"/>
          <w:szCs w:val="22"/>
        </w:rPr>
        <w:t xml:space="preserve"> is the hazard ratio (use the actual hazard ratio estimate) obtained from your regression model, this can be effected by the Stata code</w:t>
      </w:r>
      <w:r w:rsidR="00E01E38">
        <w:rPr>
          <w:sz w:val="22"/>
          <w:szCs w:val="22"/>
        </w:rPr>
        <w:t xml:space="preserve"> </w:t>
      </w:r>
    </w:p>
    <w:p w14:paraId="4C9D8687" w14:textId="77777777" w:rsidR="00474EF6" w:rsidRPr="002777EC" w:rsidRDefault="00A620A3" w:rsidP="00A620A3">
      <w:pPr>
        <w:autoSpaceDE w:val="0"/>
        <w:autoSpaceDN w:val="0"/>
        <w:adjustRightInd w:val="0"/>
        <w:spacing w:after="120"/>
        <w:ind w:left="2160"/>
        <w:rPr>
          <w:rFonts w:ascii="Courier New" w:hAnsi="Courier New" w:cs="Courier New"/>
          <w:sz w:val="22"/>
          <w:szCs w:val="22"/>
          <w:lang w:val="it-IT"/>
        </w:rPr>
      </w:pPr>
      <w:r w:rsidRPr="002777EC">
        <w:rPr>
          <w:rFonts w:ascii="Courier New" w:hAnsi="Courier New" w:cs="Courier New"/>
          <w:sz w:val="22"/>
          <w:szCs w:val="22"/>
          <w:lang w:val="it-IT"/>
        </w:rPr>
        <w:t xml:space="preserve">gen </w:t>
      </w:r>
      <w:r w:rsidR="002777EC" w:rsidRPr="002777EC">
        <w:rPr>
          <w:rFonts w:ascii="Courier New" w:hAnsi="Courier New" w:cs="Courier New"/>
          <w:sz w:val="22"/>
          <w:szCs w:val="22"/>
          <w:lang w:val="it-IT"/>
        </w:rPr>
        <w:t>logbili = log(bili</w:t>
      </w:r>
      <w:r w:rsidR="00474EF6" w:rsidRPr="002777EC">
        <w:rPr>
          <w:rFonts w:ascii="Courier New" w:hAnsi="Courier New" w:cs="Courier New"/>
          <w:sz w:val="22"/>
          <w:szCs w:val="22"/>
          <w:lang w:val="it-IT"/>
        </w:rPr>
        <w:t>)</w:t>
      </w:r>
    </w:p>
    <w:p w14:paraId="523EC414" w14:textId="77777777" w:rsidR="00474EF6" w:rsidRPr="002777EC" w:rsidRDefault="002777EC" w:rsidP="00A620A3">
      <w:pPr>
        <w:autoSpaceDE w:val="0"/>
        <w:autoSpaceDN w:val="0"/>
        <w:adjustRightInd w:val="0"/>
        <w:spacing w:after="120"/>
        <w:ind w:left="2160"/>
        <w:rPr>
          <w:rFonts w:ascii="Courier New" w:hAnsi="Courier New" w:cs="Courier New"/>
          <w:sz w:val="22"/>
          <w:szCs w:val="22"/>
          <w:lang w:val="it-IT"/>
        </w:rPr>
      </w:pPr>
      <w:r w:rsidRPr="002777EC">
        <w:rPr>
          <w:rFonts w:ascii="Courier New" w:hAnsi="Courier New" w:cs="Courier New"/>
          <w:sz w:val="22"/>
          <w:szCs w:val="22"/>
          <w:lang w:val="it-IT"/>
        </w:rPr>
        <w:t>stcox logbili</w:t>
      </w:r>
    </w:p>
    <w:p w14:paraId="4CF527B4" w14:textId="77777777" w:rsidR="00A620A3" w:rsidRDefault="00474EF6" w:rsidP="002777EC">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fithrB</w:t>
      </w:r>
      <w:r w:rsidR="00A620A3">
        <w:rPr>
          <w:rFonts w:ascii="Courier New" w:hAnsi="Courier New" w:cs="Courier New"/>
          <w:sz w:val="22"/>
          <w:szCs w:val="22"/>
        </w:rPr>
        <w:t xml:space="preserve"> = </w:t>
      </w:r>
      <w:r w:rsidR="00A620A3">
        <w:rPr>
          <w:rFonts w:ascii="Courier New" w:hAnsi="Courier New" w:cs="Courier New"/>
          <w:i/>
          <w:iCs/>
          <w:sz w:val="22"/>
          <w:szCs w:val="22"/>
        </w:rPr>
        <w:t>HR ^ (</w:t>
      </w:r>
      <w:r w:rsidR="002777EC">
        <w:rPr>
          <w:rFonts w:ascii="Courier New" w:hAnsi="Courier New" w:cs="Courier New"/>
          <w:i/>
          <w:iCs/>
          <w:sz w:val="22"/>
          <w:szCs w:val="22"/>
        </w:rPr>
        <w:t>logbili</w:t>
      </w:r>
      <w:r w:rsidR="00A620A3">
        <w:rPr>
          <w:rFonts w:ascii="Courier New" w:hAnsi="Courier New" w:cs="Courier New"/>
          <w:sz w:val="22"/>
          <w:szCs w:val="22"/>
        </w:rPr>
        <w:t>)</w:t>
      </w:r>
    </w:p>
    <w:p w14:paraId="74010891" w14:textId="77777777" w:rsidR="00115B08" w:rsidRDefault="00E01E38" w:rsidP="00E01E38">
      <w:pPr>
        <w:autoSpaceDE w:val="0"/>
        <w:autoSpaceDN w:val="0"/>
        <w:adjustRightInd w:val="0"/>
        <w:spacing w:after="120"/>
        <w:ind w:left="1440"/>
        <w:rPr>
          <w:sz w:val="22"/>
          <w:szCs w:val="22"/>
        </w:rPr>
      </w:pPr>
      <w:r>
        <w:rPr>
          <w:sz w:val="22"/>
          <w:szCs w:val="22"/>
        </w:rPr>
        <w:t>(Note that the log(1) = 0 when using any base, so there is no need to rescale by the bilirubin values. Note also that you might want to use a different base in your logarithmic transformation in order to facilitate more natural reporting of effects.)</w:t>
      </w:r>
      <w:r w:rsidR="00A620A3">
        <w:rPr>
          <w:rFonts w:ascii="Courier New" w:hAnsi="Courier New" w:cs="Courier New"/>
          <w:sz w:val="22"/>
          <w:szCs w:val="22"/>
        </w:rPr>
        <w:t xml:space="preserve"> </w:t>
      </w:r>
      <w:r w:rsidR="00A620A3">
        <w:rPr>
          <w:sz w:val="22"/>
          <w:szCs w:val="22"/>
        </w:rPr>
        <w:t xml:space="preserve"> </w:t>
      </w:r>
    </w:p>
    <w:p w14:paraId="370EB674" w14:textId="540E5604" w:rsidR="005F4DBC" w:rsidRPr="005F4DBC" w:rsidRDefault="005F4DBC" w:rsidP="005F4DBC">
      <w:pPr>
        <w:autoSpaceDE w:val="0"/>
        <w:autoSpaceDN w:val="0"/>
        <w:adjustRightInd w:val="0"/>
        <w:spacing w:after="120"/>
        <w:ind w:left="720"/>
        <w:rPr>
          <w:b/>
          <w:sz w:val="22"/>
          <w:szCs w:val="22"/>
        </w:rPr>
      </w:pPr>
      <w:r w:rsidRPr="001F0D6E">
        <w:rPr>
          <w:rFonts w:hint="eastAsia"/>
          <w:b/>
          <w:sz w:val="22"/>
          <w:szCs w:val="22"/>
        </w:rPr>
        <w:t>Ans</w:t>
      </w:r>
      <w:r>
        <w:rPr>
          <w:rFonts w:hint="eastAsia"/>
          <w:b/>
          <w:sz w:val="22"/>
          <w:szCs w:val="22"/>
        </w:rPr>
        <w:t xml:space="preserve">: </w:t>
      </w:r>
      <w:r w:rsidRPr="001F0D6E">
        <w:rPr>
          <w:b/>
          <w:sz w:val="22"/>
          <w:szCs w:val="22"/>
        </w:rPr>
        <w:t xml:space="preserve">Fitted values </w:t>
      </w:r>
      <w:r>
        <w:rPr>
          <w:b/>
          <w:sz w:val="22"/>
          <w:szCs w:val="22"/>
        </w:rPr>
        <w:t>are to be displayed in problem 6</w:t>
      </w:r>
      <w:r w:rsidRPr="001F0D6E">
        <w:rPr>
          <w:b/>
          <w:sz w:val="22"/>
          <w:szCs w:val="22"/>
        </w:rPr>
        <w:t xml:space="preserve">. </w:t>
      </w:r>
    </w:p>
    <w:p w14:paraId="66B29D42" w14:textId="77777777" w:rsidR="00E01E38" w:rsidRDefault="00E01E38" w:rsidP="00E01E38">
      <w:pPr>
        <w:numPr>
          <w:ilvl w:val="0"/>
          <w:numId w:val="19"/>
        </w:numPr>
        <w:autoSpaceDE w:val="0"/>
        <w:autoSpaceDN w:val="0"/>
        <w:adjustRightInd w:val="0"/>
        <w:spacing w:after="120"/>
        <w:rPr>
          <w:sz w:val="22"/>
          <w:szCs w:val="22"/>
        </w:rPr>
      </w:pPr>
      <w:r>
        <w:rPr>
          <w:sz w:val="22"/>
          <w:szCs w:val="22"/>
        </w:rPr>
        <w:t xml:space="preserve">One approach to testing to see whether an association between the response and the predictor of interest is adequately modeled by an untransformed continuous variable is to add some other transformation to the model and see if that added covariate provides statistically significant improved “fit” of the data. In this case, we could test for “linearity” of the bilirubin association with the log hazard ratio by including both the untransformed and log transformed bilirubin. (Other alternatives might have been bilirubin and bilirubin squared, but in this case our </w:t>
      </w:r>
      <w:r>
        <w:rPr>
          <w:i/>
          <w:iCs/>
          <w:sz w:val="22"/>
          <w:szCs w:val="22"/>
        </w:rPr>
        <w:t xml:space="preserve">a priori </w:t>
      </w:r>
      <w:r>
        <w:rPr>
          <w:sz w:val="22"/>
          <w:szCs w:val="22"/>
        </w:rPr>
        <w:t xml:space="preserve">interest in the log bilirubin might drive us to the specified analysis.) </w:t>
      </w:r>
    </w:p>
    <w:p w14:paraId="6D47CD1B" w14:textId="77777777" w:rsidR="00E01E38" w:rsidRDefault="00927CF6" w:rsidP="00E01E38">
      <w:pPr>
        <w:numPr>
          <w:ilvl w:val="1"/>
          <w:numId w:val="19"/>
        </w:numPr>
        <w:autoSpaceDE w:val="0"/>
        <w:autoSpaceDN w:val="0"/>
        <w:adjustRightInd w:val="0"/>
        <w:spacing w:after="120"/>
        <w:rPr>
          <w:sz w:val="22"/>
          <w:szCs w:val="22"/>
        </w:rPr>
      </w:pPr>
      <w:r>
        <w:rPr>
          <w:sz w:val="22"/>
          <w:szCs w:val="22"/>
        </w:rPr>
        <w:t>Provide full inference related to the question of whether the association is linear.</w:t>
      </w:r>
    </w:p>
    <w:p w14:paraId="408E0B1E" w14:textId="5E804702" w:rsidR="0003558D" w:rsidRPr="00730140" w:rsidRDefault="0081722F" w:rsidP="0081722F">
      <w:pPr>
        <w:autoSpaceDE w:val="0"/>
        <w:autoSpaceDN w:val="0"/>
        <w:adjustRightInd w:val="0"/>
        <w:spacing w:after="120"/>
        <w:ind w:left="720"/>
        <w:rPr>
          <w:b/>
          <w:sz w:val="22"/>
          <w:szCs w:val="22"/>
        </w:rPr>
      </w:pPr>
      <w:r w:rsidRPr="00730140">
        <w:rPr>
          <w:b/>
          <w:sz w:val="22"/>
          <w:szCs w:val="22"/>
        </w:rPr>
        <w:t>Ans:</w:t>
      </w:r>
      <w:r w:rsidRPr="00730140">
        <w:rPr>
          <w:rFonts w:hint="eastAsia"/>
          <w:b/>
          <w:sz w:val="22"/>
          <w:szCs w:val="22"/>
          <w:lang w:eastAsia="zh-CN"/>
        </w:rPr>
        <w:t xml:space="preserve"> </w:t>
      </w:r>
      <w:r w:rsidRPr="00730140">
        <w:rPr>
          <w:b/>
          <w:sz w:val="22"/>
          <w:szCs w:val="22"/>
        </w:rPr>
        <w:t>Method: There's no missing data of the variables of interest. Hazards of death are compared across groups defined by serum bilirubin using proportional hazards regression (robust) modeling serum bilirubin as a</w:t>
      </w:r>
      <w:r w:rsidR="00B32E0B" w:rsidRPr="00730140">
        <w:rPr>
          <w:b/>
          <w:sz w:val="22"/>
          <w:szCs w:val="22"/>
        </w:rPr>
        <w:t xml:space="preserve"> combination of a</w:t>
      </w:r>
      <w:r w:rsidR="00B32E0B" w:rsidRPr="00730140">
        <w:rPr>
          <w:b/>
        </w:rPr>
        <w:t xml:space="preserve"> </w:t>
      </w:r>
      <w:r w:rsidR="00B32E0B" w:rsidRPr="00730140">
        <w:rPr>
          <w:b/>
          <w:sz w:val="22"/>
          <w:szCs w:val="22"/>
        </w:rPr>
        <w:t>continuous untransformed serum bilirubin and a</w:t>
      </w:r>
      <w:r w:rsidRPr="00730140">
        <w:rPr>
          <w:b/>
          <w:sz w:val="22"/>
          <w:szCs w:val="22"/>
        </w:rPr>
        <w:t xml:space="preserve"> log (base 2) transformed continuous </w:t>
      </w:r>
      <w:r w:rsidR="00004FD4" w:rsidRPr="00730140">
        <w:rPr>
          <w:b/>
          <w:sz w:val="22"/>
          <w:szCs w:val="22"/>
        </w:rPr>
        <w:t>serum bilirubin concentration</w:t>
      </w:r>
      <w:r w:rsidRPr="00730140">
        <w:rPr>
          <w:b/>
          <w:sz w:val="22"/>
          <w:szCs w:val="22"/>
        </w:rPr>
        <w:t>.</w:t>
      </w:r>
      <w:r w:rsidR="00C402A6" w:rsidRPr="00730140">
        <w:rPr>
          <w:b/>
          <w:sz w:val="22"/>
          <w:szCs w:val="22"/>
        </w:rPr>
        <w:t xml:space="preserve"> </w:t>
      </w:r>
      <w:r w:rsidR="00A20523" w:rsidRPr="00730140">
        <w:rPr>
          <w:b/>
          <w:sz w:val="22"/>
          <w:szCs w:val="22"/>
        </w:rPr>
        <w:t>Association</w:t>
      </w:r>
      <w:r w:rsidR="00D35EF4" w:rsidRPr="00730140">
        <w:rPr>
          <w:b/>
          <w:sz w:val="22"/>
          <w:szCs w:val="22"/>
        </w:rPr>
        <w:t>s</w:t>
      </w:r>
      <w:r w:rsidR="00A20523" w:rsidRPr="00730140">
        <w:rPr>
          <w:b/>
          <w:sz w:val="22"/>
          <w:szCs w:val="22"/>
        </w:rPr>
        <w:t xml:space="preserve"> between all-cause </w:t>
      </w:r>
      <w:r w:rsidR="00D94A77" w:rsidRPr="00730140">
        <w:rPr>
          <w:b/>
          <w:sz w:val="22"/>
          <w:szCs w:val="22"/>
        </w:rPr>
        <w:t xml:space="preserve">mortality </w:t>
      </w:r>
      <w:r w:rsidR="00D35EF4" w:rsidRPr="00730140">
        <w:rPr>
          <w:b/>
          <w:sz w:val="22"/>
          <w:szCs w:val="22"/>
        </w:rPr>
        <w:t xml:space="preserve">with linear bilirubin and log (base 2) transformed bilirubin </w:t>
      </w:r>
      <w:r w:rsidR="00DF0C5A" w:rsidRPr="00730140">
        <w:rPr>
          <w:b/>
          <w:sz w:val="22"/>
          <w:szCs w:val="22"/>
        </w:rPr>
        <w:t>are</w:t>
      </w:r>
      <w:r w:rsidR="00D35EF4" w:rsidRPr="00730140">
        <w:rPr>
          <w:b/>
          <w:sz w:val="22"/>
          <w:szCs w:val="22"/>
        </w:rPr>
        <w:t xml:space="preserve"> test</w:t>
      </w:r>
      <w:r w:rsidR="001961A3" w:rsidRPr="00730140">
        <w:rPr>
          <w:b/>
          <w:sz w:val="22"/>
          <w:szCs w:val="22"/>
        </w:rPr>
        <w:t>ed simultaneously tested</w:t>
      </w:r>
      <w:r w:rsidR="005A44A1" w:rsidRPr="00730140">
        <w:rPr>
          <w:b/>
          <w:sz w:val="22"/>
          <w:szCs w:val="22"/>
        </w:rPr>
        <w:t>. Two-sided p value and CI</w:t>
      </w:r>
      <w:r w:rsidR="00DF0C5A" w:rsidRPr="00730140">
        <w:rPr>
          <w:b/>
          <w:sz w:val="22"/>
          <w:szCs w:val="22"/>
        </w:rPr>
        <w:t xml:space="preserve"> are computed from </w:t>
      </w:r>
      <w:r w:rsidR="00A96661" w:rsidRPr="00730140">
        <w:rPr>
          <w:b/>
          <w:sz w:val="22"/>
          <w:szCs w:val="22"/>
        </w:rPr>
        <w:t>W</w:t>
      </w:r>
      <w:r w:rsidR="00045C2C" w:rsidRPr="00730140">
        <w:rPr>
          <w:b/>
          <w:sz w:val="22"/>
          <w:szCs w:val="22"/>
        </w:rPr>
        <w:t xml:space="preserve">ald statistics with </w:t>
      </w:r>
      <w:r w:rsidR="00F53DC0" w:rsidRPr="00730140">
        <w:rPr>
          <w:b/>
          <w:sz w:val="22"/>
          <w:szCs w:val="22"/>
        </w:rPr>
        <w:t>the Huber-White sandwich estimator</w:t>
      </w:r>
      <w:r w:rsidR="00421A99" w:rsidRPr="00730140">
        <w:rPr>
          <w:b/>
          <w:sz w:val="22"/>
          <w:szCs w:val="22"/>
        </w:rPr>
        <w:t xml:space="preserve">. </w:t>
      </w:r>
      <w:r w:rsidR="0003558D" w:rsidRPr="00730140">
        <w:rPr>
          <w:b/>
          <w:sz w:val="22"/>
          <w:szCs w:val="22"/>
        </w:rPr>
        <w:t xml:space="preserve"> </w:t>
      </w:r>
      <w:r w:rsidR="00716264" w:rsidRPr="00730140">
        <w:rPr>
          <w:b/>
          <w:sz w:val="22"/>
          <w:szCs w:val="22"/>
        </w:rPr>
        <w:t xml:space="preserve">In addition, a test for nonlinearity </w:t>
      </w:r>
      <w:r w:rsidR="00F1300F" w:rsidRPr="00730140">
        <w:rPr>
          <w:b/>
          <w:sz w:val="22"/>
          <w:szCs w:val="22"/>
        </w:rPr>
        <w:t xml:space="preserve">of the association between </w:t>
      </w:r>
      <w:r w:rsidR="00C16630" w:rsidRPr="00730140">
        <w:rPr>
          <w:b/>
          <w:sz w:val="22"/>
          <w:szCs w:val="22"/>
        </w:rPr>
        <w:t xml:space="preserve">hazard and </w:t>
      </w:r>
      <w:r w:rsidR="00157285" w:rsidRPr="00730140">
        <w:rPr>
          <w:b/>
          <w:sz w:val="22"/>
          <w:szCs w:val="22"/>
        </w:rPr>
        <w:t>serum bilirubin is performed</w:t>
      </w:r>
      <w:r w:rsidR="00AA755B" w:rsidRPr="00730140">
        <w:rPr>
          <w:b/>
          <w:sz w:val="22"/>
          <w:szCs w:val="22"/>
        </w:rPr>
        <w:t xml:space="preserve"> using a Wald test </w:t>
      </w:r>
      <w:r w:rsidR="006D1940" w:rsidRPr="00730140">
        <w:rPr>
          <w:b/>
          <w:sz w:val="22"/>
          <w:szCs w:val="22"/>
        </w:rPr>
        <w:t xml:space="preserve">with the null hypothesis that the </w:t>
      </w:r>
      <w:r w:rsidR="006346B3" w:rsidRPr="00730140">
        <w:rPr>
          <w:b/>
          <w:sz w:val="22"/>
          <w:szCs w:val="22"/>
        </w:rPr>
        <w:t>coefficient</w:t>
      </w:r>
      <w:r w:rsidR="00713A33" w:rsidRPr="00730140">
        <w:rPr>
          <w:b/>
          <w:sz w:val="22"/>
          <w:szCs w:val="22"/>
        </w:rPr>
        <w:t xml:space="preserve"> </w:t>
      </w:r>
      <w:r w:rsidR="003F6568" w:rsidRPr="00730140">
        <w:rPr>
          <w:b/>
          <w:sz w:val="22"/>
          <w:szCs w:val="22"/>
        </w:rPr>
        <w:t>of the log (base 2) transformed bilirubin</w:t>
      </w:r>
      <w:r w:rsidR="00DA13A8" w:rsidRPr="00730140">
        <w:rPr>
          <w:b/>
          <w:sz w:val="22"/>
          <w:szCs w:val="22"/>
        </w:rPr>
        <w:t xml:space="preserve"> is </w:t>
      </w:r>
      <w:r w:rsidR="00B82EE4" w:rsidRPr="00730140">
        <w:rPr>
          <w:b/>
          <w:sz w:val="22"/>
          <w:szCs w:val="22"/>
        </w:rPr>
        <w:t xml:space="preserve">zero. </w:t>
      </w:r>
    </w:p>
    <w:p w14:paraId="1E8773D1" w14:textId="0EE01711" w:rsidR="00A8791A" w:rsidRPr="00730140" w:rsidRDefault="004A68A2" w:rsidP="0081722F">
      <w:pPr>
        <w:autoSpaceDE w:val="0"/>
        <w:autoSpaceDN w:val="0"/>
        <w:adjustRightInd w:val="0"/>
        <w:spacing w:after="120"/>
        <w:ind w:left="720"/>
        <w:rPr>
          <w:b/>
          <w:sz w:val="22"/>
          <w:szCs w:val="22"/>
        </w:rPr>
      </w:pPr>
      <w:r w:rsidRPr="00730140">
        <w:rPr>
          <w:b/>
          <w:sz w:val="22"/>
          <w:szCs w:val="22"/>
        </w:rPr>
        <w:t>Result</w:t>
      </w:r>
      <w:r w:rsidR="00025176" w:rsidRPr="00730140">
        <w:rPr>
          <w:b/>
          <w:sz w:val="22"/>
          <w:szCs w:val="22"/>
        </w:rPr>
        <w:t>s</w:t>
      </w:r>
      <w:r w:rsidRPr="00730140">
        <w:rPr>
          <w:b/>
          <w:sz w:val="22"/>
          <w:szCs w:val="22"/>
        </w:rPr>
        <w:t xml:space="preserve">: </w:t>
      </w:r>
      <w:r w:rsidR="00A71306" w:rsidRPr="00730140">
        <w:rPr>
          <w:b/>
          <w:sz w:val="22"/>
          <w:szCs w:val="22"/>
        </w:rPr>
        <w:t>The total number of subjects is 418 and total number of observed deaths is 161. From proportional hazards regression analysis</w:t>
      </w:r>
      <w:r w:rsidR="00A21072" w:rsidRPr="00730140">
        <w:rPr>
          <w:b/>
          <w:sz w:val="22"/>
          <w:szCs w:val="22"/>
        </w:rPr>
        <w:t xml:space="preserve"> (robust) modeling </w:t>
      </w:r>
      <w:r w:rsidR="00812C64" w:rsidRPr="00730140">
        <w:rPr>
          <w:b/>
          <w:sz w:val="22"/>
          <w:szCs w:val="22"/>
        </w:rPr>
        <w:t xml:space="preserve">bilirubin concentration as </w:t>
      </w:r>
      <w:r w:rsidR="004B72C4" w:rsidRPr="00730140">
        <w:rPr>
          <w:b/>
          <w:sz w:val="22"/>
          <w:szCs w:val="22"/>
        </w:rPr>
        <w:t>a combination of a</w:t>
      </w:r>
      <w:r w:rsidR="004B72C4" w:rsidRPr="00730140">
        <w:rPr>
          <w:b/>
        </w:rPr>
        <w:t xml:space="preserve"> </w:t>
      </w:r>
      <w:r w:rsidR="004B72C4" w:rsidRPr="00730140">
        <w:rPr>
          <w:b/>
          <w:sz w:val="22"/>
          <w:szCs w:val="22"/>
        </w:rPr>
        <w:t xml:space="preserve">continuous untransformed serum bilirubin </w:t>
      </w:r>
      <w:r w:rsidR="0056180C" w:rsidRPr="00730140">
        <w:rPr>
          <w:b/>
          <w:sz w:val="22"/>
          <w:szCs w:val="22"/>
        </w:rPr>
        <w:t xml:space="preserve">concentration </w:t>
      </w:r>
      <w:r w:rsidR="004B72C4" w:rsidRPr="00730140">
        <w:rPr>
          <w:b/>
          <w:sz w:val="22"/>
          <w:szCs w:val="22"/>
        </w:rPr>
        <w:t>and a log (base 2) transformed continuous serum bilirubin concentration</w:t>
      </w:r>
      <w:r w:rsidR="00A71306" w:rsidRPr="00730140">
        <w:rPr>
          <w:b/>
          <w:sz w:val="22"/>
          <w:szCs w:val="22"/>
        </w:rPr>
        <w:t xml:space="preserve">, </w:t>
      </w:r>
      <w:r w:rsidR="00447D3F" w:rsidRPr="00730140">
        <w:rPr>
          <w:b/>
          <w:sz w:val="22"/>
          <w:szCs w:val="22"/>
        </w:rPr>
        <w:t xml:space="preserve">there's statistically significant evidence </w:t>
      </w:r>
      <w:r w:rsidR="002965F8" w:rsidRPr="00730140">
        <w:rPr>
          <w:b/>
          <w:sz w:val="22"/>
          <w:szCs w:val="22"/>
        </w:rPr>
        <w:t xml:space="preserve">(P &lt; 0.001) </w:t>
      </w:r>
      <w:r w:rsidR="00447D3F" w:rsidRPr="00730140">
        <w:rPr>
          <w:b/>
          <w:sz w:val="22"/>
          <w:szCs w:val="22"/>
        </w:rPr>
        <w:t xml:space="preserve">for </w:t>
      </w:r>
      <w:r w:rsidR="0076471A" w:rsidRPr="00730140">
        <w:rPr>
          <w:b/>
          <w:sz w:val="22"/>
          <w:szCs w:val="22"/>
        </w:rPr>
        <w:t xml:space="preserve">association between </w:t>
      </w:r>
      <w:r w:rsidR="007E0B35" w:rsidRPr="00730140">
        <w:rPr>
          <w:b/>
          <w:sz w:val="22"/>
          <w:szCs w:val="22"/>
        </w:rPr>
        <w:t xml:space="preserve">hazard of all-cause death </w:t>
      </w:r>
      <w:r w:rsidR="00E6702C" w:rsidRPr="00730140">
        <w:rPr>
          <w:b/>
          <w:sz w:val="22"/>
          <w:szCs w:val="22"/>
        </w:rPr>
        <w:t>and serum bil</w:t>
      </w:r>
      <w:r w:rsidR="006C1965" w:rsidRPr="00730140">
        <w:rPr>
          <w:b/>
          <w:sz w:val="22"/>
          <w:szCs w:val="22"/>
        </w:rPr>
        <w:t xml:space="preserve">irubin at the study enrollment. </w:t>
      </w:r>
      <w:r w:rsidR="00AB7719" w:rsidRPr="00730140">
        <w:rPr>
          <w:b/>
          <w:sz w:val="22"/>
          <w:szCs w:val="22"/>
        </w:rPr>
        <w:t xml:space="preserve">P value of </w:t>
      </w:r>
      <w:r w:rsidR="00871BFE" w:rsidRPr="00730140">
        <w:rPr>
          <w:b/>
          <w:sz w:val="22"/>
          <w:szCs w:val="22"/>
        </w:rPr>
        <w:t xml:space="preserve">the test for nonlinearity </w:t>
      </w:r>
      <w:r w:rsidR="002A1DC0" w:rsidRPr="00730140">
        <w:rPr>
          <w:b/>
          <w:sz w:val="22"/>
          <w:szCs w:val="22"/>
        </w:rPr>
        <w:t xml:space="preserve">based on log (base 2) transformed </w:t>
      </w:r>
      <w:r w:rsidR="0068541E" w:rsidRPr="00730140">
        <w:rPr>
          <w:b/>
          <w:sz w:val="22"/>
          <w:szCs w:val="22"/>
        </w:rPr>
        <w:t xml:space="preserve">serum bilirubin </w:t>
      </w:r>
      <w:r w:rsidR="00F1460D" w:rsidRPr="00730140">
        <w:rPr>
          <w:b/>
          <w:sz w:val="22"/>
          <w:szCs w:val="22"/>
        </w:rPr>
        <w:t xml:space="preserve">is smaller than 0.001, hence suggests that </w:t>
      </w:r>
      <w:r w:rsidR="006E5CFB" w:rsidRPr="00730140">
        <w:rPr>
          <w:b/>
          <w:sz w:val="22"/>
          <w:szCs w:val="22"/>
        </w:rPr>
        <w:t xml:space="preserve">we can </w:t>
      </w:r>
      <w:r w:rsidR="005B2012" w:rsidRPr="00730140">
        <w:rPr>
          <w:b/>
          <w:sz w:val="22"/>
          <w:szCs w:val="22"/>
        </w:rPr>
        <w:t xml:space="preserve">with high confidence </w:t>
      </w:r>
      <w:r w:rsidR="006E5CFB" w:rsidRPr="00730140">
        <w:rPr>
          <w:b/>
          <w:sz w:val="22"/>
          <w:szCs w:val="22"/>
        </w:rPr>
        <w:t xml:space="preserve">reject the </w:t>
      </w:r>
      <w:r w:rsidR="005B2012" w:rsidRPr="00730140">
        <w:rPr>
          <w:b/>
          <w:sz w:val="22"/>
          <w:szCs w:val="22"/>
        </w:rPr>
        <w:t xml:space="preserve">null hypothesis that </w:t>
      </w:r>
      <w:r w:rsidR="00B27FBC" w:rsidRPr="00730140">
        <w:rPr>
          <w:b/>
          <w:sz w:val="22"/>
          <w:szCs w:val="22"/>
        </w:rPr>
        <w:t xml:space="preserve">the association between </w:t>
      </w:r>
      <w:r w:rsidR="00A149A0" w:rsidRPr="00730140">
        <w:rPr>
          <w:b/>
          <w:sz w:val="22"/>
          <w:szCs w:val="22"/>
        </w:rPr>
        <w:t xml:space="preserve">all-cause mortality and serum bilirubin is adequately modeled by an untransformed continuous </w:t>
      </w:r>
      <w:r w:rsidR="00F3758D" w:rsidRPr="00730140">
        <w:rPr>
          <w:b/>
          <w:sz w:val="22"/>
          <w:szCs w:val="22"/>
        </w:rPr>
        <w:t xml:space="preserve">serum bilirubin. </w:t>
      </w:r>
    </w:p>
    <w:p w14:paraId="769486BB" w14:textId="77777777" w:rsidR="00E01E38" w:rsidRDefault="00E01E38" w:rsidP="00E01E38">
      <w:pPr>
        <w:numPr>
          <w:ilvl w:val="1"/>
          <w:numId w:val="19"/>
        </w:numPr>
        <w:autoSpaceDE w:val="0"/>
        <w:autoSpaceDN w:val="0"/>
        <w:adjustRightInd w:val="0"/>
        <w:spacing w:after="120"/>
        <w:rPr>
          <w:sz w:val="22"/>
          <w:szCs w:val="22"/>
        </w:rPr>
      </w:pPr>
      <w:r>
        <w:rPr>
          <w:sz w:val="22"/>
          <w:szCs w:val="22"/>
        </w:rPr>
        <w:t>Again, save the fitted values from this model by obtaining the estimated HRs relative to a group with bilirubin of 1 mg/dl. (This will be used in problem 6.)</w:t>
      </w:r>
    </w:p>
    <w:p w14:paraId="12611F05" w14:textId="4DDA9D93" w:rsidR="00742A57" w:rsidRPr="00742A57" w:rsidRDefault="00742A57" w:rsidP="00742A57">
      <w:pPr>
        <w:autoSpaceDE w:val="0"/>
        <w:autoSpaceDN w:val="0"/>
        <w:adjustRightInd w:val="0"/>
        <w:spacing w:after="120"/>
        <w:ind w:left="720"/>
        <w:rPr>
          <w:b/>
          <w:sz w:val="22"/>
          <w:szCs w:val="22"/>
        </w:rPr>
      </w:pPr>
      <w:r w:rsidRPr="001F0D6E">
        <w:rPr>
          <w:rFonts w:hint="eastAsia"/>
          <w:b/>
          <w:sz w:val="22"/>
          <w:szCs w:val="22"/>
        </w:rPr>
        <w:t>Ans</w:t>
      </w:r>
      <w:r>
        <w:rPr>
          <w:rFonts w:hint="eastAsia"/>
          <w:b/>
          <w:sz w:val="22"/>
          <w:szCs w:val="22"/>
        </w:rPr>
        <w:t xml:space="preserve">: </w:t>
      </w:r>
      <w:r w:rsidRPr="001F0D6E">
        <w:rPr>
          <w:b/>
          <w:sz w:val="22"/>
          <w:szCs w:val="22"/>
        </w:rPr>
        <w:t xml:space="preserve">Fitted values </w:t>
      </w:r>
      <w:r>
        <w:rPr>
          <w:b/>
          <w:sz w:val="22"/>
          <w:szCs w:val="22"/>
        </w:rPr>
        <w:t>are to be displayed in problem 6</w:t>
      </w:r>
      <w:r w:rsidRPr="001F0D6E">
        <w:rPr>
          <w:b/>
          <w:sz w:val="22"/>
          <w:szCs w:val="22"/>
        </w:rPr>
        <w:t xml:space="preserve">. </w:t>
      </w:r>
    </w:p>
    <w:p w14:paraId="3B01B2F0" w14:textId="77777777" w:rsidR="00E01E38" w:rsidRDefault="00E01E38" w:rsidP="00E01E38">
      <w:pPr>
        <w:numPr>
          <w:ilvl w:val="0"/>
          <w:numId w:val="19"/>
        </w:numPr>
        <w:autoSpaceDE w:val="0"/>
        <w:autoSpaceDN w:val="0"/>
        <w:adjustRightInd w:val="0"/>
        <w:spacing w:after="120"/>
        <w:rPr>
          <w:sz w:val="22"/>
          <w:szCs w:val="22"/>
        </w:rPr>
      </w:pPr>
      <w:r>
        <w:rPr>
          <w:sz w:val="22"/>
          <w:szCs w:val="22"/>
        </w:rPr>
        <w:t>Display a graph with the fitted hazard ratios from problems 3 - 5. Comment on any similarities or differences of the fitted values from the three models.</w:t>
      </w:r>
    </w:p>
    <w:p w14:paraId="7DE1E181" w14:textId="048D933C" w:rsidR="009C3E65" w:rsidRPr="004636D5" w:rsidRDefault="009C3E65" w:rsidP="009C3E65">
      <w:pPr>
        <w:autoSpaceDE w:val="0"/>
        <w:autoSpaceDN w:val="0"/>
        <w:adjustRightInd w:val="0"/>
        <w:spacing w:after="120"/>
        <w:rPr>
          <w:b/>
          <w:sz w:val="22"/>
          <w:szCs w:val="22"/>
          <w:lang w:eastAsia="zh-CN"/>
        </w:rPr>
      </w:pPr>
      <w:r w:rsidRPr="004636D5">
        <w:rPr>
          <w:rFonts w:hint="eastAsia"/>
          <w:b/>
          <w:sz w:val="22"/>
          <w:szCs w:val="22"/>
        </w:rPr>
        <w:t xml:space="preserve">Ans: </w:t>
      </w:r>
      <w:r w:rsidR="00FB5F9D" w:rsidRPr="004636D5">
        <w:rPr>
          <w:rFonts w:hint="eastAsia"/>
          <w:b/>
          <w:sz w:val="22"/>
          <w:szCs w:val="22"/>
        </w:rPr>
        <w:t>Fitted hazard ratios are plotted in figure 2</w:t>
      </w:r>
      <w:r w:rsidR="00AE4C2A" w:rsidRPr="004636D5">
        <w:rPr>
          <w:rFonts w:hint="eastAsia"/>
          <w:b/>
          <w:sz w:val="22"/>
          <w:szCs w:val="22"/>
        </w:rPr>
        <w:t xml:space="preserve">. </w:t>
      </w:r>
      <w:r w:rsidR="00AE4C2A" w:rsidRPr="004636D5">
        <w:rPr>
          <w:b/>
          <w:sz w:val="22"/>
          <w:szCs w:val="22"/>
        </w:rPr>
        <w:t>Proportional</w:t>
      </w:r>
      <w:r w:rsidR="00AE4C2A" w:rsidRPr="004636D5">
        <w:rPr>
          <w:rFonts w:hint="eastAsia"/>
          <w:b/>
          <w:sz w:val="22"/>
          <w:szCs w:val="22"/>
        </w:rPr>
        <w:t xml:space="preserve"> hazard regression modeling on </w:t>
      </w:r>
      <w:r w:rsidR="00730D28" w:rsidRPr="004636D5">
        <w:rPr>
          <w:rFonts w:hint="eastAsia"/>
          <w:b/>
          <w:sz w:val="22"/>
          <w:szCs w:val="22"/>
        </w:rPr>
        <w:t>the combination (problem 5)</w:t>
      </w:r>
      <w:r w:rsidR="0013104C" w:rsidRPr="004636D5">
        <w:rPr>
          <w:rFonts w:hint="eastAsia"/>
          <w:b/>
          <w:sz w:val="22"/>
          <w:szCs w:val="22"/>
        </w:rPr>
        <w:t xml:space="preserve"> shows much </w:t>
      </w:r>
      <w:r w:rsidR="00D85DF2" w:rsidRPr="004636D5">
        <w:rPr>
          <w:rFonts w:hint="eastAsia"/>
          <w:b/>
          <w:sz w:val="22"/>
          <w:szCs w:val="22"/>
        </w:rPr>
        <w:t>similarity with the log fit model (problem 4)</w:t>
      </w:r>
      <w:r w:rsidR="00C82368" w:rsidRPr="004636D5">
        <w:rPr>
          <w:rFonts w:hint="eastAsia"/>
          <w:b/>
          <w:sz w:val="22"/>
          <w:szCs w:val="22"/>
        </w:rPr>
        <w:t xml:space="preserve">, especially when the bilirubin concentration is smaller than </w:t>
      </w:r>
      <w:r w:rsidR="00C077A6" w:rsidRPr="004636D5">
        <w:rPr>
          <w:rFonts w:hint="eastAsia"/>
          <w:b/>
          <w:sz w:val="22"/>
          <w:szCs w:val="22"/>
        </w:rPr>
        <w:t xml:space="preserve">15 mg/dL. </w:t>
      </w:r>
      <w:r w:rsidR="000E3089" w:rsidRPr="004636D5">
        <w:rPr>
          <w:rFonts w:hint="eastAsia"/>
          <w:b/>
          <w:sz w:val="22"/>
          <w:szCs w:val="22"/>
        </w:rPr>
        <w:t xml:space="preserve">These two models </w:t>
      </w:r>
      <w:r w:rsidR="00ED04D1" w:rsidRPr="004636D5">
        <w:rPr>
          <w:rFonts w:hint="eastAsia"/>
          <w:b/>
          <w:sz w:val="22"/>
          <w:szCs w:val="22"/>
        </w:rPr>
        <w:t xml:space="preserve">diverge with bilirubin concentrations higher than </w:t>
      </w:r>
      <w:r w:rsidR="007A5B6B" w:rsidRPr="004636D5">
        <w:rPr>
          <w:rFonts w:hint="eastAsia"/>
          <w:b/>
          <w:sz w:val="22"/>
          <w:szCs w:val="22"/>
        </w:rPr>
        <w:t>18 mg/dL</w:t>
      </w:r>
      <w:r w:rsidR="00A93229" w:rsidRPr="004636D5">
        <w:rPr>
          <w:rFonts w:hint="eastAsia"/>
          <w:b/>
          <w:sz w:val="22"/>
          <w:szCs w:val="22"/>
        </w:rPr>
        <w:t>, where</w:t>
      </w:r>
      <w:r w:rsidR="00F04AD4" w:rsidRPr="004636D5">
        <w:rPr>
          <w:rFonts w:hint="eastAsia"/>
          <w:b/>
          <w:sz w:val="22"/>
          <w:szCs w:val="22"/>
        </w:rPr>
        <w:t xml:space="preserve"> the da</w:t>
      </w:r>
      <w:r w:rsidR="00571CCF">
        <w:rPr>
          <w:rFonts w:hint="eastAsia"/>
          <w:b/>
          <w:sz w:val="22"/>
          <w:szCs w:val="22"/>
        </w:rPr>
        <w:t xml:space="preserve">ta points are relatively sparse. </w:t>
      </w:r>
      <w:r w:rsidR="00A0587C" w:rsidRPr="004636D5">
        <w:rPr>
          <w:rFonts w:hint="eastAsia"/>
          <w:b/>
          <w:sz w:val="22"/>
          <w:szCs w:val="22"/>
        </w:rPr>
        <w:t xml:space="preserve">But either of these two models </w:t>
      </w:r>
      <w:r w:rsidR="001B5DA2" w:rsidRPr="004636D5">
        <w:rPr>
          <w:rFonts w:hint="eastAsia"/>
          <w:b/>
          <w:sz w:val="22"/>
          <w:szCs w:val="22"/>
        </w:rPr>
        <w:t xml:space="preserve">is obviously </w:t>
      </w:r>
      <w:r w:rsidR="00A13807" w:rsidRPr="004636D5">
        <w:rPr>
          <w:rFonts w:hint="eastAsia"/>
          <w:b/>
          <w:sz w:val="22"/>
          <w:szCs w:val="22"/>
        </w:rPr>
        <w:t>differ</w:t>
      </w:r>
      <w:r w:rsidR="001B5DA2" w:rsidRPr="004636D5">
        <w:rPr>
          <w:rFonts w:hint="eastAsia"/>
          <w:b/>
          <w:sz w:val="22"/>
          <w:szCs w:val="22"/>
        </w:rPr>
        <w:t>ent</w:t>
      </w:r>
      <w:r w:rsidR="00A13807" w:rsidRPr="004636D5">
        <w:rPr>
          <w:rFonts w:hint="eastAsia"/>
          <w:b/>
          <w:sz w:val="22"/>
          <w:szCs w:val="22"/>
        </w:rPr>
        <w:t xml:space="preserve"> </w:t>
      </w:r>
      <w:r w:rsidR="003B004F" w:rsidRPr="004636D5">
        <w:rPr>
          <w:rFonts w:hint="eastAsia"/>
          <w:b/>
          <w:sz w:val="22"/>
          <w:szCs w:val="22"/>
        </w:rPr>
        <w:t xml:space="preserve">from </w:t>
      </w:r>
      <w:r w:rsidR="001B5DA2" w:rsidRPr="004636D5">
        <w:rPr>
          <w:rFonts w:hint="eastAsia"/>
          <w:b/>
          <w:sz w:val="22"/>
          <w:szCs w:val="22"/>
        </w:rPr>
        <w:t>the linear fit model (</w:t>
      </w:r>
      <w:r w:rsidR="004C66A1" w:rsidRPr="004636D5">
        <w:rPr>
          <w:rFonts w:hint="eastAsia"/>
          <w:b/>
          <w:sz w:val="22"/>
          <w:szCs w:val="22"/>
        </w:rPr>
        <w:t xml:space="preserve">problem </w:t>
      </w:r>
      <w:r w:rsidR="00DF1C51" w:rsidRPr="004636D5">
        <w:rPr>
          <w:rFonts w:hint="eastAsia"/>
          <w:b/>
          <w:sz w:val="22"/>
          <w:szCs w:val="22"/>
        </w:rPr>
        <w:t>3</w:t>
      </w:r>
      <w:r w:rsidR="001B5DA2" w:rsidRPr="004636D5">
        <w:rPr>
          <w:rFonts w:hint="eastAsia"/>
          <w:b/>
          <w:sz w:val="22"/>
          <w:szCs w:val="22"/>
        </w:rPr>
        <w:t>)</w:t>
      </w:r>
      <w:r w:rsidR="00373989" w:rsidRPr="004636D5">
        <w:rPr>
          <w:rFonts w:hint="eastAsia"/>
          <w:b/>
          <w:sz w:val="22"/>
          <w:szCs w:val="22"/>
        </w:rPr>
        <w:t xml:space="preserve">. </w:t>
      </w:r>
      <w:r w:rsidR="00210545" w:rsidRPr="004636D5">
        <w:rPr>
          <w:rFonts w:hint="eastAsia"/>
          <w:b/>
          <w:sz w:val="22"/>
          <w:szCs w:val="22"/>
        </w:rPr>
        <w:t>Both</w:t>
      </w:r>
      <w:r w:rsidR="00373989" w:rsidRPr="004636D5">
        <w:rPr>
          <w:rFonts w:hint="eastAsia"/>
          <w:b/>
          <w:sz w:val="22"/>
          <w:szCs w:val="22"/>
        </w:rPr>
        <w:t xml:space="preserve"> the comparison and </w:t>
      </w:r>
      <w:r w:rsidR="00420BA9" w:rsidRPr="004636D5">
        <w:rPr>
          <w:rFonts w:hint="eastAsia"/>
          <w:b/>
          <w:sz w:val="22"/>
          <w:szCs w:val="22"/>
        </w:rPr>
        <w:t xml:space="preserve">the nonlinearity test </w:t>
      </w:r>
      <w:r w:rsidR="008A5E6A" w:rsidRPr="004636D5">
        <w:rPr>
          <w:rFonts w:hint="eastAsia"/>
          <w:b/>
          <w:sz w:val="22"/>
          <w:szCs w:val="22"/>
        </w:rPr>
        <w:t xml:space="preserve">for </w:t>
      </w:r>
      <w:r w:rsidR="008A5E6A" w:rsidRPr="004636D5">
        <w:rPr>
          <w:b/>
          <w:sz w:val="22"/>
          <w:szCs w:val="22"/>
        </w:rPr>
        <w:t>the association between hazard and serum bilirubin</w:t>
      </w:r>
      <w:r w:rsidR="00210545" w:rsidRPr="004636D5">
        <w:rPr>
          <w:rFonts w:hint="eastAsia"/>
          <w:b/>
          <w:sz w:val="22"/>
          <w:szCs w:val="22"/>
          <w:lang w:eastAsia="zh-CN"/>
        </w:rPr>
        <w:t xml:space="preserve"> in problem 5</w:t>
      </w:r>
      <w:r w:rsidR="002161CC" w:rsidRPr="004636D5">
        <w:rPr>
          <w:rFonts w:hint="eastAsia"/>
          <w:b/>
          <w:sz w:val="22"/>
          <w:szCs w:val="22"/>
          <w:lang w:eastAsia="zh-CN"/>
        </w:rPr>
        <w:t xml:space="preserve"> shows that the </w:t>
      </w:r>
      <w:r w:rsidR="00C46609" w:rsidRPr="004636D5">
        <w:rPr>
          <w:rFonts w:hint="eastAsia"/>
          <w:b/>
          <w:sz w:val="22"/>
          <w:szCs w:val="22"/>
          <w:lang w:eastAsia="zh-CN"/>
        </w:rPr>
        <w:t xml:space="preserve">association </w:t>
      </w:r>
      <w:r w:rsidR="00521BF9" w:rsidRPr="004636D5">
        <w:rPr>
          <w:rFonts w:hint="eastAsia"/>
          <w:b/>
          <w:sz w:val="22"/>
          <w:szCs w:val="22"/>
          <w:lang w:eastAsia="zh-CN"/>
        </w:rPr>
        <w:t xml:space="preserve">is not adequately </w:t>
      </w:r>
      <w:r w:rsidR="0048376F" w:rsidRPr="004636D5">
        <w:rPr>
          <w:rFonts w:hint="eastAsia"/>
          <w:b/>
          <w:sz w:val="22"/>
          <w:szCs w:val="22"/>
          <w:lang w:eastAsia="zh-CN"/>
        </w:rPr>
        <w:t>modeled</w:t>
      </w:r>
      <w:r w:rsidR="00F10E66" w:rsidRPr="004636D5">
        <w:rPr>
          <w:rFonts w:hint="eastAsia"/>
          <w:b/>
          <w:sz w:val="22"/>
          <w:szCs w:val="22"/>
          <w:lang w:eastAsia="zh-CN"/>
        </w:rPr>
        <w:t xml:space="preserve"> by an untransformed</w:t>
      </w:r>
      <w:r w:rsidR="00F63CCB" w:rsidRPr="004636D5">
        <w:rPr>
          <w:rFonts w:hint="eastAsia"/>
          <w:b/>
          <w:sz w:val="22"/>
          <w:szCs w:val="22"/>
          <w:lang w:eastAsia="zh-CN"/>
        </w:rPr>
        <w:t xml:space="preserve"> continuous serum bilirubin.</w:t>
      </w:r>
      <w:r w:rsidR="00F92DFC" w:rsidRPr="004636D5">
        <w:rPr>
          <w:rFonts w:hint="eastAsia"/>
          <w:b/>
          <w:sz w:val="22"/>
          <w:szCs w:val="22"/>
          <w:lang w:eastAsia="zh-CN"/>
        </w:rPr>
        <w:t xml:space="preserve"> Also we expect the </w:t>
      </w:r>
      <w:r w:rsidR="006C2870" w:rsidRPr="004636D5">
        <w:rPr>
          <w:b/>
          <w:sz w:val="22"/>
          <w:szCs w:val="22"/>
          <w:lang w:eastAsia="zh-CN"/>
        </w:rPr>
        <w:t>hazard</w:t>
      </w:r>
      <w:r w:rsidR="006C2870" w:rsidRPr="004636D5">
        <w:rPr>
          <w:rFonts w:hint="eastAsia"/>
          <w:b/>
          <w:sz w:val="22"/>
          <w:szCs w:val="22"/>
          <w:lang w:eastAsia="zh-CN"/>
        </w:rPr>
        <w:t xml:space="preserve"> of all-</w:t>
      </w:r>
      <w:r w:rsidR="007446E7" w:rsidRPr="004636D5">
        <w:rPr>
          <w:rFonts w:hint="eastAsia"/>
          <w:b/>
          <w:sz w:val="22"/>
          <w:szCs w:val="22"/>
          <w:lang w:eastAsia="zh-CN"/>
        </w:rPr>
        <w:t>cause death</w:t>
      </w:r>
      <w:r w:rsidR="00085B26" w:rsidRPr="004636D5">
        <w:rPr>
          <w:rFonts w:hint="eastAsia"/>
          <w:b/>
          <w:sz w:val="22"/>
          <w:szCs w:val="22"/>
          <w:lang w:eastAsia="zh-CN"/>
        </w:rPr>
        <w:t xml:space="preserve"> to </w:t>
      </w:r>
      <w:r w:rsidR="00100762" w:rsidRPr="004636D5">
        <w:rPr>
          <w:rFonts w:hint="eastAsia"/>
          <w:b/>
          <w:sz w:val="22"/>
          <w:szCs w:val="22"/>
          <w:lang w:eastAsia="zh-CN"/>
        </w:rPr>
        <w:t>act</w:t>
      </w:r>
      <w:r w:rsidR="00314646" w:rsidRPr="004636D5">
        <w:rPr>
          <w:rFonts w:hint="eastAsia"/>
          <w:b/>
          <w:sz w:val="22"/>
          <w:szCs w:val="22"/>
          <w:lang w:eastAsia="zh-CN"/>
        </w:rPr>
        <w:t xml:space="preserve"> </w:t>
      </w:r>
      <w:r w:rsidR="00085B26" w:rsidRPr="004636D5">
        <w:rPr>
          <w:rFonts w:hint="eastAsia"/>
          <w:b/>
          <w:sz w:val="22"/>
          <w:szCs w:val="22"/>
          <w:lang w:eastAsia="zh-CN"/>
        </w:rPr>
        <w:t xml:space="preserve">on the multiplicative scale of </w:t>
      </w:r>
      <w:r w:rsidR="00CD2989" w:rsidRPr="004636D5">
        <w:rPr>
          <w:rFonts w:hint="eastAsia"/>
          <w:b/>
          <w:sz w:val="22"/>
          <w:szCs w:val="22"/>
          <w:lang w:eastAsia="zh-CN"/>
        </w:rPr>
        <w:t xml:space="preserve">serum bilirubin. </w:t>
      </w:r>
      <w:r w:rsidR="001020B5" w:rsidRPr="004636D5">
        <w:rPr>
          <w:rFonts w:hint="eastAsia"/>
          <w:b/>
          <w:sz w:val="22"/>
          <w:szCs w:val="22"/>
          <w:lang w:eastAsia="zh-CN"/>
        </w:rPr>
        <w:t xml:space="preserve">The model of problem 4, proportional </w:t>
      </w:r>
      <w:r w:rsidR="006C4A91" w:rsidRPr="004636D5">
        <w:rPr>
          <w:rFonts w:hint="eastAsia"/>
          <w:b/>
          <w:sz w:val="22"/>
          <w:szCs w:val="22"/>
          <w:lang w:eastAsia="zh-CN"/>
        </w:rPr>
        <w:t>hazard regression</w:t>
      </w:r>
      <w:r w:rsidR="009A46AE" w:rsidRPr="004636D5">
        <w:rPr>
          <w:rFonts w:hint="eastAsia"/>
          <w:b/>
          <w:sz w:val="22"/>
          <w:szCs w:val="22"/>
          <w:lang w:eastAsia="zh-CN"/>
        </w:rPr>
        <w:t xml:space="preserve"> modeling on the </w:t>
      </w:r>
      <w:r w:rsidR="00AD500A" w:rsidRPr="004636D5">
        <w:rPr>
          <w:rFonts w:hint="eastAsia"/>
          <w:b/>
          <w:sz w:val="22"/>
          <w:szCs w:val="22"/>
          <w:lang w:eastAsia="zh-CN"/>
        </w:rPr>
        <w:t>log (base 2)</w:t>
      </w:r>
      <w:r w:rsidR="00BD7297" w:rsidRPr="004636D5">
        <w:rPr>
          <w:rFonts w:hint="eastAsia"/>
          <w:b/>
          <w:sz w:val="22"/>
          <w:szCs w:val="22"/>
          <w:lang w:eastAsia="zh-CN"/>
        </w:rPr>
        <w:t xml:space="preserve"> transformed serum bilirubin</w:t>
      </w:r>
      <w:r w:rsidR="00B32C93" w:rsidRPr="004636D5">
        <w:rPr>
          <w:rFonts w:hint="eastAsia"/>
          <w:b/>
          <w:sz w:val="22"/>
          <w:szCs w:val="22"/>
          <w:lang w:eastAsia="zh-CN"/>
        </w:rPr>
        <w:t>,</w:t>
      </w:r>
      <w:r w:rsidR="00BD7297" w:rsidRPr="004636D5">
        <w:rPr>
          <w:rFonts w:hint="eastAsia"/>
          <w:b/>
          <w:sz w:val="22"/>
          <w:szCs w:val="22"/>
          <w:lang w:eastAsia="zh-CN"/>
        </w:rPr>
        <w:t xml:space="preserve"> i</w:t>
      </w:r>
      <w:r w:rsidR="00B32C93" w:rsidRPr="004636D5">
        <w:rPr>
          <w:rFonts w:hint="eastAsia"/>
          <w:b/>
          <w:sz w:val="22"/>
          <w:szCs w:val="22"/>
          <w:lang w:eastAsia="zh-CN"/>
        </w:rPr>
        <w:t xml:space="preserve">s </w:t>
      </w:r>
      <w:r w:rsidR="00067704" w:rsidRPr="004636D5">
        <w:rPr>
          <w:rFonts w:hint="eastAsia"/>
          <w:b/>
          <w:sz w:val="22"/>
          <w:szCs w:val="22"/>
          <w:lang w:eastAsia="zh-CN"/>
        </w:rPr>
        <w:t>appropriate</w:t>
      </w:r>
      <w:r w:rsidR="00C315F0" w:rsidRPr="004636D5">
        <w:rPr>
          <w:rFonts w:hint="eastAsia"/>
          <w:b/>
          <w:sz w:val="22"/>
          <w:szCs w:val="22"/>
          <w:lang w:eastAsia="zh-CN"/>
        </w:rPr>
        <w:t xml:space="preserve"> in this setting. </w:t>
      </w:r>
    </w:p>
    <w:p w14:paraId="5D950F24" w14:textId="77777777" w:rsidR="009C3E65" w:rsidRDefault="009C3E65" w:rsidP="009C3E65">
      <w:pPr>
        <w:autoSpaceDE w:val="0"/>
        <w:autoSpaceDN w:val="0"/>
        <w:adjustRightInd w:val="0"/>
        <w:spacing w:after="120"/>
        <w:rPr>
          <w:sz w:val="22"/>
          <w:szCs w:val="22"/>
        </w:rPr>
      </w:pPr>
    </w:p>
    <w:p w14:paraId="5A75ED33" w14:textId="662F9E8D" w:rsidR="009C3E65" w:rsidRDefault="009C3E65" w:rsidP="009C3E65">
      <w:pPr>
        <w:autoSpaceDE w:val="0"/>
        <w:autoSpaceDN w:val="0"/>
        <w:adjustRightInd w:val="0"/>
        <w:spacing w:after="120"/>
        <w:jc w:val="center"/>
        <w:rPr>
          <w:sz w:val="22"/>
          <w:szCs w:val="22"/>
          <w:lang w:eastAsia="zh-CN"/>
        </w:rPr>
      </w:pPr>
      <w:r>
        <w:rPr>
          <w:noProof/>
          <w:sz w:val="22"/>
          <w:szCs w:val="22"/>
        </w:rPr>
        <w:drawing>
          <wp:inline distT="0" distB="0" distL="0" distR="0" wp14:anchorId="4BE27225" wp14:editId="74C1214F">
            <wp:extent cx="50292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st515hw4-compare.pdf"/>
                    <pic:cNvPicPr/>
                  </pic:nvPicPr>
                  <pic:blipFill>
                    <a:blip r:embed="rId9">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33571580" w14:textId="7D3C9306" w:rsidR="00D75F42" w:rsidRDefault="00D75F42" w:rsidP="009C3E65">
      <w:pPr>
        <w:autoSpaceDE w:val="0"/>
        <w:autoSpaceDN w:val="0"/>
        <w:adjustRightInd w:val="0"/>
        <w:spacing w:after="120"/>
        <w:jc w:val="center"/>
        <w:rPr>
          <w:sz w:val="22"/>
          <w:szCs w:val="22"/>
          <w:lang w:eastAsia="zh-CN"/>
        </w:rPr>
      </w:pPr>
      <w:r>
        <w:rPr>
          <w:rFonts w:hint="eastAsia"/>
          <w:sz w:val="22"/>
          <w:szCs w:val="22"/>
          <w:lang w:eastAsia="zh-CN"/>
        </w:rPr>
        <w:t xml:space="preserve">Figure 2. Fitted hazard ratios from </w:t>
      </w:r>
      <w:r w:rsidR="00FA2C87">
        <w:rPr>
          <w:rFonts w:hint="eastAsia"/>
          <w:sz w:val="22"/>
          <w:szCs w:val="22"/>
          <w:lang w:eastAsia="zh-CN"/>
        </w:rPr>
        <w:t>proportional regression</w:t>
      </w:r>
      <w:r w:rsidR="00F5421B">
        <w:rPr>
          <w:rFonts w:hint="eastAsia"/>
          <w:sz w:val="22"/>
          <w:szCs w:val="22"/>
          <w:lang w:eastAsia="zh-CN"/>
        </w:rPr>
        <w:t>s</w:t>
      </w:r>
      <w:r w:rsidR="00FA2C87">
        <w:rPr>
          <w:rFonts w:hint="eastAsia"/>
          <w:sz w:val="22"/>
          <w:szCs w:val="22"/>
          <w:lang w:eastAsia="zh-CN"/>
        </w:rPr>
        <w:t xml:space="preserve"> mode</w:t>
      </w:r>
      <w:r w:rsidR="00F61ECB">
        <w:rPr>
          <w:rFonts w:hint="eastAsia"/>
          <w:sz w:val="22"/>
          <w:szCs w:val="22"/>
          <w:lang w:eastAsia="zh-CN"/>
        </w:rPr>
        <w:t xml:space="preserve">ling on </w:t>
      </w:r>
      <w:r w:rsidR="00F61ECB">
        <w:rPr>
          <w:sz w:val="22"/>
          <w:szCs w:val="22"/>
          <w:lang w:eastAsia="zh-CN"/>
        </w:rPr>
        <w:t>untransformed</w:t>
      </w:r>
      <w:r w:rsidR="00F61ECB">
        <w:rPr>
          <w:rFonts w:hint="eastAsia"/>
          <w:sz w:val="22"/>
          <w:szCs w:val="22"/>
          <w:lang w:eastAsia="zh-CN"/>
        </w:rPr>
        <w:t xml:space="preserve"> continuous serum bilirubin, </w:t>
      </w:r>
      <w:r w:rsidR="00612FFE">
        <w:rPr>
          <w:rFonts w:hint="eastAsia"/>
          <w:sz w:val="22"/>
          <w:szCs w:val="22"/>
          <w:lang w:eastAsia="zh-CN"/>
        </w:rPr>
        <w:t xml:space="preserve">modeling on </w:t>
      </w:r>
      <w:r w:rsidR="00F61ECB">
        <w:rPr>
          <w:rFonts w:hint="eastAsia"/>
          <w:sz w:val="22"/>
          <w:szCs w:val="22"/>
          <w:lang w:eastAsia="zh-CN"/>
        </w:rPr>
        <w:t>log (base 2) transformed serum bilirubin and</w:t>
      </w:r>
      <w:r w:rsidR="00612FFE">
        <w:rPr>
          <w:rFonts w:hint="eastAsia"/>
          <w:sz w:val="22"/>
          <w:szCs w:val="22"/>
          <w:lang w:eastAsia="zh-CN"/>
        </w:rPr>
        <w:t xml:space="preserve"> modeling on</w:t>
      </w:r>
      <w:r w:rsidR="00F61ECB">
        <w:rPr>
          <w:rFonts w:hint="eastAsia"/>
          <w:sz w:val="22"/>
          <w:szCs w:val="22"/>
          <w:lang w:eastAsia="zh-CN"/>
        </w:rPr>
        <w:t xml:space="preserve"> a combination of </w:t>
      </w:r>
      <w:r w:rsidR="00524576">
        <w:rPr>
          <w:rFonts w:hint="eastAsia"/>
          <w:sz w:val="22"/>
          <w:szCs w:val="22"/>
          <w:lang w:eastAsia="zh-CN"/>
        </w:rPr>
        <w:t>untransformed and log (base 2) transformed serum bilirubin respectively.</w:t>
      </w:r>
      <w:r w:rsidR="0013104C">
        <w:rPr>
          <w:rFonts w:hint="eastAsia"/>
          <w:sz w:val="22"/>
          <w:szCs w:val="22"/>
          <w:lang w:eastAsia="zh-CN"/>
        </w:rPr>
        <w:t xml:space="preserve"> The relative hazard ratios are compared with groups with bilirubin of 1mg/dL</w:t>
      </w:r>
      <w:r w:rsidR="00BD5D17">
        <w:rPr>
          <w:rFonts w:hint="eastAsia"/>
          <w:sz w:val="22"/>
          <w:szCs w:val="22"/>
          <w:lang w:eastAsia="zh-CN"/>
        </w:rPr>
        <w:t>.</w:t>
      </w:r>
    </w:p>
    <w:p w14:paraId="4B3A7688" w14:textId="77777777" w:rsidR="00927CF6" w:rsidRDefault="00927CF6" w:rsidP="00927CF6">
      <w:pPr>
        <w:numPr>
          <w:ilvl w:val="0"/>
          <w:numId w:val="19"/>
        </w:numPr>
        <w:autoSpaceDE w:val="0"/>
        <w:autoSpaceDN w:val="0"/>
        <w:adjustRightInd w:val="0"/>
        <w:spacing w:after="120"/>
        <w:rPr>
          <w:sz w:val="22"/>
          <w:szCs w:val="22"/>
        </w:rPr>
      </w:pPr>
      <w:r>
        <w:rPr>
          <w:sz w:val="22"/>
          <w:szCs w:val="22"/>
        </w:rPr>
        <w:t>We are interested in considering analyses of the association between all cause mortality and serum bilirubin after adjustment for age and sex.</w:t>
      </w:r>
    </w:p>
    <w:p w14:paraId="24017AA8" w14:textId="6888C0A2" w:rsidR="00403764" w:rsidRDefault="00403764" w:rsidP="007E4983">
      <w:pPr>
        <w:autoSpaceDE w:val="0"/>
        <w:autoSpaceDN w:val="0"/>
        <w:adjustRightInd w:val="0"/>
        <w:spacing w:after="120"/>
        <w:rPr>
          <w:sz w:val="22"/>
          <w:szCs w:val="22"/>
        </w:rPr>
      </w:pPr>
      <w:r>
        <w:rPr>
          <w:rFonts w:hint="eastAsia"/>
          <w:sz w:val="22"/>
          <w:szCs w:val="22"/>
        </w:rPr>
        <w:t xml:space="preserve">Table 3. </w:t>
      </w:r>
      <w:r w:rsidR="00982959">
        <w:rPr>
          <w:rFonts w:hint="eastAsia"/>
          <w:sz w:val="22"/>
          <w:szCs w:val="22"/>
        </w:rPr>
        <w:t>Summary Statistics of Age and Sex stratified on serum bilirubin at the Study Enrollment</w:t>
      </w:r>
    </w:p>
    <w:tbl>
      <w:tblPr>
        <w:tblStyle w:val="TableGrid"/>
        <w:tblW w:w="0" w:type="auto"/>
        <w:jc w:val="center"/>
        <w:tblLook w:val="04A0" w:firstRow="1" w:lastRow="0" w:firstColumn="1" w:lastColumn="0" w:noHBand="0" w:noVBand="1"/>
      </w:tblPr>
      <w:tblGrid>
        <w:gridCol w:w="769"/>
        <w:gridCol w:w="1087"/>
        <w:gridCol w:w="1183"/>
        <w:gridCol w:w="1183"/>
        <w:gridCol w:w="1123"/>
        <w:gridCol w:w="1123"/>
        <w:gridCol w:w="1126"/>
        <w:gridCol w:w="1087"/>
        <w:gridCol w:w="1183"/>
      </w:tblGrid>
      <w:tr w:rsidR="00B61DC4" w:rsidRPr="00104865" w14:paraId="6C2D24DD" w14:textId="77777777" w:rsidTr="004F1A5C">
        <w:trPr>
          <w:jc w:val="center"/>
        </w:trPr>
        <w:tc>
          <w:tcPr>
            <w:tcW w:w="0" w:type="auto"/>
          </w:tcPr>
          <w:p w14:paraId="54C9F15E" w14:textId="77777777" w:rsidR="004F1A5C" w:rsidRPr="00104865" w:rsidRDefault="004F1A5C" w:rsidP="008727C9">
            <w:pPr>
              <w:autoSpaceDE w:val="0"/>
              <w:autoSpaceDN w:val="0"/>
              <w:adjustRightInd w:val="0"/>
              <w:spacing w:after="120"/>
              <w:jc w:val="center"/>
              <w:rPr>
                <w:sz w:val="18"/>
                <w:szCs w:val="22"/>
              </w:rPr>
            </w:pPr>
          </w:p>
        </w:tc>
        <w:tc>
          <w:tcPr>
            <w:tcW w:w="0" w:type="auto"/>
            <w:gridSpan w:val="8"/>
          </w:tcPr>
          <w:p w14:paraId="623D7E8F" w14:textId="77777777" w:rsidR="004F1A5C" w:rsidRPr="00104865" w:rsidRDefault="004F1A5C" w:rsidP="008727C9">
            <w:pPr>
              <w:autoSpaceDE w:val="0"/>
              <w:autoSpaceDN w:val="0"/>
              <w:adjustRightInd w:val="0"/>
              <w:spacing w:after="120"/>
              <w:jc w:val="center"/>
              <w:rPr>
                <w:sz w:val="18"/>
                <w:szCs w:val="22"/>
              </w:rPr>
            </w:pPr>
            <w:r w:rsidRPr="00104865">
              <w:rPr>
                <w:rFonts w:hint="eastAsia"/>
                <w:sz w:val="18"/>
                <w:szCs w:val="22"/>
                <w:lang w:eastAsia="zh-CN"/>
              </w:rPr>
              <w:t>Serum Bilirubin at Study Enrollment</w:t>
            </w:r>
          </w:p>
        </w:tc>
      </w:tr>
      <w:tr w:rsidR="00B22290" w:rsidRPr="00104865" w14:paraId="286BA1E1" w14:textId="77777777" w:rsidTr="004F1A5C">
        <w:trPr>
          <w:jc w:val="center"/>
        </w:trPr>
        <w:tc>
          <w:tcPr>
            <w:tcW w:w="0" w:type="auto"/>
          </w:tcPr>
          <w:p w14:paraId="1AEC283A" w14:textId="77777777" w:rsidR="004F1A5C" w:rsidRPr="00104865" w:rsidRDefault="004F1A5C" w:rsidP="008727C9">
            <w:pPr>
              <w:autoSpaceDE w:val="0"/>
              <w:autoSpaceDN w:val="0"/>
              <w:adjustRightInd w:val="0"/>
              <w:spacing w:after="120"/>
              <w:rPr>
                <w:sz w:val="18"/>
                <w:szCs w:val="22"/>
              </w:rPr>
            </w:pPr>
          </w:p>
        </w:tc>
        <w:tc>
          <w:tcPr>
            <w:tcW w:w="0" w:type="auto"/>
          </w:tcPr>
          <w:p w14:paraId="70CFE8F2" w14:textId="77777777" w:rsidR="004F1A5C" w:rsidRPr="00104865" w:rsidRDefault="004F1A5C" w:rsidP="008727C9">
            <w:pPr>
              <w:autoSpaceDE w:val="0"/>
              <w:autoSpaceDN w:val="0"/>
              <w:adjustRightInd w:val="0"/>
              <w:spacing w:after="120"/>
              <w:rPr>
                <w:sz w:val="18"/>
                <w:szCs w:val="22"/>
                <w:lang w:eastAsia="zh-CN"/>
              </w:rPr>
            </w:pPr>
            <w:r w:rsidRPr="00104865">
              <w:rPr>
                <w:rFonts w:hint="eastAsia"/>
                <w:sz w:val="18"/>
                <w:szCs w:val="22"/>
                <w:lang w:eastAsia="zh-CN"/>
              </w:rPr>
              <w:t>0.25-0.49</w:t>
            </w:r>
          </w:p>
          <w:p w14:paraId="73288EBC" w14:textId="77777777" w:rsidR="004F1A5C" w:rsidRPr="00104865" w:rsidRDefault="004F1A5C" w:rsidP="008727C9">
            <w:pPr>
              <w:autoSpaceDE w:val="0"/>
              <w:autoSpaceDN w:val="0"/>
              <w:adjustRightInd w:val="0"/>
              <w:spacing w:after="120"/>
              <w:rPr>
                <w:sz w:val="18"/>
                <w:szCs w:val="22"/>
                <w:lang w:eastAsia="zh-CN"/>
              </w:rPr>
            </w:pPr>
            <w:r w:rsidRPr="00104865">
              <w:rPr>
                <w:rFonts w:hint="eastAsia"/>
                <w:sz w:val="18"/>
                <w:szCs w:val="22"/>
                <w:lang w:eastAsia="zh-CN"/>
              </w:rPr>
              <w:t>mg/dL</w:t>
            </w:r>
          </w:p>
        </w:tc>
        <w:tc>
          <w:tcPr>
            <w:tcW w:w="0" w:type="auto"/>
          </w:tcPr>
          <w:p w14:paraId="75F8C831" w14:textId="77777777" w:rsidR="004F1A5C" w:rsidRPr="00104865" w:rsidRDefault="004F1A5C" w:rsidP="008727C9">
            <w:pPr>
              <w:autoSpaceDE w:val="0"/>
              <w:autoSpaceDN w:val="0"/>
              <w:adjustRightInd w:val="0"/>
              <w:spacing w:after="120"/>
              <w:rPr>
                <w:sz w:val="18"/>
                <w:szCs w:val="22"/>
                <w:lang w:eastAsia="zh-CN"/>
              </w:rPr>
            </w:pPr>
            <w:r w:rsidRPr="00104865">
              <w:rPr>
                <w:rFonts w:hint="eastAsia"/>
                <w:sz w:val="18"/>
                <w:szCs w:val="22"/>
                <w:lang w:eastAsia="zh-CN"/>
              </w:rPr>
              <w:t>0.5</w:t>
            </w:r>
            <w:r w:rsidRPr="00104865">
              <w:rPr>
                <w:sz w:val="18"/>
                <w:szCs w:val="22"/>
                <w:lang w:eastAsia="zh-CN"/>
              </w:rPr>
              <w:t>0</w:t>
            </w:r>
            <w:r w:rsidRPr="00104865">
              <w:rPr>
                <w:rFonts w:hint="eastAsia"/>
                <w:sz w:val="18"/>
                <w:szCs w:val="22"/>
                <w:lang w:eastAsia="zh-CN"/>
              </w:rPr>
              <w:t>-0.99</w:t>
            </w:r>
          </w:p>
          <w:p w14:paraId="6424F06B" w14:textId="77777777" w:rsidR="004F1A5C" w:rsidRPr="00104865" w:rsidRDefault="004F1A5C" w:rsidP="008727C9">
            <w:pPr>
              <w:autoSpaceDE w:val="0"/>
              <w:autoSpaceDN w:val="0"/>
              <w:adjustRightInd w:val="0"/>
              <w:spacing w:after="120"/>
              <w:rPr>
                <w:sz w:val="18"/>
                <w:szCs w:val="22"/>
                <w:lang w:eastAsia="zh-CN"/>
              </w:rPr>
            </w:pPr>
            <w:r w:rsidRPr="00104865">
              <w:rPr>
                <w:rFonts w:hint="eastAsia"/>
                <w:sz w:val="18"/>
                <w:szCs w:val="22"/>
                <w:lang w:eastAsia="zh-CN"/>
              </w:rPr>
              <w:t>mg/dL</w:t>
            </w:r>
          </w:p>
        </w:tc>
        <w:tc>
          <w:tcPr>
            <w:tcW w:w="0" w:type="auto"/>
          </w:tcPr>
          <w:p w14:paraId="78281302" w14:textId="77777777" w:rsidR="004F1A5C" w:rsidRPr="00104865" w:rsidRDefault="004F1A5C" w:rsidP="008727C9">
            <w:pPr>
              <w:autoSpaceDE w:val="0"/>
              <w:autoSpaceDN w:val="0"/>
              <w:adjustRightInd w:val="0"/>
              <w:spacing w:after="120"/>
              <w:rPr>
                <w:sz w:val="18"/>
                <w:szCs w:val="22"/>
                <w:lang w:eastAsia="zh-CN"/>
              </w:rPr>
            </w:pPr>
            <w:r w:rsidRPr="00104865">
              <w:rPr>
                <w:rFonts w:hint="eastAsia"/>
                <w:sz w:val="18"/>
                <w:szCs w:val="22"/>
                <w:lang w:eastAsia="zh-CN"/>
              </w:rPr>
              <w:t>1.00-1.99</w:t>
            </w:r>
          </w:p>
          <w:p w14:paraId="346E2146" w14:textId="77777777" w:rsidR="004F1A5C" w:rsidRPr="00104865" w:rsidRDefault="004F1A5C" w:rsidP="008727C9">
            <w:pPr>
              <w:autoSpaceDE w:val="0"/>
              <w:autoSpaceDN w:val="0"/>
              <w:adjustRightInd w:val="0"/>
              <w:spacing w:after="120"/>
              <w:rPr>
                <w:sz w:val="18"/>
                <w:szCs w:val="22"/>
              </w:rPr>
            </w:pPr>
            <w:r w:rsidRPr="00104865">
              <w:rPr>
                <w:rFonts w:hint="eastAsia"/>
                <w:sz w:val="18"/>
                <w:szCs w:val="22"/>
                <w:lang w:eastAsia="zh-CN"/>
              </w:rPr>
              <w:t>mg/dL</w:t>
            </w:r>
          </w:p>
        </w:tc>
        <w:tc>
          <w:tcPr>
            <w:tcW w:w="0" w:type="auto"/>
          </w:tcPr>
          <w:p w14:paraId="7FFF437B" w14:textId="77777777" w:rsidR="004F1A5C" w:rsidRPr="00104865" w:rsidRDefault="004F1A5C" w:rsidP="008727C9">
            <w:pPr>
              <w:autoSpaceDE w:val="0"/>
              <w:autoSpaceDN w:val="0"/>
              <w:adjustRightInd w:val="0"/>
              <w:spacing w:after="120"/>
              <w:rPr>
                <w:sz w:val="18"/>
                <w:szCs w:val="22"/>
                <w:lang w:eastAsia="zh-CN"/>
              </w:rPr>
            </w:pPr>
            <w:r w:rsidRPr="00104865">
              <w:rPr>
                <w:rFonts w:hint="eastAsia"/>
                <w:sz w:val="18"/>
                <w:szCs w:val="22"/>
                <w:lang w:eastAsia="zh-CN"/>
              </w:rPr>
              <w:t>2.00-3.99</w:t>
            </w:r>
          </w:p>
          <w:p w14:paraId="7ECCC9B4" w14:textId="77777777" w:rsidR="004F1A5C" w:rsidRPr="00104865" w:rsidRDefault="004F1A5C" w:rsidP="008727C9">
            <w:pPr>
              <w:autoSpaceDE w:val="0"/>
              <w:autoSpaceDN w:val="0"/>
              <w:adjustRightInd w:val="0"/>
              <w:spacing w:after="120"/>
              <w:rPr>
                <w:sz w:val="18"/>
                <w:szCs w:val="22"/>
              </w:rPr>
            </w:pPr>
            <w:r w:rsidRPr="00104865">
              <w:rPr>
                <w:rFonts w:hint="eastAsia"/>
                <w:sz w:val="18"/>
                <w:szCs w:val="22"/>
                <w:lang w:eastAsia="zh-CN"/>
              </w:rPr>
              <w:t>mg/dL</w:t>
            </w:r>
          </w:p>
        </w:tc>
        <w:tc>
          <w:tcPr>
            <w:tcW w:w="0" w:type="auto"/>
          </w:tcPr>
          <w:p w14:paraId="116300B2" w14:textId="77777777" w:rsidR="004F1A5C" w:rsidRPr="00104865" w:rsidRDefault="004F1A5C" w:rsidP="008727C9">
            <w:pPr>
              <w:autoSpaceDE w:val="0"/>
              <w:autoSpaceDN w:val="0"/>
              <w:adjustRightInd w:val="0"/>
              <w:spacing w:after="120"/>
              <w:rPr>
                <w:sz w:val="18"/>
                <w:szCs w:val="22"/>
                <w:lang w:eastAsia="zh-CN"/>
              </w:rPr>
            </w:pPr>
            <w:r w:rsidRPr="00104865">
              <w:rPr>
                <w:rFonts w:hint="eastAsia"/>
                <w:sz w:val="18"/>
                <w:szCs w:val="22"/>
                <w:lang w:eastAsia="zh-CN"/>
              </w:rPr>
              <w:t>4.00-7.99</w:t>
            </w:r>
          </w:p>
          <w:p w14:paraId="1E1E5B59" w14:textId="77777777" w:rsidR="004F1A5C" w:rsidRPr="00104865" w:rsidRDefault="004F1A5C" w:rsidP="008727C9">
            <w:pPr>
              <w:autoSpaceDE w:val="0"/>
              <w:autoSpaceDN w:val="0"/>
              <w:adjustRightInd w:val="0"/>
              <w:spacing w:after="120"/>
              <w:rPr>
                <w:sz w:val="18"/>
                <w:szCs w:val="22"/>
              </w:rPr>
            </w:pPr>
            <w:r w:rsidRPr="00104865">
              <w:rPr>
                <w:rFonts w:hint="eastAsia"/>
                <w:sz w:val="18"/>
                <w:szCs w:val="22"/>
                <w:lang w:eastAsia="zh-CN"/>
              </w:rPr>
              <w:t>mg/dL</w:t>
            </w:r>
          </w:p>
        </w:tc>
        <w:tc>
          <w:tcPr>
            <w:tcW w:w="0" w:type="auto"/>
          </w:tcPr>
          <w:p w14:paraId="0DA31F08" w14:textId="77777777" w:rsidR="004F1A5C" w:rsidRPr="00104865" w:rsidRDefault="004F1A5C" w:rsidP="008727C9">
            <w:pPr>
              <w:autoSpaceDE w:val="0"/>
              <w:autoSpaceDN w:val="0"/>
              <w:adjustRightInd w:val="0"/>
              <w:spacing w:after="120"/>
              <w:rPr>
                <w:sz w:val="18"/>
                <w:szCs w:val="22"/>
                <w:lang w:eastAsia="zh-CN"/>
              </w:rPr>
            </w:pPr>
            <w:r w:rsidRPr="00104865">
              <w:rPr>
                <w:rFonts w:hint="eastAsia"/>
                <w:sz w:val="18"/>
                <w:szCs w:val="22"/>
                <w:lang w:eastAsia="zh-CN"/>
              </w:rPr>
              <w:t>8.00-15.99</w:t>
            </w:r>
          </w:p>
          <w:p w14:paraId="45EA2423" w14:textId="77777777" w:rsidR="004F1A5C" w:rsidRPr="00104865" w:rsidRDefault="004F1A5C" w:rsidP="008727C9">
            <w:pPr>
              <w:autoSpaceDE w:val="0"/>
              <w:autoSpaceDN w:val="0"/>
              <w:adjustRightInd w:val="0"/>
              <w:spacing w:after="120"/>
              <w:rPr>
                <w:sz w:val="18"/>
                <w:szCs w:val="22"/>
              </w:rPr>
            </w:pPr>
            <w:r w:rsidRPr="00104865">
              <w:rPr>
                <w:rFonts w:hint="eastAsia"/>
                <w:sz w:val="18"/>
                <w:szCs w:val="22"/>
                <w:lang w:eastAsia="zh-CN"/>
              </w:rPr>
              <w:t>mg/dL</w:t>
            </w:r>
          </w:p>
        </w:tc>
        <w:tc>
          <w:tcPr>
            <w:tcW w:w="0" w:type="auto"/>
          </w:tcPr>
          <w:p w14:paraId="42792F54" w14:textId="77777777" w:rsidR="004F1A5C" w:rsidRPr="00104865" w:rsidRDefault="004F1A5C" w:rsidP="008727C9">
            <w:pPr>
              <w:autoSpaceDE w:val="0"/>
              <w:autoSpaceDN w:val="0"/>
              <w:adjustRightInd w:val="0"/>
              <w:spacing w:after="120"/>
              <w:rPr>
                <w:sz w:val="18"/>
                <w:szCs w:val="22"/>
                <w:lang w:eastAsia="zh-CN"/>
              </w:rPr>
            </w:pPr>
            <w:r w:rsidRPr="00104865">
              <w:rPr>
                <w:rFonts w:hint="eastAsia"/>
                <w:sz w:val="18"/>
                <w:szCs w:val="22"/>
                <w:lang w:eastAsia="zh-CN"/>
              </w:rPr>
              <w:t>&gt;16.00</w:t>
            </w:r>
          </w:p>
          <w:p w14:paraId="3E197079" w14:textId="77777777" w:rsidR="004F1A5C" w:rsidRPr="00104865" w:rsidRDefault="004F1A5C" w:rsidP="008727C9">
            <w:pPr>
              <w:autoSpaceDE w:val="0"/>
              <w:autoSpaceDN w:val="0"/>
              <w:adjustRightInd w:val="0"/>
              <w:spacing w:after="120"/>
              <w:rPr>
                <w:sz w:val="18"/>
                <w:szCs w:val="22"/>
              </w:rPr>
            </w:pPr>
            <w:r w:rsidRPr="00104865">
              <w:rPr>
                <w:rFonts w:hint="eastAsia"/>
                <w:sz w:val="18"/>
                <w:szCs w:val="22"/>
                <w:lang w:eastAsia="zh-CN"/>
              </w:rPr>
              <w:t>mg/dL</w:t>
            </w:r>
          </w:p>
        </w:tc>
        <w:tc>
          <w:tcPr>
            <w:tcW w:w="0" w:type="auto"/>
          </w:tcPr>
          <w:p w14:paraId="70FCAC51" w14:textId="77777777" w:rsidR="004F1A5C" w:rsidRPr="00104865" w:rsidRDefault="004F1A5C" w:rsidP="008727C9">
            <w:pPr>
              <w:autoSpaceDE w:val="0"/>
              <w:autoSpaceDN w:val="0"/>
              <w:adjustRightInd w:val="0"/>
              <w:spacing w:after="120"/>
              <w:rPr>
                <w:sz w:val="18"/>
                <w:szCs w:val="22"/>
                <w:lang w:eastAsia="zh-CN"/>
              </w:rPr>
            </w:pPr>
            <w:r w:rsidRPr="00104865">
              <w:rPr>
                <w:rFonts w:hint="eastAsia"/>
                <w:sz w:val="18"/>
                <w:szCs w:val="22"/>
                <w:lang w:eastAsia="zh-CN"/>
              </w:rPr>
              <w:t>All level</w:t>
            </w:r>
          </w:p>
        </w:tc>
      </w:tr>
      <w:tr w:rsidR="00B22290" w:rsidRPr="00104865" w14:paraId="220C3B6D" w14:textId="77777777" w:rsidTr="004F1A5C">
        <w:trPr>
          <w:jc w:val="center"/>
        </w:trPr>
        <w:tc>
          <w:tcPr>
            <w:tcW w:w="0" w:type="auto"/>
          </w:tcPr>
          <w:p w14:paraId="442DF15B" w14:textId="1466455E" w:rsidR="004F1A5C" w:rsidRPr="00104865" w:rsidRDefault="004F1A5C" w:rsidP="008727C9">
            <w:pPr>
              <w:autoSpaceDE w:val="0"/>
              <w:autoSpaceDN w:val="0"/>
              <w:adjustRightInd w:val="0"/>
              <w:spacing w:after="120"/>
              <w:rPr>
                <w:sz w:val="18"/>
                <w:szCs w:val="22"/>
                <w:lang w:eastAsia="zh-CN"/>
              </w:rPr>
            </w:pPr>
            <w:r w:rsidRPr="00104865">
              <w:rPr>
                <w:rFonts w:hint="eastAsia"/>
                <w:sz w:val="18"/>
                <w:szCs w:val="22"/>
                <w:lang w:eastAsia="zh-CN"/>
              </w:rPr>
              <w:t>Age</w:t>
            </w:r>
            <w:r w:rsidR="00B22290" w:rsidRPr="00B22290">
              <w:rPr>
                <w:rFonts w:hint="eastAsia"/>
                <w:sz w:val="18"/>
                <w:szCs w:val="22"/>
                <w:vertAlign w:val="superscript"/>
                <w:lang w:eastAsia="zh-CN"/>
              </w:rPr>
              <w:t>1</w:t>
            </w:r>
            <w:r w:rsidRPr="00104865">
              <w:rPr>
                <w:rFonts w:hint="eastAsia"/>
                <w:sz w:val="18"/>
                <w:szCs w:val="22"/>
                <w:lang w:eastAsia="zh-CN"/>
              </w:rPr>
              <w:t xml:space="preserve"> (year)</w:t>
            </w:r>
          </w:p>
        </w:tc>
        <w:tc>
          <w:tcPr>
            <w:tcW w:w="0" w:type="auto"/>
          </w:tcPr>
          <w:p w14:paraId="319107E0" w14:textId="4F5A6FB7" w:rsidR="004F1A5C" w:rsidRPr="00104865" w:rsidRDefault="002609F5" w:rsidP="008727C9">
            <w:pPr>
              <w:autoSpaceDE w:val="0"/>
              <w:autoSpaceDN w:val="0"/>
              <w:adjustRightInd w:val="0"/>
              <w:spacing w:after="120"/>
              <w:rPr>
                <w:sz w:val="18"/>
                <w:szCs w:val="22"/>
                <w:lang w:eastAsia="zh-CN"/>
              </w:rPr>
            </w:pPr>
            <w:r w:rsidRPr="00104865">
              <w:rPr>
                <w:rFonts w:hint="eastAsia"/>
                <w:sz w:val="18"/>
                <w:szCs w:val="22"/>
                <w:lang w:eastAsia="zh-CN"/>
              </w:rPr>
              <w:t>53.7(</w:t>
            </w:r>
            <w:r w:rsidRPr="00104865">
              <w:rPr>
                <w:sz w:val="18"/>
                <w:szCs w:val="22"/>
                <w:lang w:eastAsia="zh-CN"/>
              </w:rPr>
              <w:t>7.</w:t>
            </w:r>
            <w:r w:rsidRPr="00104865">
              <w:rPr>
                <w:rFonts w:hint="eastAsia"/>
                <w:sz w:val="18"/>
                <w:szCs w:val="22"/>
                <w:lang w:eastAsia="zh-CN"/>
              </w:rPr>
              <w:t>06;</w:t>
            </w:r>
            <w:r w:rsidRPr="00104865">
              <w:rPr>
                <w:sz w:val="18"/>
              </w:rPr>
              <w:t xml:space="preserve"> </w:t>
            </w:r>
            <w:r w:rsidRPr="00104865">
              <w:rPr>
                <w:sz w:val="18"/>
                <w:szCs w:val="22"/>
                <w:lang w:eastAsia="zh-CN"/>
              </w:rPr>
              <w:t>4</w:t>
            </w:r>
            <w:r w:rsidRPr="00104865">
              <w:rPr>
                <w:rFonts w:hint="eastAsia"/>
                <w:sz w:val="18"/>
                <w:szCs w:val="22"/>
                <w:lang w:eastAsia="zh-CN"/>
              </w:rPr>
              <w:t>3.0-</w:t>
            </w:r>
            <w:r w:rsidRPr="00104865">
              <w:rPr>
                <w:sz w:val="18"/>
                <w:szCs w:val="22"/>
                <w:lang w:eastAsia="zh-CN"/>
              </w:rPr>
              <w:t>69</w:t>
            </w:r>
            <w:r w:rsidRPr="00104865">
              <w:rPr>
                <w:rFonts w:hint="eastAsia"/>
                <w:sz w:val="18"/>
                <w:szCs w:val="22"/>
                <w:lang w:eastAsia="zh-CN"/>
              </w:rPr>
              <w:t>.0)</w:t>
            </w:r>
            <w:r w:rsidR="00B461EA" w:rsidRPr="00104865">
              <w:rPr>
                <w:rFonts w:hint="eastAsia"/>
                <w:sz w:val="18"/>
                <w:szCs w:val="22"/>
                <w:lang w:eastAsia="zh-CN"/>
              </w:rPr>
              <w:t>;n=13</w:t>
            </w:r>
          </w:p>
        </w:tc>
        <w:tc>
          <w:tcPr>
            <w:tcW w:w="0" w:type="auto"/>
          </w:tcPr>
          <w:p w14:paraId="23E7F1B8" w14:textId="0B9799E8" w:rsidR="004F1A5C" w:rsidRPr="00104865" w:rsidRDefault="002609F5" w:rsidP="008727C9">
            <w:pPr>
              <w:autoSpaceDE w:val="0"/>
              <w:autoSpaceDN w:val="0"/>
              <w:adjustRightInd w:val="0"/>
              <w:spacing w:after="120"/>
              <w:rPr>
                <w:sz w:val="18"/>
                <w:szCs w:val="22"/>
                <w:lang w:eastAsia="zh-CN"/>
              </w:rPr>
            </w:pPr>
            <w:r w:rsidRPr="00104865">
              <w:rPr>
                <w:sz w:val="18"/>
                <w:szCs w:val="22"/>
                <w:lang w:eastAsia="zh-CN"/>
              </w:rPr>
              <w:t>50.9</w:t>
            </w:r>
            <w:r w:rsidRPr="00104865">
              <w:rPr>
                <w:rFonts w:hint="eastAsia"/>
                <w:sz w:val="18"/>
                <w:szCs w:val="22"/>
                <w:lang w:eastAsia="zh-CN"/>
              </w:rPr>
              <w:t>(</w:t>
            </w:r>
            <w:r w:rsidRPr="00104865">
              <w:rPr>
                <w:sz w:val="18"/>
                <w:szCs w:val="22"/>
                <w:lang w:eastAsia="zh-CN"/>
              </w:rPr>
              <w:t>10.0</w:t>
            </w:r>
            <w:r w:rsidRPr="00104865">
              <w:rPr>
                <w:rFonts w:hint="eastAsia"/>
                <w:sz w:val="18"/>
                <w:szCs w:val="22"/>
                <w:lang w:eastAsia="zh-CN"/>
              </w:rPr>
              <w:t>1;</w:t>
            </w:r>
            <w:r w:rsidRPr="00104865">
              <w:rPr>
                <w:sz w:val="18"/>
              </w:rPr>
              <w:t xml:space="preserve"> </w:t>
            </w:r>
            <w:r w:rsidRPr="00104865">
              <w:rPr>
                <w:sz w:val="18"/>
                <w:szCs w:val="22"/>
                <w:lang w:eastAsia="zh-CN"/>
              </w:rPr>
              <w:t>30.</w:t>
            </w:r>
            <w:r w:rsidRPr="00104865">
              <w:rPr>
                <w:rFonts w:hint="eastAsia"/>
                <w:sz w:val="18"/>
                <w:szCs w:val="22"/>
                <w:lang w:eastAsia="zh-CN"/>
              </w:rPr>
              <w:t>6-75.0)</w:t>
            </w:r>
            <w:r w:rsidR="00B461EA" w:rsidRPr="00104865">
              <w:rPr>
                <w:rFonts w:hint="eastAsia"/>
                <w:sz w:val="18"/>
                <w:szCs w:val="22"/>
                <w:lang w:eastAsia="zh-CN"/>
              </w:rPr>
              <w:t>;n=129</w:t>
            </w:r>
          </w:p>
        </w:tc>
        <w:tc>
          <w:tcPr>
            <w:tcW w:w="0" w:type="auto"/>
          </w:tcPr>
          <w:p w14:paraId="1430F56A" w14:textId="5B8627BC" w:rsidR="004F1A5C" w:rsidRPr="00104865" w:rsidRDefault="00BC04F3" w:rsidP="008727C9">
            <w:pPr>
              <w:autoSpaceDE w:val="0"/>
              <w:autoSpaceDN w:val="0"/>
              <w:adjustRightInd w:val="0"/>
              <w:spacing w:after="120"/>
              <w:rPr>
                <w:sz w:val="18"/>
                <w:szCs w:val="22"/>
                <w:lang w:eastAsia="zh-CN"/>
              </w:rPr>
            </w:pPr>
            <w:r w:rsidRPr="00104865">
              <w:rPr>
                <w:sz w:val="18"/>
                <w:szCs w:val="22"/>
                <w:lang w:eastAsia="zh-CN"/>
              </w:rPr>
              <w:t>50.6</w:t>
            </w:r>
            <w:r w:rsidRPr="00104865">
              <w:rPr>
                <w:rFonts w:hint="eastAsia"/>
                <w:sz w:val="18"/>
                <w:szCs w:val="22"/>
                <w:lang w:eastAsia="zh-CN"/>
              </w:rPr>
              <w:t>(</w:t>
            </w:r>
            <w:r w:rsidRPr="00104865">
              <w:rPr>
                <w:sz w:val="18"/>
                <w:szCs w:val="22"/>
                <w:lang w:eastAsia="zh-CN"/>
              </w:rPr>
              <w:t>10.79</w:t>
            </w:r>
            <w:r w:rsidRPr="00104865">
              <w:rPr>
                <w:rFonts w:hint="eastAsia"/>
                <w:sz w:val="18"/>
                <w:szCs w:val="22"/>
                <w:lang w:eastAsia="zh-CN"/>
              </w:rPr>
              <w:t>;</w:t>
            </w:r>
            <w:r w:rsidRPr="00104865">
              <w:rPr>
                <w:sz w:val="18"/>
                <w:szCs w:val="22"/>
                <w:lang w:eastAsia="zh-CN"/>
              </w:rPr>
              <w:t xml:space="preserve"> 26.</w:t>
            </w:r>
            <w:r w:rsidRPr="00104865">
              <w:rPr>
                <w:rFonts w:hint="eastAsia"/>
                <w:sz w:val="18"/>
                <w:szCs w:val="22"/>
                <w:lang w:eastAsia="zh-CN"/>
              </w:rPr>
              <w:t>3-</w:t>
            </w:r>
            <w:r w:rsidRPr="00104865">
              <w:rPr>
                <w:sz w:val="18"/>
                <w:szCs w:val="22"/>
                <w:lang w:eastAsia="zh-CN"/>
              </w:rPr>
              <w:t>76.7</w:t>
            </w:r>
            <w:r w:rsidRPr="00104865">
              <w:rPr>
                <w:rFonts w:hint="eastAsia"/>
                <w:sz w:val="18"/>
                <w:szCs w:val="22"/>
                <w:lang w:eastAsia="zh-CN"/>
              </w:rPr>
              <w:t>)</w:t>
            </w:r>
            <w:r w:rsidR="00B461EA" w:rsidRPr="00104865">
              <w:rPr>
                <w:rFonts w:hint="eastAsia"/>
                <w:sz w:val="18"/>
                <w:szCs w:val="22"/>
                <w:lang w:eastAsia="zh-CN"/>
              </w:rPr>
              <w:t>;n=107</w:t>
            </w:r>
          </w:p>
        </w:tc>
        <w:tc>
          <w:tcPr>
            <w:tcW w:w="0" w:type="auto"/>
          </w:tcPr>
          <w:p w14:paraId="3543A79E" w14:textId="1FD0C937" w:rsidR="00B461EA" w:rsidRPr="00104865" w:rsidRDefault="00F21C78" w:rsidP="008727C9">
            <w:pPr>
              <w:autoSpaceDE w:val="0"/>
              <w:autoSpaceDN w:val="0"/>
              <w:adjustRightInd w:val="0"/>
              <w:spacing w:after="120"/>
              <w:rPr>
                <w:sz w:val="18"/>
                <w:szCs w:val="22"/>
                <w:lang w:eastAsia="zh-CN"/>
              </w:rPr>
            </w:pPr>
            <w:r w:rsidRPr="00104865">
              <w:rPr>
                <w:sz w:val="18"/>
                <w:szCs w:val="22"/>
                <w:lang w:eastAsia="zh-CN"/>
              </w:rPr>
              <w:t>50.</w:t>
            </w:r>
            <w:r w:rsidRPr="00104865">
              <w:rPr>
                <w:rFonts w:hint="eastAsia"/>
                <w:sz w:val="18"/>
                <w:szCs w:val="22"/>
                <w:lang w:eastAsia="zh-CN"/>
              </w:rPr>
              <w:t>2(</w:t>
            </w:r>
            <w:r w:rsidR="00B804C4" w:rsidRPr="00104865">
              <w:rPr>
                <w:sz w:val="18"/>
                <w:szCs w:val="22"/>
                <w:lang w:eastAsia="zh-CN"/>
              </w:rPr>
              <w:t>11.35</w:t>
            </w:r>
            <w:r w:rsidR="00B804C4" w:rsidRPr="00104865">
              <w:rPr>
                <w:rFonts w:hint="eastAsia"/>
                <w:sz w:val="18"/>
                <w:szCs w:val="22"/>
                <w:lang w:eastAsia="zh-CN"/>
              </w:rPr>
              <w:t>;</w:t>
            </w:r>
            <w:r w:rsidR="00B804C4" w:rsidRPr="00104865">
              <w:rPr>
                <w:sz w:val="18"/>
              </w:rPr>
              <w:t xml:space="preserve"> </w:t>
            </w:r>
            <w:r w:rsidR="00B804C4" w:rsidRPr="00104865">
              <w:rPr>
                <w:sz w:val="18"/>
                <w:szCs w:val="22"/>
                <w:lang w:eastAsia="zh-CN"/>
              </w:rPr>
              <w:t>29.</w:t>
            </w:r>
            <w:r w:rsidR="00B804C4" w:rsidRPr="00104865">
              <w:rPr>
                <w:rFonts w:hint="eastAsia"/>
                <w:sz w:val="18"/>
                <w:szCs w:val="22"/>
                <w:lang w:eastAsia="zh-CN"/>
              </w:rPr>
              <w:t>6-</w:t>
            </w:r>
            <w:r w:rsidR="00B804C4" w:rsidRPr="00104865">
              <w:rPr>
                <w:sz w:val="18"/>
                <w:szCs w:val="22"/>
                <w:lang w:eastAsia="zh-CN"/>
              </w:rPr>
              <w:t>71.</w:t>
            </w:r>
            <w:r w:rsidR="00B804C4" w:rsidRPr="00104865">
              <w:rPr>
                <w:rFonts w:hint="eastAsia"/>
                <w:sz w:val="18"/>
                <w:szCs w:val="22"/>
                <w:lang w:eastAsia="zh-CN"/>
              </w:rPr>
              <w:t>9</w:t>
            </w:r>
            <w:r w:rsidRPr="00104865">
              <w:rPr>
                <w:rFonts w:hint="eastAsia"/>
                <w:sz w:val="18"/>
                <w:szCs w:val="22"/>
                <w:lang w:eastAsia="zh-CN"/>
              </w:rPr>
              <w:t>)</w:t>
            </w:r>
            <w:r w:rsidR="00B461EA" w:rsidRPr="00104865">
              <w:rPr>
                <w:rFonts w:hint="eastAsia"/>
                <w:sz w:val="18"/>
                <w:szCs w:val="22"/>
                <w:lang w:eastAsia="zh-CN"/>
              </w:rPr>
              <w:t>;n=</w:t>
            </w:r>
            <w:r w:rsidR="00B461EA" w:rsidRPr="00104865">
              <w:rPr>
                <w:sz w:val="18"/>
                <w:szCs w:val="22"/>
                <w:lang w:eastAsia="zh-CN"/>
              </w:rPr>
              <w:t>78</w:t>
            </w:r>
          </w:p>
        </w:tc>
        <w:tc>
          <w:tcPr>
            <w:tcW w:w="0" w:type="auto"/>
          </w:tcPr>
          <w:p w14:paraId="7F823681" w14:textId="4DFA1ECE" w:rsidR="004F1A5C" w:rsidRPr="00104865" w:rsidRDefault="00906A46" w:rsidP="00151AA8">
            <w:pPr>
              <w:autoSpaceDE w:val="0"/>
              <w:autoSpaceDN w:val="0"/>
              <w:adjustRightInd w:val="0"/>
              <w:spacing w:after="120"/>
              <w:rPr>
                <w:sz w:val="18"/>
                <w:szCs w:val="22"/>
                <w:lang w:eastAsia="zh-CN"/>
              </w:rPr>
            </w:pPr>
            <w:r w:rsidRPr="00104865">
              <w:rPr>
                <w:sz w:val="18"/>
                <w:szCs w:val="22"/>
                <w:lang w:eastAsia="zh-CN"/>
              </w:rPr>
              <w:t>50.9</w:t>
            </w:r>
            <w:r w:rsidRPr="00104865">
              <w:rPr>
                <w:rFonts w:hint="eastAsia"/>
                <w:sz w:val="18"/>
                <w:szCs w:val="22"/>
                <w:lang w:eastAsia="zh-CN"/>
              </w:rPr>
              <w:t>(</w:t>
            </w:r>
            <w:r w:rsidRPr="00104865">
              <w:rPr>
                <w:sz w:val="18"/>
                <w:szCs w:val="22"/>
                <w:lang w:eastAsia="zh-CN"/>
              </w:rPr>
              <w:t>11.6</w:t>
            </w:r>
            <w:r w:rsidRPr="00104865">
              <w:rPr>
                <w:rFonts w:hint="eastAsia"/>
                <w:sz w:val="18"/>
                <w:szCs w:val="22"/>
                <w:lang w:eastAsia="zh-CN"/>
              </w:rPr>
              <w:t>4;</w:t>
            </w:r>
            <w:r w:rsidR="00151AA8" w:rsidRPr="00104865">
              <w:rPr>
                <w:sz w:val="18"/>
              </w:rPr>
              <w:t xml:space="preserve"> </w:t>
            </w:r>
            <w:r w:rsidR="00151AA8" w:rsidRPr="00104865">
              <w:rPr>
                <w:sz w:val="18"/>
                <w:szCs w:val="22"/>
                <w:lang w:eastAsia="zh-CN"/>
              </w:rPr>
              <w:t>30.</w:t>
            </w:r>
            <w:r w:rsidR="00151AA8" w:rsidRPr="00104865">
              <w:rPr>
                <w:rFonts w:hint="eastAsia"/>
                <w:sz w:val="18"/>
                <w:szCs w:val="22"/>
                <w:lang w:eastAsia="zh-CN"/>
              </w:rPr>
              <w:t>9-</w:t>
            </w:r>
            <w:r w:rsidR="00151AA8" w:rsidRPr="00104865">
              <w:rPr>
                <w:sz w:val="18"/>
              </w:rPr>
              <w:t>78.4</w:t>
            </w:r>
            <w:r w:rsidR="00151AA8" w:rsidRPr="00104865">
              <w:rPr>
                <w:rFonts w:hint="eastAsia"/>
                <w:sz w:val="18"/>
                <w:lang w:eastAsia="zh-CN"/>
              </w:rPr>
              <w:t>)</w:t>
            </w:r>
            <w:r w:rsidR="00B461EA" w:rsidRPr="00104865">
              <w:rPr>
                <w:rFonts w:hint="eastAsia"/>
                <w:sz w:val="18"/>
                <w:lang w:eastAsia="zh-CN"/>
              </w:rPr>
              <w:t>;n=48</w:t>
            </w:r>
          </w:p>
        </w:tc>
        <w:tc>
          <w:tcPr>
            <w:tcW w:w="0" w:type="auto"/>
          </w:tcPr>
          <w:p w14:paraId="4171F876" w14:textId="4D0974F0" w:rsidR="004F1A5C" w:rsidRPr="00104865" w:rsidRDefault="00A713AE" w:rsidP="008727C9">
            <w:pPr>
              <w:autoSpaceDE w:val="0"/>
              <w:autoSpaceDN w:val="0"/>
              <w:adjustRightInd w:val="0"/>
              <w:spacing w:after="120"/>
              <w:rPr>
                <w:sz w:val="18"/>
                <w:szCs w:val="22"/>
                <w:lang w:eastAsia="zh-CN"/>
              </w:rPr>
            </w:pPr>
            <w:r w:rsidRPr="00104865">
              <w:rPr>
                <w:sz w:val="18"/>
                <w:szCs w:val="22"/>
                <w:lang w:eastAsia="zh-CN"/>
              </w:rPr>
              <w:t>50.</w:t>
            </w:r>
            <w:r w:rsidRPr="00104865">
              <w:rPr>
                <w:rFonts w:hint="eastAsia"/>
                <w:sz w:val="18"/>
                <w:szCs w:val="22"/>
                <w:lang w:eastAsia="zh-CN"/>
              </w:rPr>
              <w:t>8(</w:t>
            </w:r>
            <w:r w:rsidR="00B61DC4" w:rsidRPr="00104865">
              <w:rPr>
                <w:sz w:val="18"/>
                <w:szCs w:val="22"/>
                <w:lang w:eastAsia="zh-CN"/>
              </w:rPr>
              <w:t>10.14</w:t>
            </w:r>
            <w:r w:rsidR="00B61DC4" w:rsidRPr="00104865">
              <w:rPr>
                <w:rFonts w:hint="eastAsia"/>
                <w:sz w:val="18"/>
                <w:szCs w:val="22"/>
                <w:lang w:eastAsia="zh-CN"/>
              </w:rPr>
              <w:t xml:space="preserve">; </w:t>
            </w:r>
            <w:r w:rsidR="00B61DC4" w:rsidRPr="00104865">
              <w:rPr>
                <w:sz w:val="18"/>
                <w:szCs w:val="22"/>
                <w:lang w:eastAsia="zh-CN"/>
              </w:rPr>
              <w:t>33.</w:t>
            </w:r>
            <w:r w:rsidR="00B61DC4" w:rsidRPr="00104865">
              <w:rPr>
                <w:rFonts w:hint="eastAsia"/>
                <w:sz w:val="18"/>
                <w:szCs w:val="22"/>
                <w:lang w:eastAsia="zh-CN"/>
              </w:rPr>
              <w:t>2-</w:t>
            </w:r>
            <w:r w:rsidR="00EE7043" w:rsidRPr="00104865">
              <w:rPr>
                <w:sz w:val="18"/>
                <w:szCs w:val="22"/>
                <w:lang w:eastAsia="zh-CN"/>
              </w:rPr>
              <w:t xml:space="preserve"> 70.</w:t>
            </w:r>
            <w:r w:rsidR="00EE7043" w:rsidRPr="00104865">
              <w:rPr>
                <w:rFonts w:hint="eastAsia"/>
                <w:sz w:val="18"/>
                <w:szCs w:val="22"/>
                <w:lang w:eastAsia="zh-CN"/>
              </w:rPr>
              <w:t>6</w:t>
            </w:r>
            <w:r w:rsidRPr="00104865">
              <w:rPr>
                <w:rFonts w:hint="eastAsia"/>
                <w:sz w:val="18"/>
                <w:szCs w:val="22"/>
                <w:lang w:eastAsia="zh-CN"/>
              </w:rPr>
              <w:t>)</w:t>
            </w:r>
            <w:r w:rsidR="00B461EA" w:rsidRPr="00104865">
              <w:rPr>
                <w:rFonts w:hint="eastAsia"/>
                <w:sz w:val="18"/>
                <w:szCs w:val="22"/>
                <w:lang w:eastAsia="zh-CN"/>
              </w:rPr>
              <w:t>;n=27</w:t>
            </w:r>
          </w:p>
        </w:tc>
        <w:tc>
          <w:tcPr>
            <w:tcW w:w="0" w:type="auto"/>
          </w:tcPr>
          <w:p w14:paraId="4C559B9C" w14:textId="02A3F10B" w:rsidR="004F1A5C" w:rsidRPr="00104865" w:rsidRDefault="00727212" w:rsidP="008727C9">
            <w:pPr>
              <w:autoSpaceDE w:val="0"/>
              <w:autoSpaceDN w:val="0"/>
              <w:adjustRightInd w:val="0"/>
              <w:spacing w:after="120"/>
              <w:rPr>
                <w:sz w:val="18"/>
                <w:szCs w:val="22"/>
                <w:lang w:eastAsia="zh-CN"/>
              </w:rPr>
            </w:pPr>
            <w:r w:rsidRPr="00104865">
              <w:rPr>
                <w:sz w:val="18"/>
                <w:szCs w:val="22"/>
                <w:lang w:eastAsia="zh-CN"/>
              </w:rPr>
              <w:t>50.2</w:t>
            </w:r>
            <w:r w:rsidRPr="00104865">
              <w:rPr>
                <w:rFonts w:hint="eastAsia"/>
                <w:sz w:val="18"/>
                <w:szCs w:val="22"/>
                <w:lang w:eastAsia="zh-CN"/>
              </w:rPr>
              <w:t>(</w:t>
            </w:r>
            <w:r w:rsidR="006F5A0A" w:rsidRPr="00104865">
              <w:rPr>
                <w:sz w:val="18"/>
                <w:szCs w:val="22"/>
                <w:lang w:eastAsia="zh-CN"/>
              </w:rPr>
              <w:t>6.3</w:t>
            </w:r>
            <w:r w:rsidR="006F5A0A" w:rsidRPr="00104865">
              <w:rPr>
                <w:rFonts w:hint="eastAsia"/>
                <w:sz w:val="18"/>
                <w:szCs w:val="22"/>
                <w:lang w:eastAsia="zh-CN"/>
              </w:rPr>
              <w:t>7;</w:t>
            </w:r>
            <w:r w:rsidR="006F5A0A" w:rsidRPr="00104865">
              <w:rPr>
                <w:sz w:val="18"/>
              </w:rPr>
              <w:t xml:space="preserve"> </w:t>
            </w:r>
            <w:r w:rsidR="006F5A0A" w:rsidRPr="00104865">
              <w:rPr>
                <w:sz w:val="18"/>
                <w:szCs w:val="22"/>
                <w:lang w:eastAsia="zh-CN"/>
              </w:rPr>
              <w:t>41.9</w:t>
            </w:r>
            <w:r w:rsidR="006F5A0A" w:rsidRPr="00104865">
              <w:rPr>
                <w:rFonts w:hint="eastAsia"/>
                <w:sz w:val="18"/>
                <w:szCs w:val="22"/>
                <w:lang w:eastAsia="zh-CN"/>
              </w:rPr>
              <w:t>-</w:t>
            </w:r>
            <w:r w:rsidR="006F5A0A" w:rsidRPr="00104865">
              <w:rPr>
                <w:sz w:val="18"/>
                <w:szCs w:val="22"/>
                <w:lang w:eastAsia="zh-CN"/>
              </w:rPr>
              <w:t>65.8</w:t>
            </w:r>
            <w:r w:rsidR="006F5A0A" w:rsidRPr="00104865">
              <w:rPr>
                <w:rFonts w:hint="eastAsia"/>
                <w:sz w:val="18"/>
                <w:szCs w:val="22"/>
                <w:lang w:eastAsia="zh-CN"/>
              </w:rPr>
              <w:t>)</w:t>
            </w:r>
            <w:r w:rsidR="00B461EA" w:rsidRPr="00104865">
              <w:rPr>
                <w:rFonts w:hint="eastAsia"/>
                <w:sz w:val="18"/>
                <w:szCs w:val="22"/>
                <w:lang w:eastAsia="zh-CN"/>
              </w:rPr>
              <w:t>;n=16</w:t>
            </w:r>
          </w:p>
        </w:tc>
        <w:tc>
          <w:tcPr>
            <w:tcW w:w="0" w:type="auto"/>
          </w:tcPr>
          <w:p w14:paraId="0B3F9A39" w14:textId="5F207FFD" w:rsidR="004F1A5C" w:rsidRPr="00104865" w:rsidRDefault="008727C9" w:rsidP="008727C9">
            <w:pPr>
              <w:autoSpaceDE w:val="0"/>
              <w:autoSpaceDN w:val="0"/>
              <w:adjustRightInd w:val="0"/>
              <w:spacing w:after="120"/>
              <w:rPr>
                <w:sz w:val="18"/>
                <w:szCs w:val="22"/>
                <w:lang w:eastAsia="zh-CN"/>
              </w:rPr>
            </w:pPr>
            <w:r w:rsidRPr="00104865">
              <w:rPr>
                <w:sz w:val="18"/>
                <w:szCs w:val="22"/>
                <w:lang w:eastAsia="zh-CN"/>
              </w:rPr>
              <w:t>50.7</w:t>
            </w:r>
            <w:r w:rsidRPr="00104865">
              <w:rPr>
                <w:rFonts w:hint="eastAsia"/>
                <w:sz w:val="18"/>
                <w:szCs w:val="22"/>
                <w:lang w:eastAsia="zh-CN"/>
              </w:rPr>
              <w:t>(</w:t>
            </w:r>
            <w:r w:rsidRPr="00104865">
              <w:rPr>
                <w:sz w:val="18"/>
                <w:szCs w:val="22"/>
                <w:lang w:eastAsia="zh-CN"/>
              </w:rPr>
              <w:t>10.4</w:t>
            </w:r>
            <w:r w:rsidRPr="00104865">
              <w:rPr>
                <w:rFonts w:hint="eastAsia"/>
                <w:sz w:val="18"/>
                <w:szCs w:val="22"/>
                <w:lang w:eastAsia="zh-CN"/>
              </w:rPr>
              <w:t>5;</w:t>
            </w:r>
            <w:r w:rsidR="007A566D" w:rsidRPr="00104865">
              <w:rPr>
                <w:sz w:val="18"/>
              </w:rPr>
              <w:t xml:space="preserve"> </w:t>
            </w:r>
            <w:r w:rsidR="007A566D" w:rsidRPr="00104865">
              <w:rPr>
                <w:sz w:val="18"/>
                <w:szCs w:val="22"/>
                <w:lang w:eastAsia="zh-CN"/>
              </w:rPr>
              <w:t>26.</w:t>
            </w:r>
            <w:r w:rsidR="007A566D" w:rsidRPr="00104865">
              <w:rPr>
                <w:rFonts w:hint="eastAsia"/>
                <w:sz w:val="18"/>
                <w:szCs w:val="22"/>
                <w:lang w:eastAsia="zh-CN"/>
              </w:rPr>
              <w:t>3-</w:t>
            </w:r>
            <w:r w:rsidR="007A566D" w:rsidRPr="00104865">
              <w:rPr>
                <w:sz w:val="18"/>
                <w:szCs w:val="22"/>
                <w:lang w:eastAsia="zh-CN"/>
              </w:rPr>
              <w:t>78.4</w:t>
            </w:r>
            <w:r w:rsidRPr="00104865">
              <w:rPr>
                <w:rFonts w:hint="eastAsia"/>
                <w:sz w:val="18"/>
                <w:szCs w:val="22"/>
                <w:lang w:eastAsia="zh-CN"/>
              </w:rPr>
              <w:t>)</w:t>
            </w:r>
            <w:r w:rsidR="00B461EA" w:rsidRPr="00104865">
              <w:rPr>
                <w:rFonts w:hint="eastAsia"/>
                <w:sz w:val="18"/>
                <w:szCs w:val="22"/>
                <w:lang w:eastAsia="zh-CN"/>
              </w:rPr>
              <w:t>;n=418</w:t>
            </w:r>
          </w:p>
        </w:tc>
      </w:tr>
      <w:tr w:rsidR="00B22290" w:rsidRPr="00104865" w14:paraId="1763476C" w14:textId="77777777" w:rsidTr="004F1A5C">
        <w:trPr>
          <w:jc w:val="center"/>
        </w:trPr>
        <w:tc>
          <w:tcPr>
            <w:tcW w:w="0" w:type="auto"/>
          </w:tcPr>
          <w:p w14:paraId="4A507959" w14:textId="1FB42771" w:rsidR="004F1A5C" w:rsidRPr="00104865" w:rsidRDefault="002930FE" w:rsidP="004F1A5C">
            <w:pPr>
              <w:autoSpaceDE w:val="0"/>
              <w:autoSpaceDN w:val="0"/>
              <w:adjustRightInd w:val="0"/>
              <w:spacing w:after="120"/>
              <w:rPr>
                <w:sz w:val="18"/>
                <w:szCs w:val="22"/>
                <w:lang w:eastAsia="zh-CN"/>
              </w:rPr>
            </w:pPr>
            <w:r w:rsidRPr="00104865">
              <w:rPr>
                <w:rFonts w:hint="eastAsia"/>
                <w:sz w:val="18"/>
                <w:szCs w:val="22"/>
                <w:lang w:eastAsia="zh-CN"/>
              </w:rPr>
              <w:t>Female</w:t>
            </w:r>
            <w:r w:rsidR="00104865" w:rsidRPr="00104865">
              <w:rPr>
                <w:rFonts w:hint="eastAsia"/>
                <w:sz w:val="18"/>
                <w:szCs w:val="22"/>
                <w:lang w:eastAsia="zh-CN"/>
              </w:rPr>
              <w:t xml:space="preserve"> </w:t>
            </w:r>
            <w:r w:rsidRPr="00104865">
              <w:rPr>
                <w:rFonts w:hint="eastAsia"/>
                <w:sz w:val="18"/>
                <w:szCs w:val="22"/>
                <w:lang w:eastAsia="zh-CN"/>
              </w:rPr>
              <w:t>(%)</w:t>
            </w:r>
            <w:r w:rsidR="00B22290">
              <w:rPr>
                <w:rFonts w:hint="eastAsia"/>
                <w:sz w:val="18"/>
                <w:szCs w:val="22"/>
                <w:vertAlign w:val="superscript"/>
                <w:lang w:eastAsia="zh-CN"/>
              </w:rPr>
              <w:t>2</w:t>
            </w:r>
          </w:p>
        </w:tc>
        <w:tc>
          <w:tcPr>
            <w:tcW w:w="0" w:type="auto"/>
          </w:tcPr>
          <w:p w14:paraId="0C4C2061" w14:textId="1A5D85B5" w:rsidR="004F1A5C" w:rsidRPr="00104865" w:rsidRDefault="00154A98" w:rsidP="008727C9">
            <w:pPr>
              <w:autoSpaceDE w:val="0"/>
              <w:autoSpaceDN w:val="0"/>
              <w:adjustRightInd w:val="0"/>
              <w:spacing w:after="120"/>
              <w:rPr>
                <w:sz w:val="18"/>
                <w:szCs w:val="22"/>
                <w:lang w:eastAsia="zh-CN"/>
              </w:rPr>
            </w:pPr>
            <w:r>
              <w:rPr>
                <w:rFonts w:hint="eastAsia"/>
                <w:sz w:val="18"/>
                <w:szCs w:val="22"/>
                <w:lang w:eastAsia="zh-CN"/>
              </w:rPr>
              <w:t>100;n=11</w:t>
            </w:r>
          </w:p>
        </w:tc>
        <w:tc>
          <w:tcPr>
            <w:tcW w:w="0" w:type="auto"/>
          </w:tcPr>
          <w:p w14:paraId="5F82E2EE" w14:textId="6F18C655" w:rsidR="004F1A5C" w:rsidRPr="00104865" w:rsidRDefault="00154A98" w:rsidP="008727C9">
            <w:pPr>
              <w:autoSpaceDE w:val="0"/>
              <w:autoSpaceDN w:val="0"/>
              <w:adjustRightInd w:val="0"/>
              <w:spacing w:after="120"/>
              <w:rPr>
                <w:sz w:val="18"/>
                <w:szCs w:val="22"/>
                <w:lang w:eastAsia="zh-CN"/>
              </w:rPr>
            </w:pPr>
            <w:r>
              <w:rPr>
                <w:rFonts w:hint="eastAsia"/>
                <w:sz w:val="18"/>
                <w:szCs w:val="22"/>
                <w:lang w:eastAsia="zh-CN"/>
              </w:rPr>
              <w:t>92.5;n=93</w:t>
            </w:r>
          </w:p>
        </w:tc>
        <w:tc>
          <w:tcPr>
            <w:tcW w:w="0" w:type="auto"/>
          </w:tcPr>
          <w:p w14:paraId="3B48BF6B" w14:textId="67F69E45" w:rsidR="004F1A5C" w:rsidRPr="00104865" w:rsidRDefault="00154A98" w:rsidP="008727C9">
            <w:pPr>
              <w:autoSpaceDE w:val="0"/>
              <w:autoSpaceDN w:val="0"/>
              <w:adjustRightInd w:val="0"/>
              <w:spacing w:after="120"/>
              <w:rPr>
                <w:sz w:val="18"/>
                <w:szCs w:val="22"/>
                <w:lang w:eastAsia="zh-CN"/>
              </w:rPr>
            </w:pPr>
            <w:r>
              <w:rPr>
                <w:rFonts w:hint="eastAsia"/>
                <w:sz w:val="18"/>
                <w:szCs w:val="22"/>
                <w:lang w:eastAsia="zh-CN"/>
              </w:rPr>
              <w:t>88.3;n=77</w:t>
            </w:r>
          </w:p>
        </w:tc>
        <w:tc>
          <w:tcPr>
            <w:tcW w:w="0" w:type="auto"/>
          </w:tcPr>
          <w:p w14:paraId="70E4487B" w14:textId="16A76105" w:rsidR="004F1A5C" w:rsidRPr="00104865" w:rsidRDefault="00154A98" w:rsidP="008727C9">
            <w:pPr>
              <w:autoSpaceDE w:val="0"/>
              <w:autoSpaceDN w:val="0"/>
              <w:adjustRightInd w:val="0"/>
              <w:spacing w:after="120"/>
              <w:rPr>
                <w:sz w:val="18"/>
                <w:szCs w:val="22"/>
                <w:lang w:eastAsia="zh-CN"/>
              </w:rPr>
            </w:pPr>
            <w:r>
              <w:rPr>
                <w:rFonts w:hint="eastAsia"/>
                <w:sz w:val="18"/>
                <w:szCs w:val="22"/>
                <w:lang w:eastAsia="zh-CN"/>
              </w:rPr>
              <w:t>82.5;n=63</w:t>
            </w:r>
          </w:p>
        </w:tc>
        <w:tc>
          <w:tcPr>
            <w:tcW w:w="0" w:type="auto"/>
          </w:tcPr>
          <w:p w14:paraId="00BD8402" w14:textId="70BEBF21" w:rsidR="004F1A5C" w:rsidRPr="00104865" w:rsidRDefault="00154A98" w:rsidP="008727C9">
            <w:pPr>
              <w:autoSpaceDE w:val="0"/>
              <w:autoSpaceDN w:val="0"/>
              <w:adjustRightInd w:val="0"/>
              <w:spacing w:after="120"/>
              <w:rPr>
                <w:sz w:val="18"/>
                <w:szCs w:val="22"/>
                <w:lang w:eastAsia="zh-CN"/>
              </w:rPr>
            </w:pPr>
            <w:r>
              <w:rPr>
                <w:rFonts w:hint="eastAsia"/>
                <w:sz w:val="18"/>
                <w:szCs w:val="22"/>
                <w:lang w:eastAsia="zh-CN"/>
              </w:rPr>
              <w:t>78.9;n=38</w:t>
            </w:r>
          </w:p>
        </w:tc>
        <w:tc>
          <w:tcPr>
            <w:tcW w:w="0" w:type="auto"/>
          </w:tcPr>
          <w:p w14:paraId="017DF4CE" w14:textId="18DB98CF" w:rsidR="004F1A5C" w:rsidRPr="00104865" w:rsidRDefault="00154A98" w:rsidP="008727C9">
            <w:pPr>
              <w:autoSpaceDE w:val="0"/>
              <w:autoSpaceDN w:val="0"/>
              <w:adjustRightInd w:val="0"/>
              <w:spacing w:after="120"/>
              <w:rPr>
                <w:sz w:val="18"/>
                <w:szCs w:val="22"/>
                <w:lang w:eastAsia="zh-CN"/>
              </w:rPr>
            </w:pPr>
            <w:r>
              <w:rPr>
                <w:rFonts w:hint="eastAsia"/>
                <w:sz w:val="18"/>
                <w:szCs w:val="22"/>
                <w:lang w:eastAsia="zh-CN"/>
              </w:rPr>
              <w:t>94.1;n=17</w:t>
            </w:r>
          </w:p>
        </w:tc>
        <w:tc>
          <w:tcPr>
            <w:tcW w:w="0" w:type="auto"/>
          </w:tcPr>
          <w:p w14:paraId="58253F87" w14:textId="15EC139C" w:rsidR="004F1A5C" w:rsidRPr="00104865" w:rsidRDefault="00154A98" w:rsidP="008727C9">
            <w:pPr>
              <w:autoSpaceDE w:val="0"/>
              <w:autoSpaceDN w:val="0"/>
              <w:adjustRightInd w:val="0"/>
              <w:spacing w:after="120"/>
              <w:rPr>
                <w:sz w:val="18"/>
                <w:szCs w:val="22"/>
                <w:lang w:eastAsia="zh-CN"/>
              </w:rPr>
            </w:pPr>
            <w:r>
              <w:rPr>
                <w:rFonts w:hint="eastAsia"/>
                <w:sz w:val="18"/>
                <w:szCs w:val="22"/>
                <w:lang w:eastAsia="zh-CN"/>
              </w:rPr>
              <w:t>100;n=13</w:t>
            </w:r>
          </w:p>
        </w:tc>
        <w:tc>
          <w:tcPr>
            <w:tcW w:w="0" w:type="auto"/>
          </w:tcPr>
          <w:p w14:paraId="28030854" w14:textId="6242A802" w:rsidR="004F1A5C" w:rsidRPr="00104865" w:rsidRDefault="00154A98" w:rsidP="008727C9">
            <w:pPr>
              <w:autoSpaceDE w:val="0"/>
              <w:autoSpaceDN w:val="0"/>
              <w:adjustRightInd w:val="0"/>
              <w:spacing w:after="120"/>
              <w:rPr>
                <w:sz w:val="18"/>
                <w:szCs w:val="22"/>
                <w:lang w:eastAsia="zh-CN"/>
              </w:rPr>
            </w:pPr>
            <w:r>
              <w:rPr>
                <w:rFonts w:hint="eastAsia"/>
                <w:sz w:val="18"/>
                <w:szCs w:val="22"/>
                <w:lang w:eastAsia="zh-CN"/>
              </w:rPr>
              <w:t>88.5;n=312</w:t>
            </w:r>
          </w:p>
        </w:tc>
      </w:tr>
    </w:tbl>
    <w:p w14:paraId="49DE7134" w14:textId="77777777" w:rsidR="004F1A5C" w:rsidRDefault="004F1A5C" w:rsidP="004F1A5C">
      <w:pPr>
        <w:autoSpaceDE w:val="0"/>
        <w:autoSpaceDN w:val="0"/>
        <w:adjustRightInd w:val="0"/>
        <w:spacing w:after="120"/>
        <w:jc w:val="center"/>
        <w:rPr>
          <w:sz w:val="22"/>
          <w:szCs w:val="22"/>
        </w:rPr>
      </w:pPr>
    </w:p>
    <w:p w14:paraId="1CE214FA" w14:textId="77777777" w:rsidR="00927CF6" w:rsidRDefault="00927CF6" w:rsidP="00927CF6">
      <w:pPr>
        <w:numPr>
          <w:ilvl w:val="1"/>
          <w:numId w:val="19"/>
        </w:numPr>
        <w:autoSpaceDE w:val="0"/>
        <w:autoSpaceDN w:val="0"/>
        <w:adjustRightInd w:val="0"/>
        <w:spacing w:after="120"/>
        <w:rPr>
          <w:sz w:val="22"/>
          <w:szCs w:val="22"/>
        </w:rPr>
      </w:pPr>
      <w:r>
        <w:rPr>
          <w:sz w:val="22"/>
          <w:szCs w:val="22"/>
        </w:rPr>
        <w:t>What evidence is present in the data that would make you think that either sex or age might have confounded the association between death and bilirubin? (In real life, we would ideally decide whether to adjust for potential confounding in our pre-specified statistical analysis plan (SAP)).</w:t>
      </w:r>
    </w:p>
    <w:p w14:paraId="5FB2AD85" w14:textId="4DC87BBE" w:rsidR="00B94359" w:rsidRDefault="004636D5" w:rsidP="004636D5">
      <w:pPr>
        <w:autoSpaceDE w:val="0"/>
        <w:autoSpaceDN w:val="0"/>
        <w:adjustRightInd w:val="0"/>
        <w:spacing w:after="120"/>
        <w:ind w:left="720"/>
        <w:rPr>
          <w:b/>
          <w:sz w:val="22"/>
          <w:szCs w:val="22"/>
          <w:lang w:eastAsia="zh-CN"/>
        </w:rPr>
      </w:pPr>
      <w:r w:rsidRPr="00BA7276">
        <w:rPr>
          <w:rFonts w:hint="eastAsia"/>
          <w:b/>
          <w:sz w:val="22"/>
          <w:szCs w:val="22"/>
          <w:lang w:eastAsia="zh-CN"/>
        </w:rPr>
        <w:t xml:space="preserve">Ans: </w:t>
      </w:r>
      <w:r w:rsidR="00E5065F">
        <w:rPr>
          <w:b/>
          <w:sz w:val="22"/>
          <w:szCs w:val="22"/>
          <w:lang w:eastAsia="zh-CN"/>
        </w:rPr>
        <w:t xml:space="preserve">(Sex) </w:t>
      </w:r>
      <w:r w:rsidR="002B6FE4" w:rsidRPr="00BA7276">
        <w:rPr>
          <w:rFonts w:hint="eastAsia"/>
          <w:b/>
          <w:sz w:val="22"/>
          <w:szCs w:val="22"/>
          <w:lang w:eastAsia="zh-CN"/>
        </w:rPr>
        <w:t xml:space="preserve">The </w:t>
      </w:r>
      <w:r w:rsidR="002B6FE4" w:rsidRPr="00BA7276">
        <w:rPr>
          <w:b/>
          <w:sz w:val="22"/>
          <w:szCs w:val="22"/>
          <w:lang w:eastAsia="zh-CN"/>
        </w:rPr>
        <w:t>percentage</w:t>
      </w:r>
      <w:r w:rsidR="002B6FE4" w:rsidRPr="00BA7276">
        <w:rPr>
          <w:rFonts w:hint="eastAsia"/>
          <w:b/>
          <w:sz w:val="22"/>
          <w:szCs w:val="22"/>
          <w:lang w:eastAsia="zh-CN"/>
        </w:rPr>
        <w:t xml:space="preserve"> of females </w:t>
      </w:r>
      <w:r w:rsidR="00874F94" w:rsidRPr="00BA7276">
        <w:rPr>
          <w:rFonts w:hint="eastAsia"/>
          <w:b/>
          <w:sz w:val="22"/>
          <w:szCs w:val="22"/>
          <w:lang w:eastAsia="zh-CN"/>
        </w:rPr>
        <w:t xml:space="preserve">differs </w:t>
      </w:r>
      <w:r w:rsidR="00776FC5" w:rsidRPr="00BA7276">
        <w:rPr>
          <w:rFonts w:hint="eastAsia"/>
          <w:b/>
          <w:sz w:val="22"/>
          <w:szCs w:val="22"/>
          <w:lang w:eastAsia="zh-CN"/>
        </w:rPr>
        <w:t xml:space="preserve">across the groups </w:t>
      </w:r>
      <w:r w:rsidR="002B6FE4" w:rsidRPr="00BA7276">
        <w:rPr>
          <w:rFonts w:hint="eastAsia"/>
          <w:b/>
          <w:sz w:val="22"/>
          <w:szCs w:val="22"/>
          <w:lang w:eastAsia="zh-CN"/>
        </w:rPr>
        <w:t>defined by</w:t>
      </w:r>
      <w:r w:rsidR="001D6E1A" w:rsidRPr="00BA7276">
        <w:rPr>
          <w:rFonts w:hint="eastAsia"/>
          <w:b/>
          <w:sz w:val="22"/>
          <w:szCs w:val="22"/>
          <w:lang w:eastAsia="zh-CN"/>
        </w:rPr>
        <w:t xml:space="preserve"> </w:t>
      </w:r>
      <w:r w:rsidR="00695136" w:rsidRPr="00BA7276">
        <w:rPr>
          <w:rFonts w:hint="eastAsia"/>
          <w:b/>
          <w:sz w:val="22"/>
          <w:szCs w:val="22"/>
          <w:lang w:eastAsia="zh-CN"/>
        </w:rPr>
        <w:t xml:space="preserve">the serum bilirubin </w:t>
      </w:r>
      <w:r w:rsidR="00A778FE" w:rsidRPr="00BA7276">
        <w:rPr>
          <w:rFonts w:hint="eastAsia"/>
          <w:b/>
          <w:sz w:val="22"/>
          <w:szCs w:val="22"/>
          <w:lang w:eastAsia="zh-CN"/>
        </w:rPr>
        <w:t xml:space="preserve">at study </w:t>
      </w:r>
      <w:r w:rsidR="00036078" w:rsidRPr="00BA7276">
        <w:rPr>
          <w:rFonts w:hint="eastAsia"/>
          <w:b/>
          <w:sz w:val="22"/>
          <w:szCs w:val="22"/>
          <w:lang w:eastAsia="zh-CN"/>
        </w:rPr>
        <w:t xml:space="preserve">enrollment, which means that </w:t>
      </w:r>
      <w:r w:rsidR="00030F10" w:rsidRPr="00BA7276">
        <w:rPr>
          <w:rFonts w:hint="eastAsia"/>
          <w:b/>
          <w:sz w:val="22"/>
          <w:szCs w:val="22"/>
          <w:lang w:eastAsia="zh-CN"/>
        </w:rPr>
        <w:t xml:space="preserve">sex is associated with serum bilirubin level in the sample. </w:t>
      </w:r>
      <w:r w:rsidR="00BB0889" w:rsidRPr="00BA7276">
        <w:rPr>
          <w:rFonts w:hint="eastAsia"/>
          <w:b/>
          <w:sz w:val="22"/>
          <w:szCs w:val="22"/>
          <w:lang w:eastAsia="zh-CN"/>
        </w:rPr>
        <w:t xml:space="preserve">Also </w:t>
      </w:r>
      <w:r w:rsidR="005D3994" w:rsidRPr="00BA7276">
        <w:rPr>
          <w:rFonts w:hint="eastAsia"/>
          <w:b/>
          <w:sz w:val="22"/>
          <w:szCs w:val="22"/>
          <w:lang w:eastAsia="zh-CN"/>
        </w:rPr>
        <w:t>s</w:t>
      </w:r>
      <w:r w:rsidR="00BB0889" w:rsidRPr="00BA7276">
        <w:rPr>
          <w:rFonts w:hint="eastAsia"/>
          <w:b/>
          <w:sz w:val="22"/>
          <w:szCs w:val="22"/>
          <w:lang w:eastAsia="zh-CN"/>
        </w:rPr>
        <w:t xml:space="preserve">ex is believed to be </w:t>
      </w:r>
      <w:r w:rsidR="00BB0889" w:rsidRPr="00BA7276">
        <w:rPr>
          <w:b/>
          <w:sz w:val="22"/>
          <w:szCs w:val="22"/>
          <w:lang w:eastAsia="zh-CN"/>
        </w:rPr>
        <w:t>causal</w:t>
      </w:r>
      <w:r w:rsidR="00BB0889" w:rsidRPr="00BA7276">
        <w:rPr>
          <w:rFonts w:hint="eastAsia"/>
          <w:b/>
          <w:sz w:val="22"/>
          <w:szCs w:val="22"/>
          <w:lang w:eastAsia="zh-CN"/>
        </w:rPr>
        <w:t xml:space="preserve">ly associated with </w:t>
      </w:r>
      <w:r w:rsidR="00975857" w:rsidRPr="00BA7276">
        <w:rPr>
          <w:rFonts w:hint="eastAsia"/>
          <w:b/>
          <w:sz w:val="22"/>
          <w:szCs w:val="22"/>
          <w:lang w:eastAsia="zh-CN"/>
        </w:rPr>
        <w:t>all-cause mortality</w:t>
      </w:r>
      <w:r w:rsidR="006B1EF9">
        <w:rPr>
          <w:b/>
          <w:sz w:val="22"/>
          <w:szCs w:val="22"/>
          <w:lang w:eastAsia="zh-CN"/>
        </w:rPr>
        <w:t>, which is clear in figure</w:t>
      </w:r>
      <w:r w:rsidR="00062CCC">
        <w:rPr>
          <w:rFonts w:hint="eastAsia"/>
          <w:b/>
          <w:sz w:val="22"/>
          <w:szCs w:val="22"/>
          <w:lang w:eastAsia="zh-CN"/>
        </w:rPr>
        <w:t xml:space="preserve"> </w:t>
      </w:r>
      <w:r w:rsidR="006B1EF9">
        <w:rPr>
          <w:b/>
          <w:sz w:val="22"/>
          <w:szCs w:val="22"/>
          <w:lang w:eastAsia="zh-CN"/>
        </w:rPr>
        <w:t>3</w:t>
      </w:r>
      <w:r w:rsidR="00910BFC" w:rsidRPr="00BA7276">
        <w:rPr>
          <w:rFonts w:hint="eastAsia"/>
          <w:b/>
          <w:sz w:val="22"/>
          <w:szCs w:val="22"/>
          <w:lang w:eastAsia="zh-CN"/>
        </w:rPr>
        <w:t>.</w:t>
      </w:r>
      <w:r w:rsidR="00926701">
        <w:rPr>
          <w:b/>
          <w:sz w:val="22"/>
          <w:szCs w:val="22"/>
          <w:lang w:eastAsia="zh-CN"/>
        </w:rPr>
        <w:t xml:space="preserve"> So</w:t>
      </w:r>
      <w:r w:rsidR="00560994" w:rsidRPr="00BA7276">
        <w:rPr>
          <w:rFonts w:hint="eastAsia"/>
          <w:b/>
          <w:sz w:val="22"/>
          <w:szCs w:val="22"/>
          <w:lang w:eastAsia="zh-CN"/>
        </w:rPr>
        <w:t xml:space="preserve"> Sex </w:t>
      </w:r>
      <w:r w:rsidR="002F1EE1" w:rsidRPr="00BA7276">
        <w:rPr>
          <w:rFonts w:hint="eastAsia"/>
          <w:b/>
          <w:sz w:val="22"/>
          <w:szCs w:val="22"/>
          <w:lang w:eastAsia="zh-CN"/>
        </w:rPr>
        <w:t xml:space="preserve">should be </w:t>
      </w:r>
      <w:r w:rsidR="005A43B0" w:rsidRPr="00BA7276">
        <w:rPr>
          <w:b/>
          <w:sz w:val="22"/>
          <w:szCs w:val="22"/>
          <w:lang w:eastAsia="zh-CN"/>
        </w:rPr>
        <w:t>adjusted,</w:t>
      </w:r>
      <w:r w:rsidR="002F1EE1" w:rsidRPr="00BA7276">
        <w:rPr>
          <w:rFonts w:hint="eastAsia"/>
          <w:b/>
          <w:sz w:val="22"/>
          <w:szCs w:val="22"/>
          <w:lang w:eastAsia="zh-CN"/>
        </w:rPr>
        <w:t xml:space="preserve"> </w:t>
      </w:r>
      <w:r w:rsidR="00DF0427">
        <w:rPr>
          <w:b/>
          <w:sz w:val="22"/>
          <w:szCs w:val="22"/>
          <w:lang w:eastAsia="zh-CN"/>
        </w:rPr>
        <w:t>as</w:t>
      </w:r>
      <w:r w:rsidR="002F1EE1" w:rsidRPr="00BA7276">
        <w:rPr>
          <w:rFonts w:hint="eastAsia"/>
          <w:b/>
          <w:sz w:val="22"/>
          <w:szCs w:val="22"/>
          <w:lang w:eastAsia="zh-CN"/>
        </w:rPr>
        <w:t xml:space="preserve"> it's potential confounder.</w:t>
      </w:r>
      <w:r w:rsidR="002D5F03" w:rsidRPr="00BA7276">
        <w:rPr>
          <w:rFonts w:hint="eastAsia"/>
          <w:b/>
          <w:sz w:val="22"/>
          <w:szCs w:val="22"/>
          <w:lang w:eastAsia="zh-CN"/>
        </w:rPr>
        <w:t xml:space="preserve"> </w:t>
      </w:r>
    </w:p>
    <w:p w14:paraId="3027D148" w14:textId="3EB42068" w:rsidR="004636D5" w:rsidRDefault="002D5F03" w:rsidP="004636D5">
      <w:pPr>
        <w:autoSpaceDE w:val="0"/>
        <w:autoSpaceDN w:val="0"/>
        <w:adjustRightInd w:val="0"/>
        <w:spacing w:after="120"/>
        <w:ind w:left="720"/>
        <w:rPr>
          <w:b/>
          <w:sz w:val="22"/>
          <w:szCs w:val="22"/>
          <w:lang w:eastAsia="zh-CN"/>
        </w:rPr>
      </w:pPr>
      <w:r w:rsidRPr="00BA7276">
        <w:rPr>
          <w:rFonts w:hint="eastAsia"/>
          <w:b/>
          <w:sz w:val="22"/>
          <w:szCs w:val="22"/>
          <w:lang w:eastAsia="zh-CN"/>
        </w:rPr>
        <w:t xml:space="preserve">The association of </w:t>
      </w:r>
      <w:r w:rsidR="009B7D1D" w:rsidRPr="00BA7276">
        <w:rPr>
          <w:rFonts w:hint="eastAsia"/>
          <w:b/>
          <w:sz w:val="22"/>
          <w:szCs w:val="22"/>
          <w:lang w:eastAsia="zh-CN"/>
        </w:rPr>
        <w:t xml:space="preserve">sex and serum bilirubin is </w:t>
      </w:r>
      <w:r w:rsidR="005129A9" w:rsidRPr="00BA7276">
        <w:rPr>
          <w:b/>
          <w:sz w:val="22"/>
          <w:szCs w:val="22"/>
          <w:lang w:eastAsia="zh-CN"/>
        </w:rPr>
        <w:t>clearer</w:t>
      </w:r>
      <w:r w:rsidR="009B7D1D" w:rsidRPr="00BA7276">
        <w:rPr>
          <w:rFonts w:hint="eastAsia"/>
          <w:b/>
          <w:sz w:val="22"/>
          <w:szCs w:val="22"/>
          <w:lang w:eastAsia="zh-CN"/>
        </w:rPr>
        <w:t xml:space="preserve"> if </w:t>
      </w:r>
      <w:r w:rsidR="00663EA1" w:rsidRPr="00BA7276">
        <w:rPr>
          <w:rFonts w:hint="eastAsia"/>
          <w:b/>
          <w:sz w:val="22"/>
          <w:szCs w:val="22"/>
          <w:lang w:eastAsia="zh-CN"/>
        </w:rPr>
        <w:t xml:space="preserve">we compare the distributions of serum bilirubin in males and females. </w:t>
      </w:r>
      <w:r w:rsidR="005129A9" w:rsidRPr="00BA7276">
        <w:rPr>
          <w:rFonts w:hint="eastAsia"/>
          <w:b/>
          <w:sz w:val="22"/>
          <w:szCs w:val="22"/>
          <w:lang w:eastAsia="zh-CN"/>
        </w:rPr>
        <w:t>In</w:t>
      </w:r>
      <w:r w:rsidR="0091437E" w:rsidRPr="00BA7276">
        <w:rPr>
          <w:rFonts w:hint="eastAsia"/>
          <w:b/>
          <w:sz w:val="22"/>
          <w:szCs w:val="22"/>
          <w:lang w:eastAsia="zh-CN"/>
        </w:rPr>
        <w:t xml:space="preserve"> the dataset</w:t>
      </w:r>
      <w:r w:rsidR="00823054" w:rsidRPr="00BA7276">
        <w:rPr>
          <w:rFonts w:hint="eastAsia"/>
          <w:b/>
          <w:sz w:val="22"/>
          <w:szCs w:val="22"/>
          <w:lang w:eastAsia="zh-CN"/>
        </w:rPr>
        <w:t>,</w:t>
      </w:r>
      <w:r w:rsidR="005129A9" w:rsidRPr="00BA7276">
        <w:rPr>
          <w:rFonts w:hint="eastAsia"/>
          <w:b/>
          <w:sz w:val="22"/>
          <w:szCs w:val="22"/>
          <w:lang w:eastAsia="zh-CN"/>
        </w:rPr>
        <w:t xml:space="preserve"> </w:t>
      </w:r>
      <w:r w:rsidR="00A706F1" w:rsidRPr="00BA7276">
        <w:rPr>
          <w:rFonts w:hint="eastAsia"/>
          <w:b/>
          <w:sz w:val="22"/>
          <w:szCs w:val="22"/>
          <w:lang w:eastAsia="zh-CN"/>
        </w:rPr>
        <w:t xml:space="preserve">for females </w:t>
      </w:r>
      <w:r w:rsidR="00452D7C" w:rsidRPr="00BA7276">
        <w:rPr>
          <w:rFonts w:hint="eastAsia"/>
          <w:b/>
          <w:sz w:val="22"/>
          <w:szCs w:val="22"/>
          <w:lang w:eastAsia="zh-CN"/>
        </w:rPr>
        <w:t xml:space="preserve">the </w:t>
      </w:r>
      <w:r w:rsidR="00867BFF" w:rsidRPr="00BA7276">
        <w:rPr>
          <w:rFonts w:hint="eastAsia"/>
          <w:b/>
          <w:sz w:val="22"/>
          <w:szCs w:val="22"/>
          <w:lang w:eastAsia="zh-CN"/>
        </w:rPr>
        <w:t>mean</w:t>
      </w:r>
      <w:r w:rsidR="005D21D7" w:rsidRPr="00BA7276">
        <w:rPr>
          <w:rFonts w:hint="eastAsia"/>
          <w:b/>
          <w:sz w:val="22"/>
          <w:szCs w:val="22"/>
          <w:lang w:eastAsia="zh-CN"/>
        </w:rPr>
        <w:t xml:space="preserve"> </w:t>
      </w:r>
      <w:r w:rsidR="00452D7C" w:rsidRPr="00BA7276">
        <w:rPr>
          <w:b/>
          <w:sz w:val="22"/>
          <w:szCs w:val="22"/>
          <w:lang w:eastAsia="zh-CN"/>
        </w:rPr>
        <w:t>bilirubin</w:t>
      </w:r>
      <w:r w:rsidR="00452D7C" w:rsidRPr="00BA7276">
        <w:rPr>
          <w:rFonts w:hint="eastAsia"/>
          <w:b/>
          <w:sz w:val="22"/>
          <w:szCs w:val="22"/>
          <w:lang w:eastAsia="zh-CN"/>
        </w:rPr>
        <w:t xml:space="preserve"> concentration is </w:t>
      </w:r>
      <w:r w:rsidR="009B45E9" w:rsidRPr="00BA7276">
        <w:rPr>
          <w:rFonts w:hint="eastAsia"/>
          <w:b/>
          <w:sz w:val="22"/>
          <w:szCs w:val="22"/>
          <w:lang w:eastAsia="zh-CN"/>
        </w:rPr>
        <w:t xml:space="preserve">3.31 mg/dL with standard deviation of </w:t>
      </w:r>
      <w:r w:rsidR="00587AA2" w:rsidRPr="00BA7276">
        <w:rPr>
          <w:rFonts w:hint="eastAsia"/>
          <w:b/>
          <w:sz w:val="22"/>
          <w:szCs w:val="22"/>
          <w:lang w:eastAsia="zh-CN"/>
        </w:rPr>
        <w:t>4.</w:t>
      </w:r>
      <w:r w:rsidR="00C63873">
        <w:rPr>
          <w:rFonts w:hint="eastAsia"/>
          <w:b/>
          <w:sz w:val="22"/>
          <w:szCs w:val="22"/>
          <w:lang w:eastAsia="zh-CN"/>
        </w:rPr>
        <w:t>75</w:t>
      </w:r>
      <w:r w:rsidR="00587AA2" w:rsidRPr="00BA7276">
        <w:rPr>
          <w:rFonts w:hint="eastAsia"/>
          <w:b/>
          <w:sz w:val="22"/>
          <w:szCs w:val="22"/>
          <w:lang w:eastAsia="zh-CN"/>
        </w:rPr>
        <w:t xml:space="preserve"> mg/dL</w:t>
      </w:r>
      <w:r w:rsidR="00655CE1" w:rsidRPr="00BA7276">
        <w:rPr>
          <w:rFonts w:hint="eastAsia"/>
          <w:b/>
          <w:sz w:val="22"/>
          <w:szCs w:val="22"/>
          <w:lang w:eastAsia="zh-CN"/>
        </w:rPr>
        <w:t xml:space="preserve"> (median concentration is</w:t>
      </w:r>
      <w:r w:rsidR="00AE20D7">
        <w:rPr>
          <w:rFonts w:hint="eastAsia"/>
          <w:b/>
          <w:sz w:val="22"/>
          <w:szCs w:val="22"/>
          <w:lang w:eastAsia="zh-CN"/>
        </w:rPr>
        <w:t xml:space="preserve"> </w:t>
      </w:r>
      <w:r w:rsidR="00C77799" w:rsidRPr="00BA7276">
        <w:rPr>
          <w:rFonts w:hint="eastAsia"/>
          <w:b/>
          <w:sz w:val="22"/>
          <w:szCs w:val="22"/>
          <w:lang w:eastAsia="zh-CN"/>
        </w:rPr>
        <w:t>1.30</w:t>
      </w:r>
      <w:r w:rsidR="007434C8">
        <w:rPr>
          <w:b/>
          <w:sz w:val="22"/>
          <w:szCs w:val="22"/>
          <w:lang w:eastAsia="zh-CN"/>
        </w:rPr>
        <w:t xml:space="preserve"> </w:t>
      </w:r>
      <w:r w:rsidR="007434C8" w:rsidRPr="00BA7276">
        <w:rPr>
          <w:rFonts w:hint="eastAsia"/>
          <w:b/>
          <w:sz w:val="22"/>
          <w:szCs w:val="22"/>
          <w:lang w:eastAsia="zh-CN"/>
        </w:rPr>
        <w:t>mg/dL</w:t>
      </w:r>
      <w:r w:rsidR="00655CE1" w:rsidRPr="00BA7276">
        <w:rPr>
          <w:rFonts w:hint="eastAsia"/>
          <w:b/>
          <w:sz w:val="22"/>
          <w:szCs w:val="22"/>
          <w:lang w:eastAsia="zh-CN"/>
        </w:rPr>
        <w:t>)</w:t>
      </w:r>
      <w:r w:rsidR="009C358D" w:rsidRPr="00BA7276">
        <w:rPr>
          <w:rFonts w:hint="eastAsia"/>
          <w:b/>
          <w:sz w:val="22"/>
          <w:szCs w:val="22"/>
          <w:lang w:eastAsia="zh-CN"/>
        </w:rPr>
        <w:t>, while</w:t>
      </w:r>
      <w:r w:rsidR="002E3D6E" w:rsidRPr="00BA7276">
        <w:rPr>
          <w:rFonts w:hint="eastAsia"/>
          <w:b/>
          <w:sz w:val="22"/>
          <w:szCs w:val="22"/>
          <w:lang w:eastAsia="zh-CN"/>
        </w:rPr>
        <w:t xml:space="preserve"> for males</w:t>
      </w:r>
      <w:r w:rsidR="009C358D" w:rsidRPr="00BA7276">
        <w:rPr>
          <w:rFonts w:hint="eastAsia"/>
          <w:b/>
          <w:sz w:val="22"/>
          <w:szCs w:val="22"/>
          <w:lang w:eastAsia="zh-CN"/>
        </w:rPr>
        <w:t xml:space="preserve"> </w:t>
      </w:r>
      <w:r w:rsidR="00A706F1" w:rsidRPr="00BA7276">
        <w:rPr>
          <w:rFonts w:hint="eastAsia"/>
          <w:b/>
          <w:sz w:val="22"/>
          <w:szCs w:val="22"/>
          <w:lang w:eastAsia="zh-CN"/>
        </w:rPr>
        <w:t xml:space="preserve">the mean </w:t>
      </w:r>
      <w:r w:rsidR="00A706F1" w:rsidRPr="00BA7276">
        <w:rPr>
          <w:b/>
          <w:sz w:val="22"/>
          <w:szCs w:val="22"/>
          <w:lang w:eastAsia="zh-CN"/>
        </w:rPr>
        <w:t>bilirubin</w:t>
      </w:r>
      <w:r w:rsidR="00A706F1" w:rsidRPr="00BA7276">
        <w:rPr>
          <w:rFonts w:hint="eastAsia"/>
          <w:b/>
          <w:sz w:val="22"/>
          <w:szCs w:val="22"/>
          <w:lang w:eastAsia="zh-CN"/>
        </w:rPr>
        <w:t xml:space="preserve"> concentration is </w:t>
      </w:r>
      <w:r w:rsidR="009F2421" w:rsidRPr="00BA7276">
        <w:rPr>
          <w:rFonts w:hint="eastAsia"/>
          <w:b/>
          <w:sz w:val="22"/>
          <w:szCs w:val="22"/>
          <w:lang w:eastAsia="zh-CN"/>
        </w:rPr>
        <w:t xml:space="preserve">2.87 </w:t>
      </w:r>
      <w:r w:rsidR="00A706F1" w:rsidRPr="00BA7276">
        <w:rPr>
          <w:rFonts w:hint="eastAsia"/>
          <w:b/>
          <w:sz w:val="22"/>
          <w:szCs w:val="22"/>
          <w:lang w:eastAsia="zh-CN"/>
        </w:rPr>
        <w:t xml:space="preserve">mg/dL with standard deviation of </w:t>
      </w:r>
      <w:r w:rsidR="00E56BAF" w:rsidRPr="00BA7276">
        <w:rPr>
          <w:rFonts w:hint="eastAsia"/>
          <w:b/>
          <w:sz w:val="22"/>
          <w:szCs w:val="22"/>
          <w:lang w:eastAsia="zh-CN"/>
        </w:rPr>
        <w:t>2.23</w:t>
      </w:r>
      <w:r w:rsidR="00A706F1" w:rsidRPr="00BA7276">
        <w:rPr>
          <w:rFonts w:hint="eastAsia"/>
          <w:b/>
          <w:sz w:val="22"/>
          <w:szCs w:val="22"/>
          <w:lang w:eastAsia="zh-CN"/>
        </w:rPr>
        <w:t xml:space="preserve"> mg/dL (median concentration is 2.2</w:t>
      </w:r>
      <w:r w:rsidR="00561550" w:rsidRPr="00BA7276">
        <w:rPr>
          <w:rFonts w:hint="eastAsia"/>
          <w:b/>
          <w:sz w:val="22"/>
          <w:szCs w:val="22"/>
          <w:lang w:eastAsia="zh-CN"/>
        </w:rPr>
        <w:t>0</w:t>
      </w:r>
      <w:r w:rsidR="007434C8">
        <w:rPr>
          <w:b/>
          <w:sz w:val="22"/>
          <w:szCs w:val="22"/>
          <w:lang w:eastAsia="zh-CN"/>
        </w:rPr>
        <w:t xml:space="preserve"> </w:t>
      </w:r>
      <w:r w:rsidR="007434C8" w:rsidRPr="00BA7276">
        <w:rPr>
          <w:rFonts w:hint="eastAsia"/>
          <w:b/>
          <w:sz w:val="22"/>
          <w:szCs w:val="22"/>
          <w:lang w:eastAsia="zh-CN"/>
        </w:rPr>
        <w:t>mg/dL</w:t>
      </w:r>
      <w:r w:rsidR="00A706F1" w:rsidRPr="00BA7276">
        <w:rPr>
          <w:rFonts w:hint="eastAsia"/>
          <w:b/>
          <w:sz w:val="22"/>
          <w:szCs w:val="22"/>
          <w:lang w:eastAsia="zh-CN"/>
        </w:rPr>
        <w:t>)</w:t>
      </w:r>
      <w:r w:rsidR="00BA7276" w:rsidRPr="00BA7276">
        <w:rPr>
          <w:rFonts w:hint="eastAsia"/>
          <w:b/>
          <w:sz w:val="22"/>
          <w:szCs w:val="22"/>
          <w:lang w:eastAsia="zh-CN"/>
        </w:rPr>
        <w:t xml:space="preserve">. </w:t>
      </w:r>
    </w:p>
    <w:p w14:paraId="2B5D287B" w14:textId="3E5DC15D" w:rsidR="001A4597" w:rsidRDefault="00BF120F" w:rsidP="004636D5">
      <w:pPr>
        <w:autoSpaceDE w:val="0"/>
        <w:autoSpaceDN w:val="0"/>
        <w:adjustRightInd w:val="0"/>
        <w:spacing w:after="120"/>
        <w:ind w:left="720"/>
        <w:rPr>
          <w:b/>
          <w:sz w:val="22"/>
          <w:szCs w:val="22"/>
          <w:lang w:eastAsia="zh-CN"/>
        </w:rPr>
      </w:pPr>
      <w:r>
        <w:rPr>
          <w:b/>
          <w:sz w:val="22"/>
          <w:szCs w:val="22"/>
          <w:lang w:eastAsia="zh-CN"/>
        </w:rPr>
        <w:t xml:space="preserve">The </w:t>
      </w:r>
      <w:r w:rsidR="0004500D">
        <w:rPr>
          <w:b/>
          <w:sz w:val="22"/>
          <w:szCs w:val="22"/>
          <w:lang w:eastAsia="zh-CN"/>
        </w:rPr>
        <w:t xml:space="preserve">coefficient of </w:t>
      </w:r>
      <w:r w:rsidR="001A4597">
        <w:rPr>
          <w:b/>
          <w:sz w:val="22"/>
          <w:szCs w:val="22"/>
          <w:lang w:eastAsia="zh-CN"/>
        </w:rPr>
        <w:t>0</w:t>
      </w:r>
      <w:r w:rsidR="0004500D">
        <w:rPr>
          <w:b/>
          <w:sz w:val="22"/>
          <w:szCs w:val="22"/>
          <w:lang w:eastAsia="zh-CN"/>
        </w:rPr>
        <w:t>.4339</w:t>
      </w:r>
      <w:r w:rsidR="001529E5">
        <w:rPr>
          <w:b/>
          <w:sz w:val="22"/>
          <w:szCs w:val="22"/>
          <w:lang w:eastAsia="zh-CN"/>
        </w:rPr>
        <w:t xml:space="preserve"> </w:t>
      </w:r>
      <w:r w:rsidR="001A4597">
        <w:rPr>
          <w:b/>
          <w:sz w:val="22"/>
          <w:szCs w:val="22"/>
          <w:lang w:eastAsia="zh-CN"/>
        </w:rPr>
        <w:t xml:space="preserve">of linear model of </w:t>
      </w:r>
      <w:r w:rsidR="003C34DE">
        <w:rPr>
          <w:b/>
          <w:sz w:val="22"/>
          <w:szCs w:val="22"/>
          <w:lang w:eastAsia="zh-CN"/>
        </w:rPr>
        <w:t xml:space="preserve">bilirubin </w:t>
      </w:r>
      <w:r w:rsidR="001A4597">
        <w:rPr>
          <w:b/>
          <w:sz w:val="22"/>
          <w:szCs w:val="22"/>
          <w:lang w:eastAsia="zh-CN"/>
        </w:rPr>
        <w:t xml:space="preserve">on </w:t>
      </w:r>
      <w:r w:rsidR="003C34DE">
        <w:rPr>
          <w:b/>
          <w:sz w:val="22"/>
          <w:szCs w:val="22"/>
          <w:lang w:eastAsia="zh-CN"/>
        </w:rPr>
        <w:t>sex</w:t>
      </w:r>
      <w:r>
        <w:rPr>
          <w:b/>
          <w:sz w:val="22"/>
          <w:szCs w:val="22"/>
          <w:lang w:eastAsia="zh-CN"/>
        </w:rPr>
        <w:t xml:space="preserve"> is also an evidence of that sex is associated with serum bilirubin concentration.</w:t>
      </w:r>
    </w:p>
    <w:p w14:paraId="24F5B383" w14:textId="3C5F889D" w:rsidR="00C90602" w:rsidRDefault="00C90602" w:rsidP="004636D5">
      <w:pPr>
        <w:autoSpaceDE w:val="0"/>
        <w:autoSpaceDN w:val="0"/>
        <w:adjustRightInd w:val="0"/>
        <w:spacing w:after="120"/>
        <w:ind w:left="720"/>
        <w:rPr>
          <w:b/>
          <w:sz w:val="22"/>
          <w:szCs w:val="22"/>
          <w:lang w:eastAsia="zh-CN"/>
        </w:rPr>
      </w:pPr>
      <w:r>
        <w:rPr>
          <w:b/>
          <w:noProof/>
          <w:sz w:val="22"/>
          <w:szCs w:val="22"/>
        </w:rPr>
        <w:drawing>
          <wp:inline distT="0" distB="0" distL="0" distR="0" wp14:anchorId="3808B120" wp14:editId="407FDF82">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x-km.pdf"/>
                    <pic:cNvPicPr/>
                  </pic:nvPicPr>
                  <pic:blipFill>
                    <a:blip r:embed="rId10">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04AE51A0" w14:textId="2C2179EC" w:rsidR="00C90602" w:rsidRDefault="00C90602" w:rsidP="004636D5">
      <w:pPr>
        <w:autoSpaceDE w:val="0"/>
        <w:autoSpaceDN w:val="0"/>
        <w:adjustRightInd w:val="0"/>
        <w:spacing w:after="120"/>
        <w:ind w:left="720"/>
        <w:rPr>
          <w:b/>
          <w:sz w:val="22"/>
          <w:szCs w:val="22"/>
          <w:lang w:eastAsia="zh-CN"/>
        </w:rPr>
      </w:pPr>
      <w:r>
        <w:rPr>
          <w:b/>
          <w:sz w:val="22"/>
          <w:szCs w:val="22"/>
          <w:lang w:eastAsia="zh-CN"/>
        </w:rPr>
        <w:t>Figure 3. Kaplan-Meier estimates</w:t>
      </w:r>
      <w:r w:rsidR="00B015A3">
        <w:rPr>
          <w:b/>
          <w:sz w:val="22"/>
          <w:szCs w:val="22"/>
          <w:lang w:eastAsia="zh-CN"/>
        </w:rPr>
        <w:t xml:space="preserve"> across groups defined by sex</w:t>
      </w:r>
      <w:r w:rsidR="00640EB4">
        <w:rPr>
          <w:b/>
          <w:sz w:val="22"/>
          <w:szCs w:val="22"/>
          <w:lang w:eastAsia="zh-CN"/>
        </w:rPr>
        <w:t xml:space="preserve"> (106 missing data of </w:t>
      </w:r>
      <w:r w:rsidR="0045557F">
        <w:rPr>
          <w:b/>
          <w:sz w:val="22"/>
          <w:szCs w:val="22"/>
          <w:lang w:eastAsia="zh-CN"/>
        </w:rPr>
        <w:t>sex are omitted</w:t>
      </w:r>
      <w:r w:rsidR="00640EB4">
        <w:rPr>
          <w:b/>
          <w:sz w:val="22"/>
          <w:szCs w:val="22"/>
          <w:lang w:eastAsia="zh-CN"/>
        </w:rPr>
        <w:t>)</w:t>
      </w:r>
    </w:p>
    <w:p w14:paraId="284B7EEF" w14:textId="77777777" w:rsidR="00927CF6" w:rsidRDefault="00927CF6" w:rsidP="00927CF6">
      <w:pPr>
        <w:numPr>
          <w:ilvl w:val="1"/>
          <w:numId w:val="19"/>
        </w:numPr>
        <w:autoSpaceDE w:val="0"/>
        <w:autoSpaceDN w:val="0"/>
        <w:adjustRightInd w:val="0"/>
        <w:spacing w:after="120"/>
        <w:rPr>
          <w:sz w:val="22"/>
          <w:szCs w:val="22"/>
        </w:rPr>
      </w:pPr>
      <w:r>
        <w:rPr>
          <w:sz w:val="22"/>
          <w:szCs w:val="22"/>
        </w:rPr>
        <w:t>What evidence is present in the data that would make you think that either sex or age might have added precision to the analysis of the association between death and bilirubin? (In real life, we would ideally decide whether to adjust in our pre-specified SAP).</w:t>
      </w:r>
    </w:p>
    <w:p w14:paraId="33905494" w14:textId="19257C62" w:rsidR="00CF2A03" w:rsidRDefault="00DF3290" w:rsidP="00CF2A03">
      <w:pPr>
        <w:autoSpaceDE w:val="0"/>
        <w:autoSpaceDN w:val="0"/>
        <w:adjustRightInd w:val="0"/>
        <w:spacing w:after="120"/>
        <w:ind w:left="720"/>
        <w:rPr>
          <w:b/>
          <w:sz w:val="22"/>
          <w:szCs w:val="22"/>
          <w:lang w:eastAsia="zh-CN"/>
        </w:rPr>
      </w:pPr>
      <w:r w:rsidRPr="000B4149">
        <w:rPr>
          <w:rFonts w:hint="eastAsia"/>
          <w:b/>
          <w:sz w:val="22"/>
          <w:szCs w:val="22"/>
          <w:lang w:eastAsia="zh-CN"/>
        </w:rPr>
        <w:t xml:space="preserve">Ans: </w:t>
      </w:r>
      <w:r w:rsidR="00430BBD">
        <w:rPr>
          <w:b/>
          <w:sz w:val="22"/>
          <w:szCs w:val="22"/>
          <w:lang w:eastAsia="zh-CN"/>
        </w:rPr>
        <w:t xml:space="preserve">(Age) </w:t>
      </w:r>
      <w:r>
        <w:rPr>
          <w:rFonts w:hint="eastAsia"/>
          <w:b/>
          <w:sz w:val="22"/>
          <w:szCs w:val="22"/>
          <w:lang w:eastAsia="zh-CN"/>
        </w:rPr>
        <w:t>A</w:t>
      </w:r>
      <w:r w:rsidRPr="00BA7276">
        <w:rPr>
          <w:rFonts w:hint="eastAsia"/>
          <w:b/>
          <w:sz w:val="22"/>
          <w:szCs w:val="22"/>
          <w:lang w:eastAsia="zh-CN"/>
        </w:rPr>
        <w:t xml:space="preserve">cross the groups defined by the serum bilirubin at </w:t>
      </w:r>
      <w:r w:rsidR="000F4E3C">
        <w:rPr>
          <w:rFonts w:hint="eastAsia"/>
          <w:b/>
          <w:sz w:val="22"/>
          <w:szCs w:val="22"/>
          <w:lang w:eastAsia="zh-CN"/>
        </w:rPr>
        <w:t xml:space="preserve">the </w:t>
      </w:r>
      <w:r w:rsidRPr="00BA7276">
        <w:rPr>
          <w:rFonts w:hint="eastAsia"/>
          <w:b/>
          <w:sz w:val="22"/>
          <w:szCs w:val="22"/>
          <w:lang w:eastAsia="zh-CN"/>
        </w:rPr>
        <w:t>study enrollment,</w:t>
      </w:r>
      <w:r w:rsidR="0080674D">
        <w:rPr>
          <w:rFonts w:hint="eastAsia"/>
          <w:b/>
          <w:sz w:val="22"/>
          <w:szCs w:val="22"/>
          <w:lang w:eastAsia="zh-CN"/>
        </w:rPr>
        <w:t xml:space="preserve"> the distribution of age is quite similar. </w:t>
      </w:r>
      <w:r w:rsidR="009B0506">
        <w:rPr>
          <w:b/>
          <w:sz w:val="22"/>
          <w:szCs w:val="22"/>
          <w:lang w:eastAsia="zh-CN"/>
        </w:rPr>
        <w:t>Though</w:t>
      </w:r>
      <w:r w:rsidR="009B0506">
        <w:rPr>
          <w:rFonts w:hint="eastAsia"/>
          <w:b/>
          <w:sz w:val="22"/>
          <w:szCs w:val="22"/>
          <w:lang w:eastAsia="zh-CN"/>
        </w:rPr>
        <w:t xml:space="preserve"> the group with lowest bilirubin </w:t>
      </w:r>
      <w:r w:rsidR="00381ECC">
        <w:rPr>
          <w:rFonts w:hint="eastAsia"/>
          <w:b/>
          <w:sz w:val="22"/>
          <w:szCs w:val="22"/>
          <w:lang w:eastAsia="zh-CN"/>
        </w:rPr>
        <w:t xml:space="preserve">level </w:t>
      </w:r>
      <w:r w:rsidR="00161CE6">
        <w:rPr>
          <w:rFonts w:hint="eastAsia"/>
          <w:b/>
          <w:sz w:val="22"/>
          <w:szCs w:val="22"/>
          <w:lang w:eastAsia="zh-CN"/>
        </w:rPr>
        <w:t>has slightly high</w:t>
      </w:r>
      <w:r w:rsidR="0045310F">
        <w:rPr>
          <w:rFonts w:hint="eastAsia"/>
          <w:b/>
          <w:sz w:val="22"/>
          <w:szCs w:val="22"/>
          <w:lang w:eastAsia="zh-CN"/>
        </w:rPr>
        <w:t xml:space="preserve"> mean age and smaller </w:t>
      </w:r>
      <w:r w:rsidR="0055226D">
        <w:rPr>
          <w:rFonts w:hint="eastAsia"/>
          <w:b/>
          <w:sz w:val="22"/>
          <w:szCs w:val="22"/>
          <w:lang w:eastAsia="zh-CN"/>
        </w:rPr>
        <w:t xml:space="preserve">variance, </w:t>
      </w:r>
      <w:r w:rsidR="00327734">
        <w:rPr>
          <w:rFonts w:hint="eastAsia"/>
          <w:b/>
          <w:sz w:val="22"/>
          <w:szCs w:val="22"/>
          <w:lang w:eastAsia="zh-CN"/>
        </w:rPr>
        <w:t xml:space="preserve">its small sample size and the small difference </w:t>
      </w:r>
      <w:r w:rsidR="009C3F23">
        <w:rPr>
          <w:rFonts w:hint="eastAsia"/>
          <w:b/>
          <w:sz w:val="22"/>
          <w:szCs w:val="22"/>
          <w:lang w:eastAsia="zh-CN"/>
        </w:rPr>
        <w:t xml:space="preserve">cannot convince us that </w:t>
      </w:r>
      <w:r w:rsidR="008D1AE3">
        <w:rPr>
          <w:rFonts w:hint="eastAsia"/>
          <w:b/>
          <w:sz w:val="22"/>
          <w:szCs w:val="22"/>
          <w:lang w:eastAsia="zh-CN"/>
        </w:rPr>
        <w:t xml:space="preserve">it may confound the </w:t>
      </w:r>
      <w:r w:rsidR="00F83CDA">
        <w:rPr>
          <w:rFonts w:hint="eastAsia"/>
          <w:b/>
          <w:sz w:val="22"/>
          <w:szCs w:val="22"/>
          <w:lang w:eastAsia="zh-CN"/>
        </w:rPr>
        <w:t>analysis</w:t>
      </w:r>
      <w:r w:rsidR="008D1AE3">
        <w:rPr>
          <w:rFonts w:hint="eastAsia"/>
          <w:b/>
          <w:sz w:val="22"/>
          <w:szCs w:val="22"/>
          <w:lang w:eastAsia="zh-CN"/>
        </w:rPr>
        <w:t xml:space="preserve">. </w:t>
      </w:r>
    </w:p>
    <w:p w14:paraId="231BF634" w14:textId="5DB10856" w:rsidR="00CF2A03" w:rsidRDefault="00CF2A03" w:rsidP="00F42D22">
      <w:pPr>
        <w:autoSpaceDE w:val="0"/>
        <w:autoSpaceDN w:val="0"/>
        <w:adjustRightInd w:val="0"/>
        <w:spacing w:after="120"/>
        <w:ind w:left="720"/>
        <w:rPr>
          <w:b/>
          <w:sz w:val="22"/>
          <w:szCs w:val="22"/>
          <w:lang w:eastAsia="zh-CN"/>
        </w:rPr>
      </w:pPr>
      <w:r w:rsidRPr="00763432">
        <w:rPr>
          <w:b/>
          <w:sz w:val="22"/>
          <w:szCs w:val="22"/>
          <w:lang w:eastAsia="zh-CN"/>
        </w:rPr>
        <w:t>The coefficient of 0.</w:t>
      </w:r>
      <w:r w:rsidRPr="00763432">
        <w:rPr>
          <w:rFonts w:hint="eastAsia"/>
          <w:b/>
          <w:sz w:val="22"/>
          <w:szCs w:val="22"/>
          <w:lang w:eastAsia="zh-CN"/>
        </w:rPr>
        <w:t>0001</w:t>
      </w:r>
      <w:r w:rsidRPr="00763432">
        <w:rPr>
          <w:b/>
          <w:sz w:val="22"/>
          <w:szCs w:val="22"/>
          <w:lang w:eastAsia="zh-CN"/>
        </w:rPr>
        <w:t xml:space="preserve"> from linear regression modeling bilirubin on age is also an evidence of that age is not associated with serum bilirubin concentration in this sample.</w:t>
      </w:r>
    </w:p>
    <w:p w14:paraId="4E2168DC" w14:textId="72C08EAB" w:rsidR="00966425" w:rsidRDefault="00966425" w:rsidP="00F42D22">
      <w:pPr>
        <w:autoSpaceDE w:val="0"/>
        <w:autoSpaceDN w:val="0"/>
        <w:adjustRightInd w:val="0"/>
        <w:spacing w:after="120"/>
        <w:ind w:left="720"/>
        <w:rPr>
          <w:b/>
          <w:sz w:val="22"/>
          <w:szCs w:val="22"/>
          <w:lang w:eastAsia="zh-CN"/>
        </w:rPr>
      </w:pPr>
      <w:r>
        <w:rPr>
          <w:rFonts w:hint="eastAsia"/>
          <w:b/>
          <w:sz w:val="22"/>
          <w:szCs w:val="22"/>
          <w:lang w:eastAsia="zh-CN"/>
        </w:rPr>
        <w:t>But age is known to be casually associated with all-cause mortality, which is obvious in figure 4.</w:t>
      </w:r>
    </w:p>
    <w:p w14:paraId="2419C91C" w14:textId="01556BDC" w:rsidR="00F42D22" w:rsidRDefault="00253F73" w:rsidP="00F42D22">
      <w:pPr>
        <w:autoSpaceDE w:val="0"/>
        <w:autoSpaceDN w:val="0"/>
        <w:adjustRightInd w:val="0"/>
        <w:spacing w:after="120"/>
        <w:ind w:left="720"/>
        <w:rPr>
          <w:b/>
          <w:sz w:val="22"/>
          <w:szCs w:val="22"/>
          <w:lang w:eastAsia="zh-CN"/>
        </w:rPr>
      </w:pPr>
      <w:r>
        <w:rPr>
          <w:rFonts w:hint="eastAsia"/>
          <w:b/>
          <w:sz w:val="22"/>
          <w:szCs w:val="22"/>
          <w:lang w:eastAsia="zh-CN"/>
        </w:rPr>
        <w:t xml:space="preserve">So </w:t>
      </w:r>
      <w:r w:rsidR="0022776A">
        <w:rPr>
          <w:b/>
          <w:sz w:val="22"/>
          <w:szCs w:val="22"/>
          <w:lang w:eastAsia="zh-CN"/>
        </w:rPr>
        <w:t>age is a precision variable.</w:t>
      </w:r>
      <w:r w:rsidR="00966425">
        <w:rPr>
          <w:b/>
          <w:sz w:val="22"/>
          <w:szCs w:val="22"/>
          <w:lang w:eastAsia="zh-CN"/>
        </w:rPr>
        <w:t xml:space="preserve"> </w:t>
      </w:r>
      <w:r w:rsidR="00BD57CB">
        <w:rPr>
          <w:rFonts w:hint="eastAsia"/>
          <w:b/>
          <w:sz w:val="22"/>
          <w:szCs w:val="22"/>
          <w:lang w:eastAsia="zh-CN"/>
        </w:rPr>
        <w:t>A</w:t>
      </w:r>
      <w:r>
        <w:rPr>
          <w:rFonts w:hint="eastAsia"/>
          <w:b/>
          <w:sz w:val="22"/>
          <w:szCs w:val="22"/>
          <w:lang w:eastAsia="zh-CN"/>
        </w:rPr>
        <w:t xml:space="preserve">djusting </w:t>
      </w:r>
      <w:r w:rsidR="002C2954">
        <w:rPr>
          <w:rFonts w:hint="eastAsia"/>
          <w:b/>
          <w:sz w:val="22"/>
          <w:szCs w:val="22"/>
          <w:lang w:eastAsia="zh-CN"/>
        </w:rPr>
        <w:t xml:space="preserve">age </w:t>
      </w:r>
      <w:r w:rsidR="004A478B">
        <w:rPr>
          <w:rFonts w:hint="eastAsia"/>
          <w:b/>
          <w:sz w:val="22"/>
          <w:szCs w:val="22"/>
          <w:lang w:eastAsia="zh-CN"/>
        </w:rPr>
        <w:t>may</w:t>
      </w:r>
      <w:r w:rsidR="00A97E70">
        <w:rPr>
          <w:rFonts w:hint="eastAsia"/>
          <w:b/>
          <w:sz w:val="22"/>
          <w:szCs w:val="22"/>
          <w:lang w:eastAsia="zh-CN"/>
        </w:rPr>
        <w:t xml:space="preserve"> add precision to the analysis, as controlling age </w:t>
      </w:r>
      <w:r w:rsidR="002207F6">
        <w:rPr>
          <w:b/>
          <w:sz w:val="22"/>
          <w:szCs w:val="22"/>
          <w:lang w:eastAsia="zh-CN"/>
        </w:rPr>
        <w:t xml:space="preserve">decreases the </w:t>
      </w:r>
      <w:r w:rsidR="008627CD">
        <w:rPr>
          <w:b/>
          <w:sz w:val="22"/>
          <w:szCs w:val="22"/>
          <w:lang w:eastAsia="zh-CN"/>
        </w:rPr>
        <w:t xml:space="preserve">within-group variance </w:t>
      </w:r>
      <w:r w:rsidR="00007371">
        <w:rPr>
          <w:b/>
          <w:sz w:val="22"/>
          <w:szCs w:val="22"/>
          <w:lang w:eastAsia="zh-CN"/>
        </w:rPr>
        <w:t>of response</w:t>
      </w:r>
      <w:r w:rsidR="008627CD">
        <w:rPr>
          <w:b/>
          <w:sz w:val="22"/>
          <w:szCs w:val="22"/>
          <w:lang w:eastAsia="zh-CN"/>
        </w:rPr>
        <w:t xml:space="preserve">. </w:t>
      </w:r>
    </w:p>
    <w:p w14:paraId="6861B94D" w14:textId="7161370B" w:rsidR="00864983" w:rsidRDefault="001359B3" w:rsidP="00F42D22">
      <w:pPr>
        <w:autoSpaceDE w:val="0"/>
        <w:autoSpaceDN w:val="0"/>
        <w:adjustRightInd w:val="0"/>
        <w:spacing w:after="120"/>
        <w:ind w:left="720"/>
        <w:rPr>
          <w:position w:val="-30"/>
        </w:rPr>
      </w:pPr>
      <w:r>
        <w:rPr>
          <w:b/>
          <w:sz w:val="22"/>
          <w:szCs w:val="22"/>
          <w:lang w:eastAsia="zh-CN"/>
        </w:rPr>
        <w:t xml:space="preserve">(Sex) As stated in problem 7a, we think sex is a confounder, </w:t>
      </w:r>
      <w:r w:rsidR="0009690A">
        <w:rPr>
          <w:b/>
          <w:sz w:val="22"/>
          <w:szCs w:val="22"/>
          <w:lang w:eastAsia="zh-CN"/>
        </w:rPr>
        <w:t xml:space="preserve">whether adjusting sex </w:t>
      </w:r>
      <w:r w:rsidR="0068288B">
        <w:rPr>
          <w:b/>
          <w:sz w:val="22"/>
          <w:szCs w:val="22"/>
          <w:lang w:eastAsia="zh-CN"/>
        </w:rPr>
        <w:t>would add precision</w:t>
      </w:r>
      <w:r w:rsidR="00B92F93">
        <w:rPr>
          <w:b/>
          <w:sz w:val="22"/>
          <w:szCs w:val="22"/>
          <w:lang w:eastAsia="zh-CN"/>
        </w:rPr>
        <w:t xml:space="preserve"> depends on the </w:t>
      </w:r>
      <w:r w:rsidR="0074574C">
        <w:rPr>
          <w:b/>
          <w:sz w:val="22"/>
          <w:szCs w:val="22"/>
          <w:lang w:eastAsia="zh-CN"/>
        </w:rPr>
        <w:t xml:space="preserve">equation </w:t>
      </w:r>
      <w:r w:rsidR="0074574C" w:rsidRPr="008D2363">
        <w:rPr>
          <w:position w:val="-30"/>
        </w:rPr>
        <w:object w:dxaOrig="2380" w:dyaOrig="720" w14:anchorId="75509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8.85pt;height:36pt" o:ole="">
            <v:imagedata r:id="rId11" o:title=""/>
          </v:shape>
          <o:OLEObject Type="Embed" ProgID="Equation.3" ShapeID="_x0000_i1029" DrawAspect="Content" ObjectID="_1358882180" r:id="rId12"/>
        </w:object>
      </w:r>
      <w:r w:rsidR="0074574C">
        <w:rPr>
          <w:position w:val="-30"/>
        </w:rPr>
        <w:t xml:space="preserve">. </w:t>
      </w:r>
    </w:p>
    <w:p w14:paraId="1EB06D63" w14:textId="171E9A1A" w:rsidR="0074574C" w:rsidRDefault="0074574C" w:rsidP="00F42D22">
      <w:pPr>
        <w:autoSpaceDE w:val="0"/>
        <w:autoSpaceDN w:val="0"/>
        <w:adjustRightInd w:val="0"/>
        <w:spacing w:after="120"/>
        <w:ind w:left="720"/>
        <w:rPr>
          <w:b/>
          <w:sz w:val="22"/>
          <w:szCs w:val="22"/>
          <w:lang w:eastAsia="zh-CN"/>
        </w:rPr>
      </w:pPr>
      <w:r>
        <w:rPr>
          <w:b/>
          <w:sz w:val="22"/>
          <w:szCs w:val="22"/>
          <w:lang w:eastAsia="zh-CN"/>
        </w:rPr>
        <w:t>But the equation is hard to e</w:t>
      </w:r>
      <w:r w:rsidR="001B5FD5">
        <w:rPr>
          <w:b/>
          <w:sz w:val="22"/>
          <w:szCs w:val="22"/>
          <w:lang w:eastAsia="zh-CN"/>
        </w:rPr>
        <w:t>valuate in this case.</w:t>
      </w:r>
    </w:p>
    <w:p w14:paraId="2A3C188A" w14:textId="5A579E6B" w:rsidR="00EA334C" w:rsidRDefault="00EA334C" w:rsidP="00F42D22">
      <w:pPr>
        <w:autoSpaceDE w:val="0"/>
        <w:autoSpaceDN w:val="0"/>
        <w:adjustRightInd w:val="0"/>
        <w:spacing w:after="120"/>
        <w:ind w:left="720"/>
        <w:rPr>
          <w:b/>
          <w:sz w:val="22"/>
          <w:szCs w:val="22"/>
          <w:lang w:eastAsia="zh-CN"/>
        </w:rPr>
      </w:pPr>
      <w:r>
        <w:rPr>
          <w:b/>
          <w:noProof/>
          <w:sz w:val="22"/>
          <w:szCs w:val="22"/>
        </w:rPr>
        <w:drawing>
          <wp:inline distT="0" distB="0" distL="0" distR="0" wp14:anchorId="6E655ED0" wp14:editId="41F339A3">
            <wp:extent cx="50292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km.pdf"/>
                    <pic:cNvPicPr/>
                  </pic:nvPicPr>
                  <pic:blipFill>
                    <a:blip r:embed="rId13">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14A47D08" w14:textId="5061F329" w:rsidR="00EA334C" w:rsidRDefault="00EA334C" w:rsidP="00F42D22">
      <w:pPr>
        <w:autoSpaceDE w:val="0"/>
        <w:autoSpaceDN w:val="0"/>
        <w:adjustRightInd w:val="0"/>
        <w:spacing w:after="120"/>
        <w:ind w:left="720"/>
        <w:rPr>
          <w:b/>
          <w:sz w:val="22"/>
          <w:szCs w:val="22"/>
          <w:lang w:eastAsia="zh-CN"/>
        </w:rPr>
      </w:pPr>
      <w:r>
        <w:rPr>
          <w:b/>
          <w:sz w:val="22"/>
          <w:szCs w:val="22"/>
          <w:lang w:eastAsia="zh-CN"/>
        </w:rPr>
        <w:t xml:space="preserve">Figure 4. Kaplan-Meier estimates across groups defined by </w:t>
      </w:r>
      <w:r w:rsidR="00F82FB1">
        <w:rPr>
          <w:b/>
          <w:sz w:val="22"/>
          <w:szCs w:val="22"/>
          <w:lang w:eastAsia="zh-CN"/>
        </w:rPr>
        <w:t>age</w:t>
      </w:r>
    </w:p>
    <w:p w14:paraId="73514E91" w14:textId="77777777" w:rsidR="00927CF6" w:rsidRDefault="00927CF6" w:rsidP="00927CF6">
      <w:pPr>
        <w:numPr>
          <w:ilvl w:val="1"/>
          <w:numId w:val="19"/>
        </w:numPr>
        <w:autoSpaceDE w:val="0"/>
        <w:autoSpaceDN w:val="0"/>
        <w:adjustRightInd w:val="0"/>
        <w:spacing w:after="120"/>
        <w:rPr>
          <w:sz w:val="22"/>
          <w:szCs w:val="22"/>
        </w:rPr>
      </w:pPr>
      <w:r>
        <w:rPr>
          <w:sz w:val="22"/>
          <w:szCs w:val="22"/>
        </w:rPr>
        <w:t>Provide full inference regarding an association between death and bilirubin after adjustment for sex and age.</w:t>
      </w:r>
    </w:p>
    <w:p w14:paraId="519FD891" w14:textId="42428A52" w:rsidR="007B42A5" w:rsidRPr="006628C6" w:rsidRDefault="008664FA" w:rsidP="004F2ABC">
      <w:pPr>
        <w:autoSpaceDE w:val="0"/>
        <w:autoSpaceDN w:val="0"/>
        <w:adjustRightInd w:val="0"/>
        <w:spacing w:after="120"/>
        <w:ind w:left="720"/>
        <w:jc w:val="both"/>
        <w:rPr>
          <w:b/>
          <w:sz w:val="22"/>
          <w:szCs w:val="22"/>
        </w:rPr>
      </w:pPr>
      <w:r w:rsidRPr="006628C6">
        <w:rPr>
          <w:b/>
          <w:sz w:val="22"/>
          <w:szCs w:val="22"/>
        </w:rPr>
        <w:t xml:space="preserve">Ans: Method: </w:t>
      </w:r>
      <w:r w:rsidR="00190D3E" w:rsidRPr="006628C6">
        <w:rPr>
          <w:b/>
          <w:sz w:val="22"/>
          <w:szCs w:val="22"/>
        </w:rPr>
        <w:t xml:space="preserve">106 missing data of sex are omitted from the analysis. </w:t>
      </w:r>
      <w:r w:rsidR="007B42A5" w:rsidRPr="006628C6">
        <w:rPr>
          <w:b/>
          <w:sz w:val="22"/>
          <w:szCs w:val="22"/>
        </w:rPr>
        <w:t xml:space="preserve">Hazards of death are compared across groups defined by </w:t>
      </w:r>
      <w:r w:rsidR="002415EA" w:rsidRPr="006628C6">
        <w:rPr>
          <w:b/>
          <w:sz w:val="22"/>
          <w:szCs w:val="22"/>
        </w:rPr>
        <w:t xml:space="preserve">log (base 2) transformed continuous serum bilirubin, </w:t>
      </w:r>
      <w:r w:rsidR="007B42A5" w:rsidRPr="006628C6">
        <w:rPr>
          <w:b/>
          <w:sz w:val="22"/>
          <w:szCs w:val="22"/>
        </w:rPr>
        <w:t>using proportional hazards regression (robust)</w:t>
      </w:r>
      <w:r w:rsidR="002415EA" w:rsidRPr="006628C6">
        <w:rPr>
          <w:b/>
          <w:sz w:val="22"/>
          <w:szCs w:val="22"/>
        </w:rPr>
        <w:t xml:space="preserve">. </w:t>
      </w:r>
      <w:r w:rsidR="009A54CA" w:rsidRPr="006628C6">
        <w:rPr>
          <w:b/>
          <w:sz w:val="22"/>
          <w:szCs w:val="22"/>
        </w:rPr>
        <w:t>Continuous age and binary sex</w:t>
      </w:r>
      <w:r w:rsidR="0001162B" w:rsidRPr="006628C6">
        <w:rPr>
          <w:b/>
          <w:sz w:val="22"/>
          <w:szCs w:val="22"/>
        </w:rPr>
        <w:t xml:space="preserve"> are also modeled as </w:t>
      </w:r>
      <w:r w:rsidR="009A54CA" w:rsidRPr="006628C6">
        <w:rPr>
          <w:b/>
          <w:sz w:val="22"/>
          <w:szCs w:val="22"/>
        </w:rPr>
        <w:t xml:space="preserve"> the regression </w:t>
      </w:r>
      <w:r w:rsidR="00931002" w:rsidRPr="006628C6">
        <w:rPr>
          <w:b/>
          <w:sz w:val="22"/>
          <w:szCs w:val="22"/>
        </w:rPr>
        <w:t xml:space="preserve">covariate for </w:t>
      </w:r>
      <w:r w:rsidR="00D277F6" w:rsidRPr="006628C6">
        <w:rPr>
          <w:b/>
          <w:sz w:val="22"/>
          <w:szCs w:val="22"/>
        </w:rPr>
        <w:t xml:space="preserve">assess the association between death and bilirubin </w:t>
      </w:r>
      <w:r w:rsidR="002A2E8C" w:rsidRPr="006628C6">
        <w:rPr>
          <w:b/>
          <w:sz w:val="22"/>
          <w:szCs w:val="22"/>
        </w:rPr>
        <w:t>after adjustment for age and sex.</w:t>
      </w:r>
      <w:r w:rsidR="004F2ABC" w:rsidRPr="006628C6">
        <w:rPr>
          <w:b/>
          <w:sz w:val="22"/>
          <w:szCs w:val="22"/>
        </w:rPr>
        <w:t xml:space="preserve"> </w:t>
      </w:r>
      <w:r w:rsidR="007B42A5" w:rsidRPr="006628C6">
        <w:rPr>
          <w:b/>
          <w:sz w:val="22"/>
          <w:szCs w:val="22"/>
        </w:rPr>
        <w:t>Two-sided p value and CI are computed from Wald statistics with the Huber-White sandwich estimator</w:t>
      </w:r>
      <w:r w:rsidR="00130060" w:rsidRPr="006628C6">
        <w:rPr>
          <w:b/>
          <w:sz w:val="22"/>
          <w:szCs w:val="22"/>
        </w:rPr>
        <w:t>.</w:t>
      </w:r>
      <w:r w:rsidR="007B42A5" w:rsidRPr="006628C6">
        <w:rPr>
          <w:b/>
          <w:sz w:val="22"/>
          <w:szCs w:val="22"/>
        </w:rPr>
        <w:t xml:space="preserve"> </w:t>
      </w:r>
    </w:p>
    <w:p w14:paraId="44C195E2" w14:textId="25958154" w:rsidR="007B42A5" w:rsidRDefault="007B42A5" w:rsidP="00F70F29">
      <w:pPr>
        <w:autoSpaceDE w:val="0"/>
        <w:autoSpaceDN w:val="0"/>
        <w:adjustRightInd w:val="0"/>
        <w:spacing w:after="120"/>
        <w:ind w:left="720"/>
        <w:rPr>
          <w:b/>
          <w:sz w:val="22"/>
          <w:szCs w:val="22"/>
        </w:rPr>
      </w:pPr>
      <w:r w:rsidRPr="00730140">
        <w:rPr>
          <w:b/>
          <w:sz w:val="22"/>
          <w:szCs w:val="22"/>
        </w:rPr>
        <w:t xml:space="preserve">Results: The total number of subjects </w:t>
      </w:r>
      <w:r w:rsidR="006628C6">
        <w:rPr>
          <w:b/>
          <w:sz w:val="22"/>
          <w:szCs w:val="22"/>
        </w:rPr>
        <w:t xml:space="preserve">in this analysis </w:t>
      </w:r>
      <w:r w:rsidR="00A23F2F">
        <w:rPr>
          <w:b/>
          <w:sz w:val="22"/>
          <w:szCs w:val="22"/>
        </w:rPr>
        <w:t>is 312</w:t>
      </w:r>
      <w:r w:rsidRPr="00730140">
        <w:rPr>
          <w:b/>
          <w:sz w:val="22"/>
          <w:szCs w:val="22"/>
        </w:rPr>
        <w:t xml:space="preserve"> and total </w:t>
      </w:r>
      <w:r w:rsidR="00310273">
        <w:rPr>
          <w:b/>
          <w:sz w:val="22"/>
          <w:szCs w:val="22"/>
        </w:rPr>
        <w:t>number of observed deaths is 125</w:t>
      </w:r>
      <w:r w:rsidRPr="00730140">
        <w:rPr>
          <w:b/>
          <w:sz w:val="22"/>
          <w:szCs w:val="22"/>
        </w:rPr>
        <w:t>. From proportional hazards regression analysis (robust) modeling</w:t>
      </w:r>
      <w:r w:rsidR="0048436E">
        <w:rPr>
          <w:b/>
          <w:sz w:val="22"/>
          <w:szCs w:val="22"/>
        </w:rPr>
        <w:t xml:space="preserve"> the</w:t>
      </w:r>
      <w:r w:rsidR="0048436E" w:rsidRPr="0048436E">
        <w:rPr>
          <w:b/>
          <w:sz w:val="22"/>
          <w:szCs w:val="22"/>
        </w:rPr>
        <w:t xml:space="preserve"> </w:t>
      </w:r>
      <w:r w:rsidR="0048436E" w:rsidRPr="00730140">
        <w:rPr>
          <w:b/>
          <w:sz w:val="22"/>
          <w:szCs w:val="22"/>
        </w:rPr>
        <w:t>log (base 2) transformed continuous</w:t>
      </w:r>
      <w:r w:rsidRPr="00730140">
        <w:rPr>
          <w:b/>
          <w:sz w:val="22"/>
          <w:szCs w:val="22"/>
        </w:rPr>
        <w:t xml:space="preserve"> bilirubin</w:t>
      </w:r>
      <w:r w:rsidR="00404CE7">
        <w:rPr>
          <w:b/>
          <w:sz w:val="22"/>
          <w:szCs w:val="22"/>
        </w:rPr>
        <w:t xml:space="preserve">, we estimate that </w:t>
      </w:r>
      <w:r w:rsidR="00A17B02">
        <w:rPr>
          <w:b/>
          <w:sz w:val="22"/>
          <w:szCs w:val="22"/>
        </w:rPr>
        <w:t xml:space="preserve">for each </w:t>
      </w:r>
      <w:r w:rsidR="0046720A">
        <w:rPr>
          <w:b/>
          <w:sz w:val="22"/>
          <w:szCs w:val="22"/>
        </w:rPr>
        <w:t xml:space="preserve">doubling </w:t>
      </w:r>
      <w:r w:rsidR="00567390">
        <w:rPr>
          <w:b/>
          <w:sz w:val="22"/>
          <w:szCs w:val="22"/>
        </w:rPr>
        <w:t xml:space="preserve">in serum bilirubin, the hazard </w:t>
      </w:r>
      <w:r w:rsidR="000345FB">
        <w:rPr>
          <w:b/>
          <w:sz w:val="22"/>
          <w:szCs w:val="22"/>
        </w:rPr>
        <w:t xml:space="preserve">is 2.108 times as high as the group with lower serum bilirubin. </w:t>
      </w:r>
      <w:r w:rsidR="00F70F29" w:rsidRPr="00FC0D60">
        <w:rPr>
          <w:b/>
          <w:sz w:val="22"/>
          <w:szCs w:val="22"/>
        </w:rPr>
        <w:t xml:space="preserve">This estimate is highly statistically significant (P &lt; 0.001). A 95% CI suggests that this observation is not unusual if a group that has </w:t>
      </w:r>
      <w:r w:rsidR="00F70F29">
        <w:rPr>
          <w:b/>
          <w:sz w:val="22"/>
          <w:szCs w:val="22"/>
        </w:rPr>
        <w:t xml:space="preserve">a </w:t>
      </w:r>
      <w:r w:rsidR="00F70F29" w:rsidRPr="00FC0D60">
        <w:rPr>
          <w:rFonts w:hint="eastAsia"/>
          <w:b/>
          <w:sz w:val="22"/>
          <w:szCs w:val="22"/>
        </w:rPr>
        <w:t>b</w:t>
      </w:r>
      <w:r w:rsidR="00F70F29" w:rsidRPr="00FC0D60">
        <w:rPr>
          <w:b/>
          <w:sz w:val="22"/>
          <w:szCs w:val="22"/>
        </w:rPr>
        <w:t xml:space="preserve">ilirubin </w:t>
      </w:r>
      <w:r w:rsidR="00F70F29">
        <w:rPr>
          <w:b/>
          <w:sz w:val="22"/>
          <w:szCs w:val="22"/>
        </w:rPr>
        <w:t xml:space="preserve">twice as high as another </w:t>
      </w:r>
      <w:r w:rsidR="00F70F29" w:rsidRPr="00FC0D60">
        <w:rPr>
          <w:b/>
          <w:sz w:val="22"/>
          <w:szCs w:val="22"/>
        </w:rPr>
        <w:t xml:space="preserve">might have risk of death that was anywhere from </w:t>
      </w:r>
      <w:r w:rsidR="009236D4">
        <w:rPr>
          <w:b/>
          <w:sz w:val="22"/>
          <w:szCs w:val="22"/>
        </w:rPr>
        <w:t>1.840 to 2.416</w:t>
      </w:r>
      <w:r w:rsidR="00F70F29">
        <w:rPr>
          <w:b/>
          <w:sz w:val="22"/>
          <w:szCs w:val="22"/>
        </w:rPr>
        <w:t xml:space="preserve"> times as high as </w:t>
      </w:r>
      <w:r w:rsidR="00F70F29" w:rsidRPr="00FC0D60">
        <w:rPr>
          <w:b/>
          <w:sz w:val="22"/>
          <w:szCs w:val="22"/>
        </w:rPr>
        <w:t>the group with the lower serum bilirubin</w:t>
      </w:r>
      <w:r w:rsidR="00395755">
        <w:rPr>
          <w:b/>
          <w:sz w:val="22"/>
          <w:szCs w:val="22"/>
        </w:rPr>
        <w:t>.</w:t>
      </w:r>
    </w:p>
    <w:p w14:paraId="11401647" w14:textId="494240A2" w:rsidR="00927CF6" w:rsidRDefault="00927CF6" w:rsidP="00927CF6">
      <w:pPr>
        <w:numPr>
          <w:ilvl w:val="0"/>
          <w:numId w:val="19"/>
        </w:numPr>
        <w:autoSpaceDE w:val="0"/>
        <w:autoSpaceDN w:val="0"/>
        <w:adjustRightInd w:val="0"/>
        <w:spacing w:after="120"/>
        <w:rPr>
          <w:sz w:val="22"/>
          <w:szCs w:val="22"/>
        </w:rPr>
      </w:pPr>
      <w:r>
        <w:rPr>
          <w:sz w:val="22"/>
          <w:szCs w:val="22"/>
        </w:rPr>
        <w:t xml:space="preserve">Note that in the above analyses, we completely ignored the intervention in the RCT? What impact could this </w:t>
      </w:r>
      <w:r w:rsidR="00E874E5">
        <w:rPr>
          <w:sz w:val="22"/>
          <w:szCs w:val="22"/>
        </w:rPr>
        <w:t>have</w:t>
      </w:r>
      <w:r>
        <w:rPr>
          <w:sz w:val="22"/>
          <w:szCs w:val="22"/>
        </w:rPr>
        <w:t xml:space="preserve"> had on our results?</w:t>
      </w:r>
    </w:p>
    <w:p w14:paraId="1617D179" w14:textId="4AD247CB" w:rsidR="00D90EDE" w:rsidRPr="002A5402" w:rsidRDefault="00FF5AD4" w:rsidP="002A5402">
      <w:pPr>
        <w:autoSpaceDE w:val="0"/>
        <w:autoSpaceDN w:val="0"/>
        <w:adjustRightInd w:val="0"/>
        <w:spacing w:after="120"/>
        <w:ind w:left="720"/>
        <w:rPr>
          <w:b/>
          <w:sz w:val="22"/>
          <w:szCs w:val="22"/>
        </w:rPr>
      </w:pPr>
      <w:r w:rsidRPr="002A5402">
        <w:rPr>
          <w:b/>
          <w:sz w:val="22"/>
          <w:szCs w:val="22"/>
        </w:rPr>
        <w:t xml:space="preserve">Ans: </w:t>
      </w:r>
      <w:r w:rsidR="006979B1" w:rsidRPr="002A5402">
        <w:rPr>
          <w:b/>
          <w:sz w:val="22"/>
          <w:szCs w:val="22"/>
        </w:rPr>
        <w:t>Inte</w:t>
      </w:r>
      <w:r w:rsidR="00D06DA0" w:rsidRPr="002A5402">
        <w:rPr>
          <w:b/>
          <w:sz w:val="22"/>
          <w:szCs w:val="22"/>
        </w:rPr>
        <w:t xml:space="preserve">rvention in the RCT is conceptually </w:t>
      </w:r>
      <w:r w:rsidR="0098614B" w:rsidRPr="002A5402">
        <w:rPr>
          <w:b/>
          <w:sz w:val="22"/>
          <w:szCs w:val="22"/>
        </w:rPr>
        <w:t>independent with</w:t>
      </w:r>
      <w:r w:rsidR="00D06DA0" w:rsidRPr="002A5402">
        <w:rPr>
          <w:b/>
          <w:sz w:val="22"/>
          <w:szCs w:val="22"/>
        </w:rPr>
        <w:t xml:space="preserve"> </w:t>
      </w:r>
      <w:r w:rsidR="0098614B" w:rsidRPr="002A5402">
        <w:rPr>
          <w:b/>
          <w:sz w:val="22"/>
          <w:szCs w:val="22"/>
        </w:rPr>
        <w:t xml:space="preserve">the serum bilirubin </w:t>
      </w:r>
      <w:r w:rsidR="00B529A9" w:rsidRPr="002A5402">
        <w:rPr>
          <w:b/>
          <w:sz w:val="22"/>
          <w:szCs w:val="22"/>
        </w:rPr>
        <w:t>concentration,</w:t>
      </w:r>
      <w:r w:rsidR="0098614B" w:rsidRPr="002A5402">
        <w:rPr>
          <w:b/>
          <w:sz w:val="22"/>
          <w:szCs w:val="22"/>
        </w:rPr>
        <w:t xml:space="preserve"> as the </w:t>
      </w:r>
      <w:r w:rsidR="00B529A9" w:rsidRPr="002A5402">
        <w:rPr>
          <w:b/>
          <w:sz w:val="22"/>
          <w:szCs w:val="22"/>
        </w:rPr>
        <w:t>subjects</w:t>
      </w:r>
      <w:r w:rsidR="00B76042" w:rsidRPr="002A5402">
        <w:rPr>
          <w:b/>
          <w:sz w:val="22"/>
          <w:szCs w:val="22"/>
        </w:rPr>
        <w:t xml:space="preserve"> with different bilirubin should be randomized to receive </w:t>
      </w:r>
      <w:r w:rsidR="00092948" w:rsidRPr="002A5402">
        <w:rPr>
          <w:b/>
          <w:sz w:val="22"/>
          <w:szCs w:val="22"/>
        </w:rPr>
        <w:t>treatment or control in the RCT.</w:t>
      </w:r>
      <w:r w:rsidR="00E54A87" w:rsidRPr="002A5402">
        <w:rPr>
          <w:b/>
          <w:sz w:val="22"/>
          <w:szCs w:val="22"/>
        </w:rPr>
        <w:t xml:space="preserve"> </w:t>
      </w:r>
      <w:r w:rsidR="00CC1F6B" w:rsidRPr="002A5402">
        <w:rPr>
          <w:rFonts w:hint="eastAsia"/>
          <w:b/>
          <w:sz w:val="22"/>
          <w:szCs w:val="22"/>
        </w:rPr>
        <w:t xml:space="preserve">But it's still possible that we have </w:t>
      </w:r>
      <w:r w:rsidR="00DF6822" w:rsidRPr="002A5402">
        <w:rPr>
          <w:rFonts w:hint="eastAsia"/>
          <w:b/>
          <w:sz w:val="22"/>
          <w:szCs w:val="22"/>
        </w:rPr>
        <w:t>different distribution</w:t>
      </w:r>
      <w:r w:rsidR="00F9380D">
        <w:rPr>
          <w:b/>
          <w:sz w:val="22"/>
          <w:szCs w:val="22"/>
        </w:rPr>
        <w:t>s</w:t>
      </w:r>
      <w:r w:rsidR="00DF6822" w:rsidRPr="002A5402">
        <w:rPr>
          <w:rFonts w:hint="eastAsia"/>
          <w:b/>
          <w:sz w:val="22"/>
          <w:szCs w:val="22"/>
        </w:rPr>
        <w:t xml:space="preserve"> of serum bilirubin level </w:t>
      </w:r>
      <w:r w:rsidR="00936256">
        <w:rPr>
          <w:b/>
          <w:sz w:val="22"/>
          <w:szCs w:val="22"/>
        </w:rPr>
        <w:t xml:space="preserve">across </w:t>
      </w:r>
      <w:r w:rsidR="00E56C83">
        <w:rPr>
          <w:b/>
          <w:sz w:val="22"/>
          <w:szCs w:val="22"/>
        </w:rPr>
        <w:t>the intervention arms.</w:t>
      </w:r>
      <w:r w:rsidR="00B93A34">
        <w:rPr>
          <w:b/>
          <w:sz w:val="22"/>
          <w:szCs w:val="22"/>
        </w:rPr>
        <w:t xml:space="preserve"> </w:t>
      </w:r>
      <w:r w:rsidR="005D19D5">
        <w:rPr>
          <w:b/>
          <w:sz w:val="22"/>
          <w:szCs w:val="22"/>
        </w:rPr>
        <w:t xml:space="preserve">(Actually the </w:t>
      </w:r>
      <w:r w:rsidR="00C567F2">
        <w:rPr>
          <w:b/>
          <w:sz w:val="22"/>
          <w:szCs w:val="22"/>
        </w:rPr>
        <w:t xml:space="preserve">mean bilirubin in treatment arm is </w:t>
      </w:r>
      <w:r w:rsidR="00E927B8">
        <w:rPr>
          <w:b/>
          <w:sz w:val="22"/>
          <w:szCs w:val="22"/>
        </w:rPr>
        <w:t xml:space="preserve">2.881 mg/dL with SD 3.639 mg/dL, while the mean bilirubin in the placebo arm is </w:t>
      </w:r>
      <w:r w:rsidR="00D33F1C">
        <w:rPr>
          <w:b/>
          <w:sz w:val="22"/>
          <w:szCs w:val="22"/>
        </w:rPr>
        <w:t xml:space="preserve">3.667 mg/dL with SD </w:t>
      </w:r>
      <w:r w:rsidR="00141177">
        <w:rPr>
          <w:b/>
          <w:sz w:val="22"/>
          <w:szCs w:val="22"/>
        </w:rPr>
        <w:t>5.293 mg/dL</w:t>
      </w:r>
      <w:r w:rsidR="00D33751">
        <w:rPr>
          <w:b/>
          <w:sz w:val="22"/>
          <w:szCs w:val="22"/>
        </w:rPr>
        <w:t>.</w:t>
      </w:r>
      <w:r w:rsidR="005D19D5">
        <w:rPr>
          <w:b/>
          <w:sz w:val="22"/>
          <w:szCs w:val="22"/>
        </w:rPr>
        <w:t>)</w:t>
      </w:r>
    </w:p>
    <w:p w14:paraId="59882F9F" w14:textId="5897DB20" w:rsidR="00C35845" w:rsidRDefault="00B93A34" w:rsidP="002A5402">
      <w:pPr>
        <w:autoSpaceDE w:val="0"/>
        <w:autoSpaceDN w:val="0"/>
        <w:adjustRightInd w:val="0"/>
        <w:spacing w:after="120"/>
        <w:ind w:left="720"/>
        <w:rPr>
          <w:b/>
          <w:sz w:val="22"/>
          <w:szCs w:val="22"/>
        </w:rPr>
      </w:pPr>
      <w:r>
        <w:rPr>
          <w:b/>
          <w:sz w:val="22"/>
          <w:szCs w:val="22"/>
        </w:rPr>
        <w:t>Also</w:t>
      </w:r>
      <w:r w:rsidR="00E54A87" w:rsidRPr="002A5402">
        <w:rPr>
          <w:b/>
          <w:sz w:val="22"/>
          <w:szCs w:val="22"/>
        </w:rPr>
        <w:t xml:space="preserve"> intervention </w:t>
      </w:r>
      <w:r w:rsidR="003D3825" w:rsidRPr="002A5402">
        <w:rPr>
          <w:b/>
          <w:sz w:val="22"/>
          <w:szCs w:val="22"/>
        </w:rPr>
        <w:t xml:space="preserve">is conceptually </w:t>
      </w:r>
      <w:r w:rsidR="004F2C39" w:rsidRPr="002A5402">
        <w:rPr>
          <w:b/>
          <w:sz w:val="22"/>
          <w:szCs w:val="22"/>
        </w:rPr>
        <w:t xml:space="preserve">associated with </w:t>
      </w:r>
      <w:r w:rsidR="001B64D5" w:rsidRPr="002A5402">
        <w:rPr>
          <w:b/>
          <w:sz w:val="22"/>
          <w:szCs w:val="22"/>
        </w:rPr>
        <w:t xml:space="preserve">the response, all-cause death, </w:t>
      </w:r>
      <w:r w:rsidR="00066937" w:rsidRPr="002A5402">
        <w:rPr>
          <w:b/>
          <w:sz w:val="22"/>
          <w:szCs w:val="22"/>
        </w:rPr>
        <w:t xml:space="preserve">in a causal way. </w:t>
      </w:r>
      <w:r w:rsidR="00092948" w:rsidRPr="002A5402">
        <w:rPr>
          <w:b/>
          <w:sz w:val="22"/>
          <w:szCs w:val="22"/>
        </w:rPr>
        <w:t xml:space="preserve"> </w:t>
      </w:r>
    </w:p>
    <w:p w14:paraId="54BE37D6" w14:textId="578244DA" w:rsidR="00C35845" w:rsidRDefault="00C35845" w:rsidP="002A5402">
      <w:pPr>
        <w:autoSpaceDE w:val="0"/>
        <w:autoSpaceDN w:val="0"/>
        <w:adjustRightInd w:val="0"/>
        <w:spacing w:after="120"/>
        <w:ind w:left="720"/>
        <w:rPr>
          <w:b/>
          <w:sz w:val="22"/>
          <w:szCs w:val="22"/>
        </w:rPr>
      </w:pPr>
      <w:r>
        <w:rPr>
          <w:b/>
          <w:sz w:val="22"/>
          <w:szCs w:val="22"/>
        </w:rPr>
        <w:t xml:space="preserve">Intervention in the RCT </w:t>
      </w:r>
      <w:r w:rsidR="005F7F86">
        <w:rPr>
          <w:b/>
          <w:sz w:val="22"/>
          <w:szCs w:val="22"/>
        </w:rPr>
        <w:t xml:space="preserve">could </w:t>
      </w:r>
      <w:r w:rsidR="00E874E5">
        <w:rPr>
          <w:b/>
          <w:sz w:val="22"/>
          <w:szCs w:val="22"/>
        </w:rPr>
        <w:t xml:space="preserve">have </w:t>
      </w:r>
      <w:r w:rsidR="005F7F86">
        <w:rPr>
          <w:b/>
          <w:sz w:val="22"/>
          <w:szCs w:val="22"/>
        </w:rPr>
        <w:t xml:space="preserve">confounded </w:t>
      </w:r>
      <w:r w:rsidR="00352573">
        <w:rPr>
          <w:b/>
          <w:sz w:val="22"/>
          <w:szCs w:val="22"/>
        </w:rPr>
        <w:t>our results.</w:t>
      </w:r>
    </w:p>
    <w:p w14:paraId="657A2DF6" w14:textId="3B13D102" w:rsidR="00D97AC0" w:rsidRDefault="009C0F6D" w:rsidP="002A5402">
      <w:pPr>
        <w:autoSpaceDE w:val="0"/>
        <w:autoSpaceDN w:val="0"/>
        <w:adjustRightInd w:val="0"/>
        <w:spacing w:after="120"/>
        <w:ind w:left="720"/>
        <w:rPr>
          <w:b/>
          <w:sz w:val="22"/>
          <w:szCs w:val="22"/>
        </w:rPr>
      </w:pPr>
      <w:r>
        <w:rPr>
          <w:b/>
          <w:sz w:val="22"/>
          <w:szCs w:val="22"/>
        </w:rPr>
        <w:t xml:space="preserve">But in the actual situation, </w:t>
      </w:r>
      <w:r w:rsidR="00D66C27">
        <w:rPr>
          <w:b/>
          <w:sz w:val="22"/>
          <w:szCs w:val="22"/>
        </w:rPr>
        <w:t xml:space="preserve">both </w:t>
      </w:r>
      <w:r w:rsidR="00574D7F">
        <w:rPr>
          <w:b/>
          <w:sz w:val="22"/>
          <w:szCs w:val="22"/>
        </w:rPr>
        <w:t>of</w:t>
      </w:r>
      <w:r w:rsidR="00D66C27">
        <w:rPr>
          <w:b/>
          <w:sz w:val="22"/>
          <w:szCs w:val="22"/>
        </w:rPr>
        <w:t xml:space="preserve"> treatment or placebo</w:t>
      </w:r>
      <w:r w:rsidR="00574D7F">
        <w:rPr>
          <w:b/>
          <w:sz w:val="22"/>
          <w:szCs w:val="22"/>
        </w:rPr>
        <w:t xml:space="preserve"> in the RCT</w:t>
      </w:r>
      <w:r w:rsidR="00D66C27">
        <w:rPr>
          <w:b/>
          <w:sz w:val="22"/>
          <w:szCs w:val="22"/>
        </w:rPr>
        <w:t xml:space="preserve"> </w:t>
      </w:r>
      <w:r w:rsidR="009A6A64">
        <w:rPr>
          <w:b/>
          <w:sz w:val="22"/>
          <w:szCs w:val="22"/>
        </w:rPr>
        <w:t xml:space="preserve">have very similar </w:t>
      </w:r>
      <w:r w:rsidR="000D6685">
        <w:rPr>
          <w:b/>
          <w:sz w:val="22"/>
          <w:szCs w:val="22"/>
        </w:rPr>
        <w:t>K</w:t>
      </w:r>
      <w:r w:rsidR="00B6250A">
        <w:rPr>
          <w:b/>
          <w:sz w:val="22"/>
          <w:szCs w:val="22"/>
        </w:rPr>
        <w:t xml:space="preserve">aplan </w:t>
      </w:r>
      <w:r w:rsidR="000D6685">
        <w:rPr>
          <w:b/>
          <w:sz w:val="22"/>
          <w:szCs w:val="22"/>
        </w:rPr>
        <w:t>M</w:t>
      </w:r>
      <w:r w:rsidR="00B6250A">
        <w:rPr>
          <w:b/>
          <w:sz w:val="22"/>
          <w:szCs w:val="22"/>
        </w:rPr>
        <w:t>eier curve</w:t>
      </w:r>
      <w:r w:rsidR="003515B7">
        <w:rPr>
          <w:b/>
          <w:sz w:val="22"/>
          <w:szCs w:val="22"/>
        </w:rPr>
        <w:t xml:space="preserve"> (figure 5)</w:t>
      </w:r>
      <w:r w:rsidR="005E09DB">
        <w:rPr>
          <w:b/>
          <w:sz w:val="22"/>
          <w:szCs w:val="22"/>
        </w:rPr>
        <w:t>. A</w:t>
      </w:r>
      <w:r w:rsidR="00574D7F">
        <w:rPr>
          <w:b/>
          <w:sz w:val="22"/>
          <w:szCs w:val="22"/>
        </w:rPr>
        <w:t xml:space="preserve">nd </w:t>
      </w:r>
      <w:r w:rsidR="005E09DB">
        <w:rPr>
          <w:b/>
          <w:sz w:val="22"/>
          <w:szCs w:val="22"/>
        </w:rPr>
        <w:t xml:space="preserve">from </w:t>
      </w:r>
      <w:r w:rsidR="000D6685">
        <w:rPr>
          <w:b/>
          <w:sz w:val="22"/>
          <w:szCs w:val="22"/>
        </w:rPr>
        <w:t xml:space="preserve">the </w:t>
      </w:r>
      <w:r w:rsidR="00574D7F">
        <w:rPr>
          <w:b/>
          <w:sz w:val="22"/>
          <w:szCs w:val="22"/>
        </w:rPr>
        <w:t xml:space="preserve">proportional </w:t>
      </w:r>
      <w:r w:rsidR="0039006F">
        <w:rPr>
          <w:b/>
          <w:sz w:val="22"/>
          <w:szCs w:val="22"/>
        </w:rPr>
        <w:t>hazard</w:t>
      </w:r>
      <w:r w:rsidR="00574D7F">
        <w:rPr>
          <w:b/>
          <w:sz w:val="22"/>
          <w:szCs w:val="22"/>
        </w:rPr>
        <w:t xml:space="preserve"> regression</w:t>
      </w:r>
      <w:r w:rsidR="00817BB5">
        <w:rPr>
          <w:b/>
          <w:sz w:val="22"/>
          <w:szCs w:val="22"/>
        </w:rPr>
        <w:t>, the</w:t>
      </w:r>
      <w:r w:rsidR="00574D7F">
        <w:rPr>
          <w:b/>
          <w:sz w:val="22"/>
          <w:szCs w:val="22"/>
        </w:rPr>
        <w:t xml:space="preserve"> </w:t>
      </w:r>
      <w:r w:rsidR="005E09DB">
        <w:rPr>
          <w:b/>
          <w:sz w:val="22"/>
          <w:szCs w:val="22"/>
        </w:rPr>
        <w:t>estimate</w:t>
      </w:r>
      <w:r w:rsidR="00817BB5">
        <w:rPr>
          <w:b/>
          <w:sz w:val="22"/>
          <w:szCs w:val="22"/>
        </w:rPr>
        <w:t xml:space="preserve">d hazard ratio comparing treatment arm to placebo arms is </w:t>
      </w:r>
      <w:r w:rsidR="00505F37">
        <w:rPr>
          <w:b/>
          <w:sz w:val="22"/>
          <w:szCs w:val="22"/>
        </w:rPr>
        <w:t xml:space="preserve">0.9448 with </w:t>
      </w:r>
      <w:r w:rsidR="00CA0949">
        <w:rPr>
          <w:b/>
          <w:sz w:val="22"/>
          <w:szCs w:val="22"/>
        </w:rPr>
        <w:t xml:space="preserve">a </w:t>
      </w:r>
      <w:r w:rsidR="00505F37">
        <w:rPr>
          <w:b/>
          <w:sz w:val="22"/>
          <w:szCs w:val="22"/>
        </w:rPr>
        <w:t xml:space="preserve">two-sided p value 0.752. </w:t>
      </w:r>
      <w:r w:rsidR="000C5F32">
        <w:rPr>
          <w:b/>
          <w:sz w:val="22"/>
          <w:szCs w:val="22"/>
        </w:rPr>
        <w:t xml:space="preserve">It </w:t>
      </w:r>
      <w:r w:rsidR="006B2503">
        <w:rPr>
          <w:b/>
          <w:sz w:val="22"/>
          <w:szCs w:val="22"/>
        </w:rPr>
        <w:t>suggests</w:t>
      </w:r>
      <w:r w:rsidR="00E41B9C">
        <w:rPr>
          <w:b/>
          <w:sz w:val="22"/>
          <w:szCs w:val="22"/>
        </w:rPr>
        <w:t xml:space="preserve"> that the intervention </w:t>
      </w:r>
      <w:r w:rsidR="00E52ADD">
        <w:rPr>
          <w:b/>
          <w:sz w:val="22"/>
          <w:szCs w:val="22"/>
        </w:rPr>
        <w:t xml:space="preserve">is </w:t>
      </w:r>
      <w:r w:rsidR="000C5F32">
        <w:rPr>
          <w:b/>
          <w:sz w:val="22"/>
          <w:szCs w:val="22"/>
        </w:rPr>
        <w:t>not</w:t>
      </w:r>
      <w:r w:rsidR="00E41B9C">
        <w:rPr>
          <w:b/>
          <w:sz w:val="22"/>
          <w:szCs w:val="22"/>
        </w:rPr>
        <w:t xml:space="preserve"> </w:t>
      </w:r>
      <w:r w:rsidR="007D25DB">
        <w:rPr>
          <w:b/>
          <w:sz w:val="22"/>
          <w:szCs w:val="22"/>
        </w:rPr>
        <w:t xml:space="preserve">associated </w:t>
      </w:r>
      <w:r w:rsidR="00CB3037">
        <w:rPr>
          <w:b/>
          <w:sz w:val="22"/>
          <w:szCs w:val="22"/>
        </w:rPr>
        <w:t xml:space="preserve">with </w:t>
      </w:r>
      <w:r w:rsidR="00F21C87">
        <w:rPr>
          <w:b/>
          <w:sz w:val="22"/>
          <w:szCs w:val="22"/>
        </w:rPr>
        <w:t>all-cause mortality</w:t>
      </w:r>
      <w:r w:rsidR="007954FA">
        <w:rPr>
          <w:b/>
          <w:sz w:val="22"/>
          <w:szCs w:val="22"/>
        </w:rPr>
        <w:t xml:space="preserve">. Hence, </w:t>
      </w:r>
      <w:r w:rsidR="001155BB">
        <w:rPr>
          <w:b/>
          <w:sz w:val="22"/>
          <w:szCs w:val="22"/>
        </w:rPr>
        <w:t xml:space="preserve">I believe that </w:t>
      </w:r>
      <w:r w:rsidR="00336755">
        <w:rPr>
          <w:b/>
          <w:sz w:val="22"/>
          <w:szCs w:val="22"/>
        </w:rPr>
        <w:t>intervention in the RCT</w:t>
      </w:r>
      <w:r w:rsidR="003C15D0">
        <w:rPr>
          <w:b/>
          <w:sz w:val="22"/>
          <w:szCs w:val="22"/>
        </w:rPr>
        <w:t xml:space="preserve"> act</w:t>
      </w:r>
      <w:r w:rsidR="00EB1CFA">
        <w:rPr>
          <w:b/>
          <w:sz w:val="22"/>
          <w:szCs w:val="22"/>
        </w:rPr>
        <w:t>s</w:t>
      </w:r>
      <w:r w:rsidR="003C15D0">
        <w:rPr>
          <w:b/>
          <w:sz w:val="22"/>
          <w:szCs w:val="22"/>
        </w:rPr>
        <w:t xml:space="preserve"> as </w:t>
      </w:r>
      <w:r w:rsidR="006E2DCB">
        <w:rPr>
          <w:b/>
          <w:sz w:val="22"/>
          <w:szCs w:val="22"/>
        </w:rPr>
        <w:t>a</w:t>
      </w:r>
      <w:r w:rsidR="006C4CA0">
        <w:rPr>
          <w:b/>
          <w:sz w:val="22"/>
          <w:szCs w:val="22"/>
        </w:rPr>
        <w:t xml:space="preserve"> </w:t>
      </w:r>
      <w:r w:rsidR="006925B0">
        <w:rPr>
          <w:b/>
          <w:sz w:val="22"/>
          <w:szCs w:val="22"/>
        </w:rPr>
        <w:t>variation inflator</w:t>
      </w:r>
      <w:r w:rsidR="00EE1466">
        <w:rPr>
          <w:b/>
          <w:sz w:val="22"/>
          <w:szCs w:val="22"/>
        </w:rPr>
        <w:t xml:space="preserve"> in our analysis</w:t>
      </w:r>
      <w:bookmarkStart w:id="0" w:name="_GoBack"/>
      <w:bookmarkEnd w:id="0"/>
      <w:r w:rsidR="006925B0">
        <w:rPr>
          <w:b/>
          <w:sz w:val="22"/>
          <w:szCs w:val="22"/>
        </w:rPr>
        <w:t>.</w:t>
      </w:r>
    </w:p>
    <w:p w14:paraId="15C7D59F" w14:textId="4F1061B9" w:rsidR="00E52ADD" w:rsidRDefault="006E2DCB" w:rsidP="002A5402">
      <w:pPr>
        <w:autoSpaceDE w:val="0"/>
        <w:autoSpaceDN w:val="0"/>
        <w:adjustRightInd w:val="0"/>
        <w:spacing w:after="120"/>
        <w:ind w:left="720"/>
        <w:rPr>
          <w:b/>
          <w:sz w:val="22"/>
          <w:szCs w:val="22"/>
        </w:rPr>
      </w:pPr>
      <w:r>
        <w:rPr>
          <w:b/>
          <w:noProof/>
          <w:sz w:val="22"/>
          <w:szCs w:val="22"/>
        </w:rPr>
        <w:drawing>
          <wp:inline distT="0" distB="0" distL="0" distR="0" wp14:anchorId="4281D8BD" wp14:editId="0A649F08">
            <wp:extent cx="50292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t-km.pdf"/>
                    <pic:cNvPicPr/>
                  </pic:nvPicPr>
                  <pic:blipFill>
                    <a:blip r:embed="rId14">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3AC15879" w14:textId="7D9767C0" w:rsidR="007C2024" w:rsidRPr="002A5402" w:rsidRDefault="007C2024" w:rsidP="002A5402">
      <w:pPr>
        <w:autoSpaceDE w:val="0"/>
        <w:autoSpaceDN w:val="0"/>
        <w:adjustRightInd w:val="0"/>
        <w:spacing w:after="120"/>
        <w:ind w:left="720"/>
        <w:rPr>
          <w:b/>
          <w:sz w:val="22"/>
          <w:szCs w:val="22"/>
        </w:rPr>
      </w:pPr>
      <w:r>
        <w:rPr>
          <w:b/>
          <w:sz w:val="22"/>
          <w:szCs w:val="22"/>
        </w:rPr>
        <w:t xml:space="preserve">Figure 5. </w:t>
      </w:r>
      <w:r w:rsidR="00A43CE3">
        <w:rPr>
          <w:b/>
          <w:sz w:val="22"/>
          <w:szCs w:val="22"/>
          <w:lang w:eastAsia="zh-CN"/>
        </w:rPr>
        <w:t xml:space="preserve">Kaplan-Meier estimates across groups defined by </w:t>
      </w:r>
      <w:r w:rsidR="003968E5">
        <w:rPr>
          <w:b/>
          <w:sz w:val="22"/>
          <w:szCs w:val="22"/>
          <w:lang w:eastAsia="zh-CN"/>
        </w:rPr>
        <w:t>intervention in the RCT</w:t>
      </w:r>
    </w:p>
    <w:sectPr w:rsidR="007C2024" w:rsidRPr="002A5402" w:rsidSect="00705ECB">
      <w:headerReference w:type="default" r:id="rId15"/>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CCC3F" w14:textId="77777777" w:rsidR="006E2DCB" w:rsidRDefault="006E2DCB">
      <w:r>
        <w:separator/>
      </w:r>
    </w:p>
  </w:endnote>
  <w:endnote w:type="continuationSeparator" w:id="0">
    <w:p w14:paraId="19B45483" w14:textId="77777777" w:rsidR="006E2DCB" w:rsidRDefault="006E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79289" w14:textId="77777777" w:rsidR="006E2DCB" w:rsidRDefault="006E2DCB">
      <w:r>
        <w:separator/>
      </w:r>
    </w:p>
  </w:footnote>
  <w:footnote w:type="continuationSeparator" w:id="0">
    <w:p w14:paraId="0195802A" w14:textId="77777777" w:rsidR="006E2DCB" w:rsidRDefault="006E2D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08E10" w14:textId="77777777" w:rsidR="006E2DCB" w:rsidRDefault="006E2DCB" w:rsidP="002F0282">
    <w:pPr>
      <w:pStyle w:val="Header"/>
    </w:pPr>
    <w:r>
      <w:t>Biost 518 / 515, Winter 2015</w:t>
    </w:r>
    <w:r>
      <w:tab/>
      <w:t>Homework #4</w:t>
    </w:r>
    <w:r>
      <w:tab/>
      <w:t xml:space="preserve">February 2,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EE1466">
      <w:rPr>
        <w:noProof/>
        <w:snapToGrid w:val="0"/>
      </w:rPr>
      <w:t>9</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EE1466">
      <w:rPr>
        <w:noProof/>
        <w:snapToGrid w:val="0"/>
      </w:rPr>
      <w:t>9</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9"/>
  </w:num>
  <w:num w:numId="3">
    <w:abstractNumId w:val="11"/>
  </w:num>
  <w:num w:numId="4">
    <w:abstractNumId w:val="3"/>
  </w:num>
  <w:num w:numId="5">
    <w:abstractNumId w:val="17"/>
  </w:num>
  <w:num w:numId="6">
    <w:abstractNumId w:val="19"/>
  </w:num>
  <w:num w:numId="7">
    <w:abstractNumId w:val="10"/>
  </w:num>
  <w:num w:numId="8">
    <w:abstractNumId w:val="12"/>
  </w:num>
  <w:num w:numId="9">
    <w:abstractNumId w:val="8"/>
  </w:num>
  <w:num w:numId="10">
    <w:abstractNumId w:val="2"/>
  </w:num>
  <w:num w:numId="11">
    <w:abstractNumId w:val="14"/>
  </w:num>
  <w:num w:numId="12">
    <w:abstractNumId w:val="7"/>
  </w:num>
  <w:num w:numId="13">
    <w:abstractNumId w:val="13"/>
  </w:num>
  <w:num w:numId="14">
    <w:abstractNumId w:val="16"/>
  </w:num>
  <w:num w:numId="15">
    <w:abstractNumId w:val="1"/>
  </w:num>
  <w:num w:numId="16">
    <w:abstractNumId w:val="6"/>
  </w:num>
  <w:num w:numId="17">
    <w:abstractNumId w:val="4"/>
  </w:num>
  <w:num w:numId="18">
    <w:abstractNumId w:val="15"/>
  </w:num>
  <w:num w:numId="19">
    <w:abstractNumId w:val="18"/>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04FD4"/>
    <w:rsid w:val="00007371"/>
    <w:rsid w:val="0001162B"/>
    <w:rsid w:val="000147C8"/>
    <w:rsid w:val="000169A6"/>
    <w:rsid w:val="00017C22"/>
    <w:rsid w:val="00021A79"/>
    <w:rsid w:val="00021C01"/>
    <w:rsid w:val="00025176"/>
    <w:rsid w:val="000263C2"/>
    <w:rsid w:val="00030F10"/>
    <w:rsid w:val="00032AF9"/>
    <w:rsid w:val="00033877"/>
    <w:rsid w:val="000345FB"/>
    <w:rsid w:val="0003558D"/>
    <w:rsid w:val="00036078"/>
    <w:rsid w:val="000415AE"/>
    <w:rsid w:val="00043183"/>
    <w:rsid w:val="0004432C"/>
    <w:rsid w:val="0004500D"/>
    <w:rsid w:val="00045B96"/>
    <w:rsid w:val="00045C2C"/>
    <w:rsid w:val="0004711A"/>
    <w:rsid w:val="00054A42"/>
    <w:rsid w:val="00056C41"/>
    <w:rsid w:val="0005700F"/>
    <w:rsid w:val="00060C13"/>
    <w:rsid w:val="00062CCC"/>
    <w:rsid w:val="0006333F"/>
    <w:rsid w:val="00066937"/>
    <w:rsid w:val="00067704"/>
    <w:rsid w:val="000728F2"/>
    <w:rsid w:val="00077F94"/>
    <w:rsid w:val="000817A7"/>
    <w:rsid w:val="0008233A"/>
    <w:rsid w:val="00085B26"/>
    <w:rsid w:val="00086A6F"/>
    <w:rsid w:val="00092948"/>
    <w:rsid w:val="000946F9"/>
    <w:rsid w:val="00095B48"/>
    <w:rsid w:val="00096513"/>
    <w:rsid w:val="0009690A"/>
    <w:rsid w:val="000A082D"/>
    <w:rsid w:val="000A3E09"/>
    <w:rsid w:val="000B4149"/>
    <w:rsid w:val="000B4490"/>
    <w:rsid w:val="000C42C0"/>
    <w:rsid w:val="000C5164"/>
    <w:rsid w:val="000C57F4"/>
    <w:rsid w:val="000C5F32"/>
    <w:rsid w:val="000D3D1E"/>
    <w:rsid w:val="000D6685"/>
    <w:rsid w:val="000D79B5"/>
    <w:rsid w:val="000E3089"/>
    <w:rsid w:val="000E6D69"/>
    <w:rsid w:val="000F3F57"/>
    <w:rsid w:val="000F4E3C"/>
    <w:rsid w:val="000F52B6"/>
    <w:rsid w:val="000F5FC1"/>
    <w:rsid w:val="00100762"/>
    <w:rsid w:val="001020B5"/>
    <w:rsid w:val="0010428A"/>
    <w:rsid w:val="0010472F"/>
    <w:rsid w:val="00104865"/>
    <w:rsid w:val="001055AD"/>
    <w:rsid w:val="00113623"/>
    <w:rsid w:val="001140C5"/>
    <w:rsid w:val="001155BB"/>
    <w:rsid w:val="0011582F"/>
    <w:rsid w:val="00115B08"/>
    <w:rsid w:val="00122836"/>
    <w:rsid w:val="00123333"/>
    <w:rsid w:val="00124746"/>
    <w:rsid w:val="00125DD5"/>
    <w:rsid w:val="0012708F"/>
    <w:rsid w:val="00130060"/>
    <w:rsid w:val="0013104C"/>
    <w:rsid w:val="00132AEC"/>
    <w:rsid w:val="00132BA1"/>
    <w:rsid w:val="00132DC1"/>
    <w:rsid w:val="001359B3"/>
    <w:rsid w:val="00135B0D"/>
    <w:rsid w:val="0013654B"/>
    <w:rsid w:val="00140EC9"/>
    <w:rsid w:val="00141177"/>
    <w:rsid w:val="001458AF"/>
    <w:rsid w:val="001463F8"/>
    <w:rsid w:val="00151AA8"/>
    <w:rsid w:val="001529E5"/>
    <w:rsid w:val="00154A98"/>
    <w:rsid w:val="00155883"/>
    <w:rsid w:val="00157285"/>
    <w:rsid w:val="001578EE"/>
    <w:rsid w:val="00160820"/>
    <w:rsid w:val="00161CE6"/>
    <w:rsid w:val="00163209"/>
    <w:rsid w:val="00165DC1"/>
    <w:rsid w:val="00172013"/>
    <w:rsid w:val="00183759"/>
    <w:rsid w:val="001871B6"/>
    <w:rsid w:val="00190D3E"/>
    <w:rsid w:val="00195B2D"/>
    <w:rsid w:val="001961A3"/>
    <w:rsid w:val="00197C32"/>
    <w:rsid w:val="001A3EA1"/>
    <w:rsid w:val="001A4597"/>
    <w:rsid w:val="001A7129"/>
    <w:rsid w:val="001B5DA2"/>
    <w:rsid w:val="001B5FD5"/>
    <w:rsid w:val="001B64D5"/>
    <w:rsid w:val="001C4460"/>
    <w:rsid w:val="001C58AE"/>
    <w:rsid w:val="001D145F"/>
    <w:rsid w:val="001D2DC2"/>
    <w:rsid w:val="001D57C3"/>
    <w:rsid w:val="001D5EB7"/>
    <w:rsid w:val="001D630A"/>
    <w:rsid w:val="001D6E1A"/>
    <w:rsid w:val="001E157F"/>
    <w:rsid w:val="001E36FF"/>
    <w:rsid w:val="001E5158"/>
    <w:rsid w:val="001E79FA"/>
    <w:rsid w:val="001F053D"/>
    <w:rsid w:val="001F05E7"/>
    <w:rsid w:val="001F0D6E"/>
    <w:rsid w:val="001F135D"/>
    <w:rsid w:val="00202909"/>
    <w:rsid w:val="002054B5"/>
    <w:rsid w:val="00207CF9"/>
    <w:rsid w:val="00210545"/>
    <w:rsid w:val="0021517E"/>
    <w:rsid w:val="002161CC"/>
    <w:rsid w:val="00217456"/>
    <w:rsid w:val="002207F6"/>
    <w:rsid w:val="002213A5"/>
    <w:rsid w:val="00225E67"/>
    <w:rsid w:val="0022776A"/>
    <w:rsid w:val="002365E3"/>
    <w:rsid w:val="002415EA"/>
    <w:rsid w:val="00241EAC"/>
    <w:rsid w:val="00242389"/>
    <w:rsid w:val="0024368C"/>
    <w:rsid w:val="00245844"/>
    <w:rsid w:val="002522CD"/>
    <w:rsid w:val="00253F73"/>
    <w:rsid w:val="002550AF"/>
    <w:rsid w:val="002609F5"/>
    <w:rsid w:val="00261CFB"/>
    <w:rsid w:val="002633E6"/>
    <w:rsid w:val="002711EA"/>
    <w:rsid w:val="002777EC"/>
    <w:rsid w:val="002930FE"/>
    <w:rsid w:val="00294E21"/>
    <w:rsid w:val="002965F8"/>
    <w:rsid w:val="00297500"/>
    <w:rsid w:val="002A1DC0"/>
    <w:rsid w:val="002A2E8C"/>
    <w:rsid w:val="002A376D"/>
    <w:rsid w:val="002A5402"/>
    <w:rsid w:val="002B6FE4"/>
    <w:rsid w:val="002C0021"/>
    <w:rsid w:val="002C2954"/>
    <w:rsid w:val="002C5BAE"/>
    <w:rsid w:val="002C768B"/>
    <w:rsid w:val="002D4AB5"/>
    <w:rsid w:val="002D5B86"/>
    <w:rsid w:val="002D5F03"/>
    <w:rsid w:val="002D5FF1"/>
    <w:rsid w:val="002E3719"/>
    <w:rsid w:val="002E3D6E"/>
    <w:rsid w:val="002E78EE"/>
    <w:rsid w:val="002F0282"/>
    <w:rsid w:val="002F1EE1"/>
    <w:rsid w:val="002F204D"/>
    <w:rsid w:val="002F39AD"/>
    <w:rsid w:val="002F4449"/>
    <w:rsid w:val="003006F4"/>
    <w:rsid w:val="00301BB2"/>
    <w:rsid w:val="00310273"/>
    <w:rsid w:val="00314646"/>
    <w:rsid w:val="00322681"/>
    <w:rsid w:val="003234F9"/>
    <w:rsid w:val="00325D1A"/>
    <w:rsid w:val="00327734"/>
    <w:rsid w:val="00327BF2"/>
    <w:rsid w:val="00332CE5"/>
    <w:rsid w:val="00336755"/>
    <w:rsid w:val="00346BA6"/>
    <w:rsid w:val="003471E3"/>
    <w:rsid w:val="003515B7"/>
    <w:rsid w:val="00352573"/>
    <w:rsid w:val="00353B06"/>
    <w:rsid w:val="0035545E"/>
    <w:rsid w:val="0035729E"/>
    <w:rsid w:val="0036127B"/>
    <w:rsid w:val="00362133"/>
    <w:rsid w:val="00373023"/>
    <w:rsid w:val="00373989"/>
    <w:rsid w:val="0038046E"/>
    <w:rsid w:val="00381ECC"/>
    <w:rsid w:val="00385CD1"/>
    <w:rsid w:val="003876F2"/>
    <w:rsid w:val="0039006F"/>
    <w:rsid w:val="00395755"/>
    <w:rsid w:val="003968E5"/>
    <w:rsid w:val="00397668"/>
    <w:rsid w:val="003A6A9F"/>
    <w:rsid w:val="003A6D85"/>
    <w:rsid w:val="003B004F"/>
    <w:rsid w:val="003B58D8"/>
    <w:rsid w:val="003B5CE0"/>
    <w:rsid w:val="003C0FBE"/>
    <w:rsid w:val="003C15D0"/>
    <w:rsid w:val="003C34DE"/>
    <w:rsid w:val="003C3550"/>
    <w:rsid w:val="003C70B2"/>
    <w:rsid w:val="003D3825"/>
    <w:rsid w:val="003D7C8C"/>
    <w:rsid w:val="003E2268"/>
    <w:rsid w:val="003E6512"/>
    <w:rsid w:val="003F3001"/>
    <w:rsid w:val="003F6568"/>
    <w:rsid w:val="00403764"/>
    <w:rsid w:val="00404CE7"/>
    <w:rsid w:val="00407A0D"/>
    <w:rsid w:val="00410986"/>
    <w:rsid w:val="00410B89"/>
    <w:rsid w:val="00415759"/>
    <w:rsid w:val="00420BA9"/>
    <w:rsid w:val="00421A99"/>
    <w:rsid w:val="0042294F"/>
    <w:rsid w:val="00422D91"/>
    <w:rsid w:val="00424118"/>
    <w:rsid w:val="004300A8"/>
    <w:rsid w:val="00430BBD"/>
    <w:rsid w:val="00431699"/>
    <w:rsid w:val="00434BEA"/>
    <w:rsid w:val="00435291"/>
    <w:rsid w:val="00443606"/>
    <w:rsid w:val="004436B4"/>
    <w:rsid w:val="00447D3F"/>
    <w:rsid w:val="00447D82"/>
    <w:rsid w:val="004514C0"/>
    <w:rsid w:val="00452963"/>
    <w:rsid w:val="00452D7C"/>
    <w:rsid w:val="0045310F"/>
    <w:rsid w:val="00453EBF"/>
    <w:rsid w:val="0045557F"/>
    <w:rsid w:val="004636D5"/>
    <w:rsid w:val="004638BB"/>
    <w:rsid w:val="00464367"/>
    <w:rsid w:val="004664FD"/>
    <w:rsid w:val="00466692"/>
    <w:rsid w:val="0046720A"/>
    <w:rsid w:val="004730A3"/>
    <w:rsid w:val="00474EF6"/>
    <w:rsid w:val="0048176D"/>
    <w:rsid w:val="0048376F"/>
    <w:rsid w:val="0048436E"/>
    <w:rsid w:val="004923F8"/>
    <w:rsid w:val="00494B4F"/>
    <w:rsid w:val="004A478B"/>
    <w:rsid w:val="004A68A2"/>
    <w:rsid w:val="004A7AAF"/>
    <w:rsid w:val="004B35B2"/>
    <w:rsid w:val="004B546F"/>
    <w:rsid w:val="004B5EFC"/>
    <w:rsid w:val="004B70D1"/>
    <w:rsid w:val="004B72C4"/>
    <w:rsid w:val="004C2ABD"/>
    <w:rsid w:val="004C66A1"/>
    <w:rsid w:val="004C6EEF"/>
    <w:rsid w:val="004D1289"/>
    <w:rsid w:val="004D1292"/>
    <w:rsid w:val="004D2760"/>
    <w:rsid w:val="004D7832"/>
    <w:rsid w:val="004E1328"/>
    <w:rsid w:val="004E6BFE"/>
    <w:rsid w:val="004F1A5C"/>
    <w:rsid w:val="004F2ABC"/>
    <w:rsid w:val="004F2C39"/>
    <w:rsid w:val="004F70F2"/>
    <w:rsid w:val="004F7907"/>
    <w:rsid w:val="00501847"/>
    <w:rsid w:val="00501EC4"/>
    <w:rsid w:val="00505F37"/>
    <w:rsid w:val="0050703D"/>
    <w:rsid w:val="00510B41"/>
    <w:rsid w:val="00511C56"/>
    <w:rsid w:val="005129A9"/>
    <w:rsid w:val="00520327"/>
    <w:rsid w:val="00521BF9"/>
    <w:rsid w:val="00522C0A"/>
    <w:rsid w:val="00523AA4"/>
    <w:rsid w:val="00524576"/>
    <w:rsid w:val="0055226D"/>
    <w:rsid w:val="0056006B"/>
    <w:rsid w:val="00560994"/>
    <w:rsid w:val="00561550"/>
    <w:rsid w:val="0056180C"/>
    <w:rsid w:val="0056417D"/>
    <w:rsid w:val="0056734B"/>
    <w:rsid w:val="00567390"/>
    <w:rsid w:val="00567523"/>
    <w:rsid w:val="00571CCF"/>
    <w:rsid w:val="00574D7F"/>
    <w:rsid w:val="005767D6"/>
    <w:rsid w:val="00576E64"/>
    <w:rsid w:val="00586C10"/>
    <w:rsid w:val="00587AA2"/>
    <w:rsid w:val="005934FF"/>
    <w:rsid w:val="005A0B5C"/>
    <w:rsid w:val="005A43B0"/>
    <w:rsid w:val="005A44A1"/>
    <w:rsid w:val="005A4730"/>
    <w:rsid w:val="005A5D36"/>
    <w:rsid w:val="005A64E2"/>
    <w:rsid w:val="005A7318"/>
    <w:rsid w:val="005B14E3"/>
    <w:rsid w:val="005B2012"/>
    <w:rsid w:val="005B538F"/>
    <w:rsid w:val="005C35DF"/>
    <w:rsid w:val="005C39BB"/>
    <w:rsid w:val="005C5726"/>
    <w:rsid w:val="005C770C"/>
    <w:rsid w:val="005D19D5"/>
    <w:rsid w:val="005D21D7"/>
    <w:rsid w:val="005D3994"/>
    <w:rsid w:val="005D793E"/>
    <w:rsid w:val="005D7E06"/>
    <w:rsid w:val="005E03CA"/>
    <w:rsid w:val="005E09DB"/>
    <w:rsid w:val="005E10EC"/>
    <w:rsid w:val="005E415C"/>
    <w:rsid w:val="005E59D3"/>
    <w:rsid w:val="005F1578"/>
    <w:rsid w:val="005F29FE"/>
    <w:rsid w:val="005F4DBC"/>
    <w:rsid w:val="005F7CE1"/>
    <w:rsid w:val="005F7F86"/>
    <w:rsid w:val="00602D7E"/>
    <w:rsid w:val="00610E8C"/>
    <w:rsid w:val="00612879"/>
    <w:rsid w:val="00612FFE"/>
    <w:rsid w:val="006138F9"/>
    <w:rsid w:val="00613AAC"/>
    <w:rsid w:val="00614098"/>
    <w:rsid w:val="006152BE"/>
    <w:rsid w:val="0062265F"/>
    <w:rsid w:val="0062287D"/>
    <w:rsid w:val="006268D1"/>
    <w:rsid w:val="006323E5"/>
    <w:rsid w:val="00632655"/>
    <w:rsid w:val="006336A9"/>
    <w:rsid w:val="006343D0"/>
    <w:rsid w:val="006346B3"/>
    <w:rsid w:val="00634D47"/>
    <w:rsid w:val="00635A84"/>
    <w:rsid w:val="00636D38"/>
    <w:rsid w:val="0063762C"/>
    <w:rsid w:val="00640EB4"/>
    <w:rsid w:val="006508C5"/>
    <w:rsid w:val="00650909"/>
    <w:rsid w:val="00654208"/>
    <w:rsid w:val="00655CE1"/>
    <w:rsid w:val="00661742"/>
    <w:rsid w:val="006628C4"/>
    <w:rsid w:val="006628C6"/>
    <w:rsid w:val="00663EA1"/>
    <w:rsid w:val="006646C5"/>
    <w:rsid w:val="00667188"/>
    <w:rsid w:val="00667B1C"/>
    <w:rsid w:val="00673A26"/>
    <w:rsid w:val="006768A6"/>
    <w:rsid w:val="00676981"/>
    <w:rsid w:val="00676B73"/>
    <w:rsid w:val="0068288B"/>
    <w:rsid w:val="006830C5"/>
    <w:rsid w:val="0068541E"/>
    <w:rsid w:val="00685AD4"/>
    <w:rsid w:val="00691105"/>
    <w:rsid w:val="006912CA"/>
    <w:rsid w:val="006925B0"/>
    <w:rsid w:val="00693DD6"/>
    <w:rsid w:val="00695136"/>
    <w:rsid w:val="006979B1"/>
    <w:rsid w:val="006A5F1B"/>
    <w:rsid w:val="006B1E11"/>
    <w:rsid w:val="006B1EF9"/>
    <w:rsid w:val="006B2503"/>
    <w:rsid w:val="006B5DA1"/>
    <w:rsid w:val="006C1965"/>
    <w:rsid w:val="006C2870"/>
    <w:rsid w:val="006C49EE"/>
    <w:rsid w:val="006C4A91"/>
    <w:rsid w:val="006C4CA0"/>
    <w:rsid w:val="006D1940"/>
    <w:rsid w:val="006D68E2"/>
    <w:rsid w:val="006D7769"/>
    <w:rsid w:val="006E16C5"/>
    <w:rsid w:val="006E2DCB"/>
    <w:rsid w:val="006E33BE"/>
    <w:rsid w:val="006E5205"/>
    <w:rsid w:val="006E5CFB"/>
    <w:rsid w:val="006F41A1"/>
    <w:rsid w:val="006F5A0A"/>
    <w:rsid w:val="006F7EE7"/>
    <w:rsid w:val="007035A1"/>
    <w:rsid w:val="00703668"/>
    <w:rsid w:val="00705ECB"/>
    <w:rsid w:val="00706B49"/>
    <w:rsid w:val="00713A33"/>
    <w:rsid w:val="00716264"/>
    <w:rsid w:val="00727212"/>
    <w:rsid w:val="00730140"/>
    <w:rsid w:val="00730D28"/>
    <w:rsid w:val="00730FFA"/>
    <w:rsid w:val="007356DE"/>
    <w:rsid w:val="007366CC"/>
    <w:rsid w:val="00737214"/>
    <w:rsid w:val="00741AE1"/>
    <w:rsid w:val="00742A57"/>
    <w:rsid w:val="007434C8"/>
    <w:rsid w:val="007446E7"/>
    <w:rsid w:val="0074574C"/>
    <w:rsid w:val="007470A9"/>
    <w:rsid w:val="007506C5"/>
    <w:rsid w:val="00751474"/>
    <w:rsid w:val="007518FF"/>
    <w:rsid w:val="00761A40"/>
    <w:rsid w:val="00762DE6"/>
    <w:rsid w:val="00763432"/>
    <w:rsid w:val="0076471A"/>
    <w:rsid w:val="00767D4A"/>
    <w:rsid w:val="00776FC5"/>
    <w:rsid w:val="0077713F"/>
    <w:rsid w:val="00781A2F"/>
    <w:rsid w:val="00781FA7"/>
    <w:rsid w:val="00785A87"/>
    <w:rsid w:val="00786548"/>
    <w:rsid w:val="00786D72"/>
    <w:rsid w:val="007879FC"/>
    <w:rsid w:val="00790D76"/>
    <w:rsid w:val="007954FA"/>
    <w:rsid w:val="00795640"/>
    <w:rsid w:val="00795A85"/>
    <w:rsid w:val="00796186"/>
    <w:rsid w:val="00796FF2"/>
    <w:rsid w:val="00797BE7"/>
    <w:rsid w:val="007A566D"/>
    <w:rsid w:val="007A5B6B"/>
    <w:rsid w:val="007A653A"/>
    <w:rsid w:val="007B1360"/>
    <w:rsid w:val="007B42A5"/>
    <w:rsid w:val="007B44EA"/>
    <w:rsid w:val="007B4E60"/>
    <w:rsid w:val="007B6D2A"/>
    <w:rsid w:val="007C2024"/>
    <w:rsid w:val="007C2DA6"/>
    <w:rsid w:val="007D1D79"/>
    <w:rsid w:val="007D25DB"/>
    <w:rsid w:val="007E0B35"/>
    <w:rsid w:val="007E1EB3"/>
    <w:rsid w:val="007E2F36"/>
    <w:rsid w:val="007E37EE"/>
    <w:rsid w:val="007E45B7"/>
    <w:rsid w:val="007E4983"/>
    <w:rsid w:val="007E61A8"/>
    <w:rsid w:val="0080674D"/>
    <w:rsid w:val="00807CD5"/>
    <w:rsid w:val="00810408"/>
    <w:rsid w:val="00812109"/>
    <w:rsid w:val="00812B10"/>
    <w:rsid w:val="00812C64"/>
    <w:rsid w:val="0081722F"/>
    <w:rsid w:val="008172F0"/>
    <w:rsid w:val="00817BB5"/>
    <w:rsid w:val="00820F38"/>
    <w:rsid w:val="008229BE"/>
    <w:rsid w:val="00823054"/>
    <w:rsid w:val="0083485A"/>
    <w:rsid w:val="00836540"/>
    <w:rsid w:val="0084041E"/>
    <w:rsid w:val="0084152B"/>
    <w:rsid w:val="0085510C"/>
    <w:rsid w:val="008627CD"/>
    <w:rsid w:val="00864983"/>
    <w:rsid w:val="008664FA"/>
    <w:rsid w:val="00867BFF"/>
    <w:rsid w:val="00870115"/>
    <w:rsid w:val="008702E0"/>
    <w:rsid w:val="00871BFE"/>
    <w:rsid w:val="008727C9"/>
    <w:rsid w:val="00874F94"/>
    <w:rsid w:val="00875D7A"/>
    <w:rsid w:val="00876315"/>
    <w:rsid w:val="0087636D"/>
    <w:rsid w:val="00880AF0"/>
    <w:rsid w:val="0089089C"/>
    <w:rsid w:val="00894D60"/>
    <w:rsid w:val="008951D5"/>
    <w:rsid w:val="008967EE"/>
    <w:rsid w:val="008A087A"/>
    <w:rsid w:val="008A45D9"/>
    <w:rsid w:val="008A4643"/>
    <w:rsid w:val="008A5E6A"/>
    <w:rsid w:val="008B246D"/>
    <w:rsid w:val="008B40ED"/>
    <w:rsid w:val="008B53CA"/>
    <w:rsid w:val="008C0660"/>
    <w:rsid w:val="008C26F0"/>
    <w:rsid w:val="008D16BC"/>
    <w:rsid w:val="008D1AE3"/>
    <w:rsid w:val="008D78CD"/>
    <w:rsid w:val="008F590D"/>
    <w:rsid w:val="008F73A3"/>
    <w:rsid w:val="009034FF"/>
    <w:rsid w:val="00905BC9"/>
    <w:rsid w:val="00905E82"/>
    <w:rsid w:val="00906A46"/>
    <w:rsid w:val="00910BFC"/>
    <w:rsid w:val="00912BDC"/>
    <w:rsid w:val="0091437E"/>
    <w:rsid w:val="009236D4"/>
    <w:rsid w:val="009248BA"/>
    <w:rsid w:val="00926701"/>
    <w:rsid w:val="00927CF6"/>
    <w:rsid w:val="0093049D"/>
    <w:rsid w:val="00931002"/>
    <w:rsid w:val="00936256"/>
    <w:rsid w:val="009414F9"/>
    <w:rsid w:val="0094708F"/>
    <w:rsid w:val="00955E82"/>
    <w:rsid w:val="00957BE4"/>
    <w:rsid w:val="00961266"/>
    <w:rsid w:val="00966425"/>
    <w:rsid w:val="00966F16"/>
    <w:rsid w:val="00975538"/>
    <w:rsid w:val="00975857"/>
    <w:rsid w:val="009769D5"/>
    <w:rsid w:val="00976A23"/>
    <w:rsid w:val="00982959"/>
    <w:rsid w:val="00983DEA"/>
    <w:rsid w:val="0098614B"/>
    <w:rsid w:val="00987E89"/>
    <w:rsid w:val="00987F83"/>
    <w:rsid w:val="00993789"/>
    <w:rsid w:val="009A0EA2"/>
    <w:rsid w:val="009A46AE"/>
    <w:rsid w:val="009A54CA"/>
    <w:rsid w:val="009A5FAB"/>
    <w:rsid w:val="009A6A64"/>
    <w:rsid w:val="009B0506"/>
    <w:rsid w:val="009B2370"/>
    <w:rsid w:val="009B36D7"/>
    <w:rsid w:val="009B45E9"/>
    <w:rsid w:val="009B7D1D"/>
    <w:rsid w:val="009C0F6D"/>
    <w:rsid w:val="009C358D"/>
    <w:rsid w:val="009C3E65"/>
    <w:rsid w:val="009C3F23"/>
    <w:rsid w:val="009C542B"/>
    <w:rsid w:val="009D1280"/>
    <w:rsid w:val="009D5804"/>
    <w:rsid w:val="009E57A2"/>
    <w:rsid w:val="009E7F23"/>
    <w:rsid w:val="009F2421"/>
    <w:rsid w:val="009F413F"/>
    <w:rsid w:val="009F66C7"/>
    <w:rsid w:val="00A0233D"/>
    <w:rsid w:val="00A0293B"/>
    <w:rsid w:val="00A035A3"/>
    <w:rsid w:val="00A0587C"/>
    <w:rsid w:val="00A05CD5"/>
    <w:rsid w:val="00A0698A"/>
    <w:rsid w:val="00A10B6A"/>
    <w:rsid w:val="00A11242"/>
    <w:rsid w:val="00A13807"/>
    <w:rsid w:val="00A14063"/>
    <w:rsid w:val="00A149A0"/>
    <w:rsid w:val="00A17B02"/>
    <w:rsid w:val="00A17D2F"/>
    <w:rsid w:val="00A20523"/>
    <w:rsid w:val="00A21072"/>
    <w:rsid w:val="00A23F2F"/>
    <w:rsid w:val="00A31D8C"/>
    <w:rsid w:val="00A33B24"/>
    <w:rsid w:val="00A33E25"/>
    <w:rsid w:val="00A35BE3"/>
    <w:rsid w:val="00A3702A"/>
    <w:rsid w:val="00A4205F"/>
    <w:rsid w:val="00A42103"/>
    <w:rsid w:val="00A43CE3"/>
    <w:rsid w:val="00A44034"/>
    <w:rsid w:val="00A459C8"/>
    <w:rsid w:val="00A46C2D"/>
    <w:rsid w:val="00A54064"/>
    <w:rsid w:val="00A579F9"/>
    <w:rsid w:val="00A60B79"/>
    <w:rsid w:val="00A620A3"/>
    <w:rsid w:val="00A706F1"/>
    <w:rsid w:val="00A71306"/>
    <w:rsid w:val="00A713AE"/>
    <w:rsid w:val="00A716B0"/>
    <w:rsid w:val="00A75482"/>
    <w:rsid w:val="00A76FEE"/>
    <w:rsid w:val="00A778FE"/>
    <w:rsid w:val="00A86F93"/>
    <w:rsid w:val="00A8791A"/>
    <w:rsid w:val="00A87B4D"/>
    <w:rsid w:val="00A93229"/>
    <w:rsid w:val="00A96661"/>
    <w:rsid w:val="00A97E70"/>
    <w:rsid w:val="00AA755B"/>
    <w:rsid w:val="00AA7902"/>
    <w:rsid w:val="00AB26E7"/>
    <w:rsid w:val="00AB4E34"/>
    <w:rsid w:val="00AB52C7"/>
    <w:rsid w:val="00AB69EF"/>
    <w:rsid w:val="00AB7719"/>
    <w:rsid w:val="00AC13AF"/>
    <w:rsid w:val="00AD29C0"/>
    <w:rsid w:val="00AD500A"/>
    <w:rsid w:val="00AE00AF"/>
    <w:rsid w:val="00AE20D7"/>
    <w:rsid w:val="00AE48BD"/>
    <w:rsid w:val="00AE4C2A"/>
    <w:rsid w:val="00AF1935"/>
    <w:rsid w:val="00AF2C72"/>
    <w:rsid w:val="00AF50E7"/>
    <w:rsid w:val="00AF5A1A"/>
    <w:rsid w:val="00B0073A"/>
    <w:rsid w:val="00B0116D"/>
    <w:rsid w:val="00B015A3"/>
    <w:rsid w:val="00B04F23"/>
    <w:rsid w:val="00B07635"/>
    <w:rsid w:val="00B117FD"/>
    <w:rsid w:val="00B12B84"/>
    <w:rsid w:val="00B13486"/>
    <w:rsid w:val="00B15F79"/>
    <w:rsid w:val="00B17CB5"/>
    <w:rsid w:val="00B212A5"/>
    <w:rsid w:val="00B22290"/>
    <w:rsid w:val="00B27FBC"/>
    <w:rsid w:val="00B32C93"/>
    <w:rsid w:val="00B32E0B"/>
    <w:rsid w:val="00B33E2C"/>
    <w:rsid w:val="00B42150"/>
    <w:rsid w:val="00B43F52"/>
    <w:rsid w:val="00B457A7"/>
    <w:rsid w:val="00B461EA"/>
    <w:rsid w:val="00B4659C"/>
    <w:rsid w:val="00B4705C"/>
    <w:rsid w:val="00B529A9"/>
    <w:rsid w:val="00B54419"/>
    <w:rsid w:val="00B56F9C"/>
    <w:rsid w:val="00B572F7"/>
    <w:rsid w:val="00B61DC4"/>
    <w:rsid w:val="00B6250A"/>
    <w:rsid w:val="00B70375"/>
    <w:rsid w:val="00B73470"/>
    <w:rsid w:val="00B76042"/>
    <w:rsid w:val="00B77108"/>
    <w:rsid w:val="00B804C4"/>
    <w:rsid w:val="00B814FA"/>
    <w:rsid w:val="00B82EE4"/>
    <w:rsid w:val="00B91872"/>
    <w:rsid w:val="00B92F93"/>
    <w:rsid w:val="00B93A34"/>
    <w:rsid w:val="00B94359"/>
    <w:rsid w:val="00B95054"/>
    <w:rsid w:val="00BA1862"/>
    <w:rsid w:val="00BA7276"/>
    <w:rsid w:val="00BB0889"/>
    <w:rsid w:val="00BB52B6"/>
    <w:rsid w:val="00BB59D9"/>
    <w:rsid w:val="00BC04F3"/>
    <w:rsid w:val="00BC442F"/>
    <w:rsid w:val="00BD0515"/>
    <w:rsid w:val="00BD1D3F"/>
    <w:rsid w:val="00BD57CB"/>
    <w:rsid w:val="00BD5D17"/>
    <w:rsid w:val="00BD7297"/>
    <w:rsid w:val="00BE256E"/>
    <w:rsid w:val="00BE7051"/>
    <w:rsid w:val="00BF0176"/>
    <w:rsid w:val="00BF0AEB"/>
    <w:rsid w:val="00BF120F"/>
    <w:rsid w:val="00BF3A74"/>
    <w:rsid w:val="00BF5CB8"/>
    <w:rsid w:val="00C00601"/>
    <w:rsid w:val="00C077A6"/>
    <w:rsid w:val="00C10AFB"/>
    <w:rsid w:val="00C15CDE"/>
    <w:rsid w:val="00C16630"/>
    <w:rsid w:val="00C17D6A"/>
    <w:rsid w:val="00C20FBB"/>
    <w:rsid w:val="00C315F0"/>
    <w:rsid w:val="00C34EBC"/>
    <w:rsid w:val="00C35845"/>
    <w:rsid w:val="00C402A6"/>
    <w:rsid w:val="00C40450"/>
    <w:rsid w:val="00C4295A"/>
    <w:rsid w:val="00C46609"/>
    <w:rsid w:val="00C4711C"/>
    <w:rsid w:val="00C476A2"/>
    <w:rsid w:val="00C51DD3"/>
    <w:rsid w:val="00C55091"/>
    <w:rsid w:val="00C567F2"/>
    <w:rsid w:val="00C63873"/>
    <w:rsid w:val="00C642DD"/>
    <w:rsid w:val="00C64E34"/>
    <w:rsid w:val="00C74FEC"/>
    <w:rsid w:val="00C77799"/>
    <w:rsid w:val="00C777E4"/>
    <w:rsid w:val="00C82368"/>
    <w:rsid w:val="00C8626E"/>
    <w:rsid w:val="00C90602"/>
    <w:rsid w:val="00C93A29"/>
    <w:rsid w:val="00C9643C"/>
    <w:rsid w:val="00CA0949"/>
    <w:rsid w:val="00CA0BB5"/>
    <w:rsid w:val="00CA340D"/>
    <w:rsid w:val="00CA5F76"/>
    <w:rsid w:val="00CA796E"/>
    <w:rsid w:val="00CB058B"/>
    <w:rsid w:val="00CB2A8E"/>
    <w:rsid w:val="00CB3037"/>
    <w:rsid w:val="00CC1F6B"/>
    <w:rsid w:val="00CC271F"/>
    <w:rsid w:val="00CC37A7"/>
    <w:rsid w:val="00CC5C5B"/>
    <w:rsid w:val="00CD0DCF"/>
    <w:rsid w:val="00CD2989"/>
    <w:rsid w:val="00CD5115"/>
    <w:rsid w:val="00CE06EC"/>
    <w:rsid w:val="00CE594B"/>
    <w:rsid w:val="00CF0A2B"/>
    <w:rsid w:val="00CF2A03"/>
    <w:rsid w:val="00CF4DCC"/>
    <w:rsid w:val="00D05B5C"/>
    <w:rsid w:val="00D06DA0"/>
    <w:rsid w:val="00D117BB"/>
    <w:rsid w:val="00D16C04"/>
    <w:rsid w:val="00D203E4"/>
    <w:rsid w:val="00D2148D"/>
    <w:rsid w:val="00D277F6"/>
    <w:rsid w:val="00D31F5D"/>
    <w:rsid w:val="00D33751"/>
    <w:rsid w:val="00D33BEB"/>
    <w:rsid w:val="00D33F1C"/>
    <w:rsid w:val="00D35197"/>
    <w:rsid w:val="00D35CB8"/>
    <w:rsid w:val="00D35EF4"/>
    <w:rsid w:val="00D4039A"/>
    <w:rsid w:val="00D4261C"/>
    <w:rsid w:val="00D43459"/>
    <w:rsid w:val="00D44B8D"/>
    <w:rsid w:val="00D46270"/>
    <w:rsid w:val="00D465BE"/>
    <w:rsid w:val="00D66C27"/>
    <w:rsid w:val="00D717A2"/>
    <w:rsid w:val="00D72BD7"/>
    <w:rsid w:val="00D75F42"/>
    <w:rsid w:val="00D76675"/>
    <w:rsid w:val="00D84BC6"/>
    <w:rsid w:val="00D85DF2"/>
    <w:rsid w:val="00D90EDE"/>
    <w:rsid w:val="00D93457"/>
    <w:rsid w:val="00D94A77"/>
    <w:rsid w:val="00D97AC0"/>
    <w:rsid w:val="00DA13A8"/>
    <w:rsid w:val="00DA162C"/>
    <w:rsid w:val="00DA2145"/>
    <w:rsid w:val="00DA5027"/>
    <w:rsid w:val="00DB3D1B"/>
    <w:rsid w:val="00DB61EC"/>
    <w:rsid w:val="00DB6D7C"/>
    <w:rsid w:val="00DC01FF"/>
    <w:rsid w:val="00DC39AA"/>
    <w:rsid w:val="00DD473A"/>
    <w:rsid w:val="00DD67D9"/>
    <w:rsid w:val="00DD6B80"/>
    <w:rsid w:val="00DE15E6"/>
    <w:rsid w:val="00DE1C0D"/>
    <w:rsid w:val="00DE3817"/>
    <w:rsid w:val="00DE3C63"/>
    <w:rsid w:val="00DF0427"/>
    <w:rsid w:val="00DF0C5A"/>
    <w:rsid w:val="00DF14F0"/>
    <w:rsid w:val="00DF1C51"/>
    <w:rsid w:val="00DF3290"/>
    <w:rsid w:val="00DF3B98"/>
    <w:rsid w:val="00DF6822"/>
    <w:rsid w:val="00E01E38"/>
    <w:rsid w:val="00E03960"/>
    <w:rsid w:val="00E06DB1"/>
    <w:rsid w:val="00E107D1"/>
    <w:rsid w:val="00E10897"/>
    <w:rsid w:val="00E22146"/>
    <w:rsid w:val="00E2278A"/>
    <w:rsid w:val="00E270B2"/>
    <w:rsid w:val="00E27604"/>
    <w:rsid w:val="00E279C9"/>
    <w:rsid w:val="00E34E78"/>
    <w:rsid w:val="00E41B9C"/>
    <w:rsid w:val="00E479E9"/>
    <w:rsid w:val="00E5065F"/>
    <w:rsid w:val="00E52ADD"/>
    <w:rsid w:val="00E537B1"/>
    <w:rsid w:val="00E54A87"/>
    <w:rsid w:val="00E56588"/>
    <w:rsid w:val="00E56BAF"/>
    <w:rsid w:val="00E56C83"/>
    <w:rsid w:val="00E5789A"/>
    <w:rsid w:val="00E60ED3"/>
    <w:rsid w:val="00E642DA"/>
    <w:rsid w:val="00E6702C"/>
    <w:rsid w:val="00E70275"/>
    <w:rsid w:val="00E741C7"/>
    <w:rsid w:val="00E76FB9"/>
    <w:rsid w:val="00E77980"/>
    <w:rsid w:val="00E802ED"/>
    <w:rsid w:val="00E81610"/>
    <w:rsid w:val="00E83E50"/>
    <w:rsid w:val="00E858D8"/>
    <w:rsid w:val="00E874E5"/>
    <w:rsid w:val="00E91856"/>
    <w:rsid w:val="00E927B8"/>
    <w:rsid w:val="00EA14B0"/>
    <w:rsid w:val="00EA334C"/>
    <w:rsid w:val="00EA56BF"/>
    <w:rsid w:val="00EA66E1"/>
    <w:rsid w:val="00EB1CFA"/>
    <w:rsid w:val="00EB28E0"/>
    <w:rsid w:val="00EB5698"/>
    <w:rsid w:val="00EC0B57"/>
    <w:rsid w:val="00ED04D1"/>
    <w:rsid w:val="00ED114F"/>
    <w:rsid w:val="00ED16D5"/>
    <w:rsid w:val="00ED47B6"/>
    <w:rsid w:val="00EE1466"/>
    <w:rsid w:val="00EE7043"/>
    <w:rsid w:val="00EF56D4"/>
    <w:rsid w:val="00EF61EA"/>
    <w:rsid w:val="00F04AD4"/>
    <w:rsid w:val="00F10E66"/>
    <w:rsid w:val="00F12375"/>
    <w:rsid w:val="00F1300F"/>
    <w:rsid w:val="00F1460D"/>
    <w:rsid w:val="00F15D49"/>
    <w:rsid w:val="00F21C78"/>
    <w:rsid w:val="00F21C87"/>
    <w:rsid w:val="00F34A7F"/>
    <w:rsid w:val="00F3758D"/>
    <w:rsid w:val="00F42D22"/>
    <w:rsid w:val="00F43F9F"/>
    <w:rsid w:val="00F5078F"/>
    <w:rsid w:val="00F507B9"/>
    <w:rsid w:val="00F532B0"/>
    <w:rsid w:val="00F538AE"/>
    <w:rsid w:val="00F53DC0"/>
    <w:rsid w:val="00F5421B"/>
    <w:rsid w:val="00F61ECB"/>
    <w:rsid w:val="00F62DD7"/>
    <w:rsid w:val="00F63CCB"/>
    <w:rsid w:val="00F70F29"/>
    <w:rsid w:val="00F72CF7"/>
    <w:rsid w:val="00F77D1D"/>
    <w:rsid w:val="00F82FB1"/>
    <w:rsid w:val="00F83CDA"/>
    <w:rsid w:val="00F92DFC"/>
    <w:rsid w:val="00F9380D"/>
    <w:rsid w:val="00F9746B"/>
    <w:rsid w:val="00FA2C0B"/>
    <w:rsid w:val="00FA2C87"/>
    <w:rsid w:val="00FA5A3E"/>
    <w:rsid w:val="00FA7CDA"/>
    <w:rsid w:val="00FB5F9D"/>
    <w:rsid w:val="00FB663C"/>
    <w:rsid w:val="00FC0084"/>
    <w:rsid w:val="00FC0D60"/>
    <w:rsid w:val="00FC30D4"/>
    <w:rsid w:val="00FE67F0"/>
    <w:rsid w:val="00FE7942"/>
    <w:rsid w:val="00FE7AF0"/>
    <w:rsid w:val="00FF013B"/>
    <w:rsid w:val="00FF4143"/>
    <w:rsid w:val="00FF5AD4"/>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CF511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2278A"/>
    <w:rPr>
      <w:rFonts w:ascii="Lucida Grande" w:hAnsi="Lucida Grande"/>
      <w:sz w:val="18"/>
      <w:szCs w:val="18"/>
    </w:rPr>
  </w:style>
  <w:style w:type="character" w:customStyle="1" w:styleId="BalloonTextChar">
    <w:name w:val="Balloon Text Char"/>
    <w:basedOn w:val="DefaultParagraphFont"/>
    <w:link w:val="BalloonText"/>
    <w:rsid w:val="00E2278A"/>
    <w:rPr>
      <w:rFonts w:ascii="Lucida Grande" w:hAnsi="Lucida Grande"/>
      <w:sz w:val="18"/>
      <w:szCs w:val="18"/>
    </w:rPr>
  </w:style>
  <w:style w:type="paragraph" w:styleId="ListParagraph">
    <w:name w:val="List Paragraph"/>
    <w:basedOn w:val="Normal"/>
    <w:uiPriority w:val="34"/>
    <w:qFormat/>
    <w:rsid w:val="00BD05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2278A"/>
    <w:rPr>
      <w:rFonts w:ascii="Lucida Grande" w:hAnsi="Lucida Grande"/>
      <w:sz w:val="18"/>
      <w:szCs w:val="18"/>
    </w:rPr>
  </w:style>
  <w:style w:type="character" w:customStyle="1" w:styleId="BalloonTextChar">
    <w:name w:val="Balloon Text Char"/>
    <w:basedOn w:val="DefaultParagraphFont"/>
    <w:link w:val="BalloonText"/>
    <w:rsid w:val="00E2278A"/>
    <w:rPr>
      <w:rFonts w:ascii="Lucida Grande" w:hAnsi="Lucida Grande"/>
      <w:sz w:val="18"/>
      <w:szCs w:val="18"/>
    </w:rPr>
  </w:style>
  <w:style w:type="paragraph" w:styleId="ListParagraph">
    <w:name w:val="List Paragraph"/>
    <w:basedOn w:val="Normal"/>
    <w:uiPriority w:val="34"/>
    <w:qFormat/>
    <w:rsid w:val="00BD0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19424444">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445931718">
      <w:bodyDiv w:val="1"/>
      <w:marLeft w:val="0"/>
      <w:marRight w:val="0"/>
      <w:marTop w:val="0"/>
      <w:marBottom w:val="0"/>
      <w:divBdr>
        <w:top w:val="none" w:sz="0" w:space="0" w:color="auto"/>
        <w:left w:val="none" w:sz="0" w:space="0" w:color="auto"/>
        <w:bottom w:val="none" w:sz="0" w:space="0" w:color="auto"/>
        <w:right w:val="none" w:sz="0" w:space="0" w:color="auto"/>
      </w:divBdr>
    </w:div>
    <w:div w:id="495001597">
      <w:bodyDiv w:val="1"/>
      <w:marLeft w:val="0"/>
      <w:marRight w:val="0"/>
      <w:marTop w:val="0"/>
      <w:marBottom w:val="0"/>
      <w:divBdr>
        <w:top w:val="none" w:sz="0" w:space="0" w:color="auto"/>
        <w:left w:val="none" w:sz="0" w:space="0" w:color="auto"/>
        <w:bottom w:val="none" w:sz="0" w:space="0" w:color="auto"/>
        <w:right w:val="none" w:sz="0" w:space="0" w:color="auto"/>
      </w:divBdr>
    </w:div>
    <w:div w:id="60542731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017078895">
      <w:bodyDiv w:val="1"/>
      <w:marLeft w:val="0"/>
      <w:marRight w:val="0"/>
      <w:marTop w:val="0"/>
      <w:marBottom w:val="0"/>
      <w:divBdr>
        <w:top w:val="none" w:sz="0" w:space="0" w:color="auto"/>
        <w:left w:val="none" w:sz="0" w:space="0" w:color="auto"/>
        <w:bottom w:val="none" w:sz="0" w:space="0" w:color="auto"/>
        <w:right w:val="none" w:sz="0" w:space="0" w:color="auto"/>
      </w:divBdr>
    </w:div>
    <w:div w:id="148381509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oleObject" Target="embeddings/Microsoft_Equation1.bin"/><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2926</Words>
  <Characters>16679</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19566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1</cp:revision>
  <dcterms:created xsi:type="dcterms:W3CDTF">2015-02-10T05:14:00Z</dcterms:created>
  <dcterms:modified xsi:type="dcterms:W3CDTF">2015-02-10T06:24:00Z</dcterms:modified>
</cp:coreProperties>
</file>