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D5" w:rsidRDefault="009E17D5">
      <w:r>
        <w:t>Biostats HW#1</w:t>
      </w:r>
    </w:p>
    <w:p w:rsidR="009E17D5" w:rsidRDefault="009E17D5"/>
    <w:p w:rsidR="009E17D5" w:rsidRDefault="009E17D5">
      <w:r>
        <w:t xml:space="preserve">1.) The minimum follow up time for censored observations in this study is 1480 days, just over 4 years.  Therefore, the vital status is known for each individual in the study at 4 years. </w:t>
      </w:r>
    </w:p>
    <w:p w:rsidR="009E17D5" w:rsidRDefault="009E17D5"/>
    <w:p w:rsidR="009E17D5" w:rsidRDefault="009E17D5">
      <w:r>
        <w:t xml:space="preserve">2.) </w:t>
      </w:r>
    </w:p>
    <w:p w:rsidR="009E17D5" w:rsidRDefault="009E17D5">
      <w:pPr>
        <w:rPr>
          <w:b/>
        </w:rPr>
      </w:pPr>
      <w:r w:rsidRPr="00412CA1">
        <w:rPr>
          <w:b/>
        </w:rPr>
        <w:t xml:space="preserve">Methods: </w:t>
      </w:r>
    </w:p>
    <w:p w:rsidR="009E17D5" w:rsidRPr="00412CA1" w:rsidRDefault="009E17D5">
      <w:r>
        <w:tab/>
        <w:t xml:space="preserve">An indicator variable was created for death within 4 years after study enrollment (no patients were censored during the first 4 years).  Descriptive statistics are presented for all subjects with a CRP value, as well as for groups defined by categorized CRP values that correspond to low, average, and high risk of heart disease (with categories &lt; 1 mg/L representing low risk, 1-3 mg/L representing average risk, and &gt; 3 mg/L representing high risk of heart disease).  Descriptive statistics provided for continuous variables include the mean, standard deviation, minimum, and maximum.  For binary variables, percentages are reported. </w:t>
      </w:r>
    </w:p>
    <w:p w:rsidR="009E17D5" w:rsidRPr="00412CA1" w:rsidRDefault="009E17D5">
      <w:pPr>
        <w:rPr>
          <w:b/>
        </w:rPr>
      </w:pPr>
      <w:r w:rsidRPr="00412CA1">
        <w:rPr>
          <w:b/>
        </w:rPr>
        <w:t xml:space="preserve">Results: </w:t>
      </w:r>
    </w:p>
    <w:p w:rsidR="009E17D5" w:rsidRDefault="009E17D5">
      <w:r>
        <w:tab/>
        <w:t xml:space="preserve">Of the 5000 subjects included in the study, 67 do not have CRP values and therefore are omitted from the study.  Of the remaining 4933 subjects, 6 are missing data on smoking status, 13 on BMI, 10 on systolic blood pressure, and 117 on ankle-arm blood pressure index.  This missing data may introduce bias and affect generalizability of our results. </w:t>
      </w:r>
    </w:p>
    <w:p w:rsidR="009E17D5" w:rsidRDefault="009E17D5">
      <w:r>
        <w:tab/>
        <w:t xml:space="preserve">Of the 4933 subjects with CRP results, 428 subjects had values less than 1 mg/dL, 3330 subjects had values between 1 mg/dL and 3 mg/dL inclusive, and 1175 subjects had values greater than 3 mg/dL.  The table below presents the descriptive statistics for these groups and for all subjects with CRP values. As seen in the table, there is no clear difference in age between the groups.  Subjects in the CRP &gt; 3 mg/L group were more likely to be female than subjects in the other two groups.  Subjects in the CRP &lt; 1 mg/L group had lower mean cholesterol and systolic blood pressure compared to the other two groups.  Mean BMI, prevalence of smoking, prevalence of prior cardiovascular disease, and incidence of death within 4 years of study enrollment were all higher in each successively higher CRP group (ie the highest interval group has larger values than the  intermediate interval group, and the intermediate interval group has higher values than the lowest interval group).  The mean ankle-arm blood pressure index is lower in each successively higher CRP group.  </w:t>
      </w:r>
    </w:p>
    <w:p w:rsidR="009E17D5" w:rsidRDefault="009E17D5"/>
    <w:p w:rsidR="009E17D5" w:rsidRDefault="009E17D5"/>
    <w:p w:rsidR="009E17D5" w:rsidRDefault="009E17D5"/>
    <w:p w:rsidR="009E17D5" w:rsidRDefault="009E17D5"/>
    <w:p w:rsidR="009E17D5" w:rsidRDefault="009E17D5"/>
    <w:p w:rsidR="009E17D5" w:rsidRDefault="009E17D5"/>
    <w:p w:rsidR="009E17D5" w:rsidRDefault="009E17D5"/>
    <w:p w:rsidR="009E17D5" w:rsidRDefault="009E17D5"/>
    <w:tbl>
      <w:tblPr>
        <w:tblW w:w="108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205"/>
        <w:gridCol w:w="2205"/>
        <w:gridCol w:w="2205"/>
        <w:gridCol w:w="2205"/>
      </w:tblGrid>
      <w:tr w:rsidR="009E17D5" w:rsidRPr="00417FD9" w:rsidTr="00417FD9">
        <w:tc>
          <w:tcPr>
            <w:tcW w:w="1980" w:type="dxa"/>
          </w:tcPr>
          <w:p w:rsidR="009E17D5" w:rsidRPr="00417FD9" w:rsidRDefault="009E17D5" w:rsidP="00417FD9">
            <w:pPr>
              <w:spacing w:after="0"/>
              <w:rPr>
                <w:b/>
                <w:sz w:val="20"/>
                <w:szCs w:val="20"/>
              </w:rPr>
            </w:pPr>
          </w:p>
        </w:tc>
        <w:tc>
          <w:tcPr>
            <w:tcW w:w="8820" w:type="dxa"/>
            <w:gridSpan w:val="4"/>
          </w:tcPr>
          <w:p w:rsidR="009E17D5" w:rsidRPr="00417FD9" w:rsidRDefault="009E17D5" w:rsidP="00417FD9">
            <w:pPr>
              <w:spacing w:after="0"/>
              <w:jc w:val="center"/>
              <w:rPr>
                <w:b/>
                <w:sz w:val="20"/>
                <w:szCs w:val="20"/>
              </w:rPr>
            </w:pPr>
            <w:r w:rsidRPr="00417FD9">
              <w:rPr>
                <w:b/>
                <w:sz w:val="20"/>
                <w:szCs w:val="20"/>
              </w:rPr>
              <w:t>Serum C Reactive Protein (CRP)</w:t>
            </w:r>
          </w:p>
        </w:tc>
      </w:tr>
      <w:tr w:rsidR="009E17D5" w:rsidRPr="00417FD9" w:rsidTr="00417FD9">
        <w:tc>
          <w:tcPr>
            <w:tcW w:w="1980" w:type="dxa"/>
          </w:tcPr>
          <w:p w:rsidR="009E17D5" w:rsidRPr="00417FD9" w:rsidRDefault="009E17D5" w:rsidP="00417FD9">
            <w:pPr>
              <w:spacing w:after="0"/>
              <w:rPr>
                <w:b/>
                <w:sz w:val="20"/>
                <w:szCs w:val="20"/>
              </w:rPr>
            </w:pPr>
          </w:p>
        </w:tc>
        <w:tc>
          <w:tcPr>
            <w:tcW w:w="2205" w:type="dxa"/>
          </w:tcPr>
          <w:p w:rsidR="009E17D5" w:rsidRPr="00417FD9" w:rsidRDefault="009E17D5" w:rsidP="00417FD9">
            <w:pPr>
              <w:spacing w:after="0"/>
              <w:jc w:val="center"/>
              <w:rPr>
                <w:b/>
                <w:sz w:val="20"/>
                <w:szCs w:val="20"/>
              </w:rPr>
            </w:pPr>
            <w:r w:rsidRPr="00417FD9">
              <w:rPr>
                <w:b/>
                <w:sz w:val="20"/>
                <w:szCs w:val="20"/>
              </w:rPr>
              <w:t>&lt; 1 mg/L</w:t>
            </w:r>
          </w:p>
          <w:p w:rsidR="009E17D5" w:rsidRPr="00417FD9" w:rsidRDefault="009E17D5" w:rsidP="00417FD9">
            <w:pPr>
              <w:spacing w:after="0"/>
              <w:jc w:val="center"/>
              <w:rPr>
                <w:b/>
                <w:sz w:val="20"/>
                <w:szCs w:val="20"/>
              </w:rPr>
            </w:pPr>
            <w:r w:rsidRPr="00417FD9">
              <w:rPr>
                <w:b/>
                <w:sz w:val="20"/>
                <w:szCs w:val="20"/>
              </w:rPr>
              <w:t>(n=428)</w:t>
            </w:r>
          </w:p>
        </w:tc>
        <w:tc>
          <w:tcPr>
            <w:tcW w:w="2205" w:type="dxa"/>
          </w:tcPr>
          <w:p w:rsidR="009E17D5" w:rsidRPr="00417FD9" w:rsidRDefault="009E17D5" w:rsidP="00417FD9">
            <w:pPr>
              <w:spacing w:after="0"/>
              <w:jc w:val="center"/>
              <w:rPr>
                <w:b/>
                <w:sz w:val="20"/>
                <w:szCs w:val="20"/>
              </w:rPr>
            </w:pPr>
            <w:r w:rsidRPr="00417FD9">
              <w:rPr>
                <w:b/>
                <w:sz w:val="20"/>
                <w:szCs w:val="20"/>
              </w:rPr>
              <w:t>1-3 mg/L</w:t>
            </w:r>
          </w:p>
          <w:p w:rsidR="009E17D5" w:rsidRPr="00417FD9" w:rsidRDefault="009E17D5" w:rsidP="00417FD9">
            <w:pPr>
              <w:spacing w:after="0"/>
              <w:jc w:val="center"/>
              <w:rPr>
                <w:b/>
                <w:sz w:val="20"/>
                <w:szCs w:val="20"/>
              </w:rPr>
            </w:pPr>
            <w:r w:rsidRPr="00417FD9">
              <w:rPr>
                <w:b/>
                <w:sz w:val="20"/>
                <w:szCs w:val="20"/>
              </w:rPr>
              <w:t>(n=3330)</w:t>
            </w:r>
          </w:p>
        </w:tc>
        <w:tc>
          <w:tcPr>
            <w:tcW w:w="2205" w:type="dxa"/>
          </w:tcPr>
          <w:p w:rsidR="009E17D5" w:rsidRPr="00417FD9" w:rsidRDefault="009E17D5" w:rsidP="00417FD9">
            <w:pPr>
              <w:spacing w:after="0"/>
              <w:jc w:val="center"/>
              <w:rPr>
                <w:b/>
                <w:sz w:val="20"/>
                <w:szCs w:val="20"/>
              </w:rPr>
            </w:pPr>
            <w:r w:rsidRPr="00417FD9">
              <w:rPr>
                <w:b/>
                <w:sz w:val="20"/>
                <w:szCs w:val="20"/>
              </w:rPr>
              <w:t>&gt; 3 mg/L</w:t>
            </w:r>
          </w:p>
          <w:p w:rsidR="009E17D5" w:rsidRPr="00417FD9" w:rsidRDefault="009E17D5" w:rsidP="00417FD9">
            <w:pPr>
              <w:spacing w:after="0"/>
              <w:jc w:val="center"/>
              <w:rPr>
                <w:b/>
                <w:sz w:val="20"/>
                <w:szCs w:val="20"/>
              </w:rPr>
            </w:pPr>
            <w:r w:rsidRPr="00417FD9">
              <w:rPr>
                <w:b/>
                <w:sz w:val="20"/>
                <w:szCs w:val="20"/>
              </w:rPr>
              <w:t>(n=1175)</w:t>
            </w:r>
          </w:p>
        </w:tc>
        <w:tc>
          <w:tcPr>
            <w:tcW w:w="2205" w:type="dxa"/>
          </w:tcPr>
          <w:p w:rsidR="009E17D5" w:rsidRPr="00417FD9" w:rsidRDefault="009E17D5" w:rsidP="00417FD9">
            <w:pPr>
              <w:spacing w:after="0"/>
              <w:jc w:val="center"/>
              <w:rPr>
                <w:b/>
                <w:sz w:val="20"/>
                <w:szCs w:val="20"/>
              </w:rPr>
            </w:pPr>
            <w:r w:rsidRPr="00417FD9">
              <w:rPr>
                <w:b/>
                <w:sz w:val="20"/>
                <w:szCs w:val="20"/>
              </w:rPr>
              <w:t>Any Level</w:t>
            </w:r>
          </w:p>
          <w:p w:rsidR="009E17D5" w:rsidRPr="00417FD9" w:rsidRDefault="009E17D5" w:rsidP="00417FD9">
            <w:pPr>
              <w:spacing w:after="0"/>
              <w:jc w:val="center"/>
              <w:rPr>
                <w:b/>
                <w:sz w:val="20"/>
                <w:szCs w:val="20"/>
              </w:rPr>
            </w:pPr>
            <w:r w:rsidRPr="00417FD9">
              <w:rPr>
                <w:b/>
                <w:sz w:val="20"/>
                <w:szCs w:val="20"/>
              </w:rPr>
              <w:t>(n=4933)</w:t>
            </w:r>
          </w:p>
        </w:tc>
      </w:tr>
      <w:tr w:rsidR="009E17D5" w:rsidRPr="00417FD9" w:rsidTr="00417FD9">
        <w:tc>
          <w:tcPr>
            <w:tcW w:w="1980" w:type="dxa"/>
          </w:tcPr>
          <w:p w:rsidR="009E17D5" w:rsidRPr="00417FD9" w:rsidRDefault="009E17D5" w:rsidP="00417FD9">
            <w:pPr>
              <w:spacing w:after="0"/>
              <w:rPr>
                <w:b/>
                <w:sz w:val="20"/>
                <w:szCs w:val="20"/>
              </w:rPr>
            </w:pPr>
            <w:r w:rsidRPr="00417FD9">
              <w:rPr>
                <w:b/>
                <w:sz w:val="20"/>
                <w:szCs w:val="20"/>
              </w:rPr>
              <w:t>Male (%)</w:t>
            </w:r>
          </w:p>
        </w:tc>
        <w:tc>
          <w:tcPr>
            <w:tcW w:w="2205" w:type="dxa"/>
          </w:tcPr>
          <w:p w:rsidR="009E17D5" w:rsidRPr="00417FD9" w:rsidRDefault="009E17D5" w:rsidP="00417FD9">
            <w:pPr>
              <w:spacing w:after="0"/>
              <w:jc w:val="center"/>
              <w:rPr>
                <w:sz w:val="20"/>
                <w:szCs w:val="20"/>
              </w:rPr>
            </w:pPr>
            <w:r w:rsidRPr="00417FD9">
              <w:rPr>
                <w:sz w:val="20"/>
                <w:szCs w:val="20"/>
              </w:rPr>
              <w:t>45.6%</w:t>
            </w:r>
          </w:p>
        </w:tc>
        <w:tc>
          <w:tcPr>
            <w:tcW w:w="2205" w:type="dxa"/>
          </w:tcPr>
          <w:p w:rsidR="009E17D5" w:rsidRPr="00417FD9" w:rsidRDefault="009E17D5" w:rsidP="00417FD9">
            <w:pPr>
              <w:spacing w:after="0"/>
              <w:jc w:val="center"/>
              <w:rPr>
                <w:sz w:val="20"/>
                <w:szCs w:val="20"/>
              </w:rPr>
            </w:pPr>
            <w:r w:rsidRPr="00417FD9">
              <w:rPr>
                <w:sz w:val="20"/>
                <w:szCs w:val="20"/>
              </w:rPr>
              <w:t>43.3%</w:t>
            </w:r>
          </w:p>
        </w:tc>
        <w:tc>
          <w:tcPr>
            <w:tcW w:w="2205" w:type="dxa"/>
          </w:tcPr>
          <w:p w:rsidR="009E17D5" w:rsidRPr="00417FD9" w:rsidRDefault="009E17D5" w:rsidP="00417FD9">
            <w:pPr>
              <w:spacing w:after="0"/>
              <w:jc w:val="center"/>
              <w:rPr>
                <w:sz w:val="20"/>
                <w:szCs w:val="20"/>
              </w:rPr>
            </w:pPr>
            <w:r w:rsidRPr="00417FD9">
              <w:rPr>
                <w:sz w:val="20"/>
                <w:szCs w:val="20"/>
              </w:rPr>
              <w:t>37.0%</w:t>
            </w:r>
          </w:p>
        </w:tc>
        <w:tc>
          <w:tcPr>
            <w:tcW w:w="2205" w:type="dxa"/>
          </w:tcPr>
          <w:p w:rsidR="009E17D5" w:rsidRPr="00417FD9" w:rsidRDefault="009E17D5" w:rsidP="00417FD9">
            <w:pPr>
              <w:spacing w:after="0"/>
              <w:jc w:val="center"/>
              <w:rPr>
                <w:sz w:val="20"/>
                <w:szCs w:val="20"/>
              </w:rPr>
            </w:pPr>
            <w:r w:rsidRPr="00417FD9">
              <w:rPr>
                <w:sz w:val="20"/>
                <w:szCs w:val="20"/>
              </w:rPr>
              <w:t>42.0%</w:t>
            </w:r>
          </w:p>
        </w:tc>
      </w:tr>
      <w:tr w:rsidR="009E17D5" w:rsidRPr="00417FD9" w:rsidTr="00417FD9">
        <w:tc>
          <w:tcPr>
            <w:tcW w:w="1980" w:type="dxa"/>
          </w:tcPr>
          <w:p w:rsidR="009E17D5" w:rsidRPr="00417FD9" w:rsidRDefault="009E17D5" w:rsidP="00417FD9">
            <w:pPr>
              <w:spacing w:after="0"/>
              <w:rPr>
                <w:b/>
                <w:sz w:val="20"/>
                <w:szCs w:val="20"/>
              </w:rPr>
            </w:pPr>
            <w:r w:rsidRPr="00417FD9">
              <w:rPr>
                <w:b/>
                <w:sz w:val="20"/>
                <w:szCs w:val="20"/>
              </w:rPr>
              <w:t>Age (yrs)</w:t>
            </w:r>
            <w:r w:rsidRPr="00417FD9">
              <w:rPr>
                <w:b/>
                <w:sz w:val="20"/>
                <w:szCs w:val="20"/>
                <w:vertAlign w:val="superscript"/>
              </w:rPr>
              <w:t>1</w:t>
            </w:r>
          </w:p>
        </w:tc>
        <w:tc>
          <w:tcPr>
            <w:tcW w:w="2205" w:type="dxa"/>
          </w:tcPr>
          <w:p w:rsidR="009E17D5" w:rsidRPr="00417FD9" w:rsidRDefault="009E17D5" w:rsidP="00417FD9">
            <w:pPr>
              <w:spacing w:after="0"/>
              <w:jc w:val="center"/>
              <w:rPr>
                <w:sz w:val="20"/>
                <w:szCs w:val="20"/>
              </w:rPr>
            </w:pPr>
            <w:r w:rsidRPr="00417FD9">
              <w:rPr>
                <w:sz w:val="20"/>
                <w:szCs w:val="20"/>
              </w:rPr>
              <w:t>73.5 (5.80; 65-94)</w:t>
            </w:r>
          </w:p>
        </w:tc>
        <w:tc>
          <w:tcPr>
            <w:tcW w:w="2205" w:type="dxa"/>
          </w:tcPr>
          <w:p w:rsidR="009E17D5" w:rsidRPr="00417FD9" w:rsidRDefault="009E17D5" w:rsidP="00417FD9">
            <w:pPr>
              <w:spacing w:after="0"/>
              <w:jc w:val="center"/>
              <w:rPr>
                <w:sz w:val="20"/>
                <w:szCs w:val="20"/>
              </w:rPr>
            </w:pPr>
            <w:r w:rsidRPr="00417FD9">
              <w:rPr>
                <w:sz w:val="20"/>
                <w:szCs w:val="20"/>
              </w:rPr>
              <w:t>72.7 (5.52; 65-100)</w:t>
            </w:r>
          </w:p>
        </w:tc>
        <w:tc>
          <w:tcPr>
            <w:tcW w:w="2205" w:type="dxa"/>
          </w:tcPr>
          <w:p w:rsidR="009E17D5" w:rsidRPr="00417FD9" w:rsidRDefault="009E17D5" w:rsidP="00417FD9">
            <w:pPr>
              <w:spacing w:after="0"/>
              <w:jc w:val="center"/>
              <w:rPr>
                <w:sz w:val="20"/>
                <w:szCs w:val="20"/>
              </w:rPr>
            </w:pPr>
            <w:r w:rsidRPr="00417FD9">
              <w:rPr>
                <w:sz w:val="20"/>
                <w:szCs w:val="20"/>
              </w:rPr>
              <w:t>72.7 (5.58; 65-93)</w:t>
            </w:r>
          </w:p>
        </w:tc>
        <w:tc>
          <w:tcPr>
            <w:tcW w:w="2205" w:type="dxa"/>
          </w:tcPr>
          <w:p w:rsidR="009E17D5" w:rsidRPr="00417FD9" w:rsidRDefault="009E17D5" w:rsidP="00417FD9">
            <w:pPr>
              <w:spacing w:after="0"/>
              <w:jc w:val="center"/>
              <w:rPr>
                <w:sz w:val="20"/>
                <w:szCs w:val="20"/>
              </w:rPr>
            </w:pPr>
            <w:r w:rsidRPr="00417FD9">
              <w:rPr>
                <w:sz w:val="20"/>
                <w:szCs w:val="20"/>
              </w:rPr>
              <w:t>72.8 (5.56; 65-100)</w:t>
            </w:r>
          </w:p>
        </w:tc>
      </w:tr>
      <w:tr w:rsidR="009E17D5" w:rsidRPr="00417FD9" w:rsidTr="00417FD9">
        <w:tc>
          <w:tcPr>
            <w:tcW w:w="1980" w:type="dxa"/>
          </w:tcPr>
          <w:p w:rsidR="009E17D5" w:rsidRPr="00417FD9" w:rsidRDefault="009E17D5" w:rsidP="00417FD9">
            <w:pPr>
              <w:spacing w:after="0"/>
              <w:rPr>
                <w:b/>
                <w:sz w:val="20"/>
                <w:szCs w:val="20"/>
                <w:vertAlign w:val="superscript"/>
              </w:rPr>
            </w:pPr>
            <w:r w:rsidRPr="00417FD9">
              <w:rPr>
                <w:b/>
                <w:sz w:val="20"/>
                <w:szCs w:val="20"/>
              </w:rPr>
              <w:t>BMI</w:t>
            </w:r>
            <w:r w:rsidRPr="00417FD9">
              <w:rPr>
                <w:b/>
                <w:sz w:val="20"/>
                <w:szCs w:val="20"/>
                <w:vertAlign w:val="superscript"/>
              </w:rPr>
              <w:t>1</w:t>
            </w:r>
          </w:p>
        </w:tc>
        <w:tc>
          <w:tcPr>
            <w:tcW w:w="2205" w:type="dxa"/>
          </w:tcPr>
          <w:p w:rsidR="009E17D5" w:rsidRPr="00417FD9" w:rsidRDefault="009E17D5" w:rsidP="00417FD9">
            <w:pPr>
              <w:spacing w:after="0"/>
              <w:jc w:val="center"/>
              <w:rPr>
                <w:sz w:val="20"/>
                <w:szCs w:val="20"/>
              </w:rPr>
            </w:pPr>
            <w:r w:rsidRPr="00417FD9">
              <w:rPr>
                <w:sz w:val="20"/>
                <w:szCs w:val="20"/>
              </w:rPr>
              <w:t>23.8 (3.64; 15.6-38.6)</w:t>
            </w:r>
          </w:p>
        </w:tc>
        <w:tc>
          <w:tcPr>
            <w:tcW w:w="2205" w:type="dxa"/>
          </w:tcPr>
          <w:p w:rsidR="009E17D5" w:rsidRPr="00417FD9" w:rsidRDefault="009E17D5" w:rsidP="00417FD9">
            <w:pPr>
              <w:spacing w:after="0"/>
              <w:jc w:val="center"/>
              <w:rPr>
                <w:sz w:val="20"/>
                <w:szCs w:val="20"/>
              </w:rPr>
            </w:pPr>
            <w:r w:rsidRPr="00417FD9">
              <w:rPr>
                <w:sz w:val="20"/>
                <w:szCs w:val="20"/>
              </w:rPr>
              <w:t>26.4 (4.31; 14.7-53.2)</w:t>
            </w:r>
          </w:p>
        </w:tc>
        <w:tc>
          <w:tcPr>
            <w:tcW w:w="2205" w:type="dxa"/>
          </w:tcPr>
          <w:p w:rsidR="009E17D5" w:rsidRPr="00417FD9" w:rsidRDefault="009E17D5" w:rsidP="00417FD9">
            <w:pPr>
              <w:spacing w:after="0"/>
              <w:jc w:val="center"/>
              <w:rPr>
                <w:sz w:val="20"/>
                <w:szCs w:val="20"/>
              </w:rPr>
            </w:pPr>
            <w:r w:rsidRPr="00417FD9">
              <w:rPr>
                <w:sz w:val="20"/>
                <w:szCs w:val="20"/>
              </w:rPr>
              <w:t>28.5 (5.46; 15.3-58.8)</w:t>
            </w:r>
          </w:p>
        </w:tc>
        <w:tc>
          <w:tcPr>
            <w:tcW w:w="2205" w:type="dxa"/>
          </w:tcPr>
          <w:p w:rsidR="009E17D5" w:rsidRPr="00417FD9" w:rsidRDefault="009E17D5" w:rsidP="00417FD9">
            <w:pPr>
              <w:spacing w:after="0"/>
              <w:jc w:val="center"/>
              <w:rPr>
                <w:sz w:val="20"/>
                <w:szCs w:val="20"/>
              </w:rPr>
            </w:pPr>
            <w:r w:rsidRPr="00417FD9">
              <w:rPr>
                <w:sz w:val="20"/>
                <w:szCs w:val="20"/>
              </w:rPr>
              <w:t>26.7 (4.72; 14.7-58.8)</w:t>
            </w:r>
          </w:p>
        </w:tc>
      </w:tr>
      <w:tr w:rsidR="009E17D5" w:rsidRPr="00417FD9" w:rsidTr="00417FD9">
        <w:tc>
          <w:tcPr>
            <w:tcW w:w="1980" w:type="dxa"/>
          </w:tcPr>
          <w:p w:rsidR="009E17D5" w:rsidRPr="00417FD9" w:rsidRDefault="009E17D5" w:rsidP="00417FD9">
            <w:pPr>
              <w:spacing w:after="0"/>
              <w:rPr>
                <w:b/>
                <w:sz w:val="20"/>
                <w:szCs w:val="20"/>
                <w:vertAlign w:val="superscript"/>
              </w:rPr>
            </w:pPr>
            <w:r w:rsidRPr="00417FD9">
              <w:rPr>
                <w:b/>
                <w:sz w:val="20"/>
                <w:szCs w:val="20"/>
              </w:rPr>
              <w:t>Cholesterol (mg/dL)</w:t>
            </w:r>
            <w:r w:rsidRPr="00417FD9">
              <w:rPr>
                <w:b/>
                <w:sz w:val="20"/>
                <w:szCs w:val="20"/>
                <w:vertAlign w:val="superscript"/>
              </w:rPr>
              <w:t>1</w:t>
            </w:r>
          </w:p>
        </w:tc>
        <w:tc>
          <w:tcPr>
            <w:tcW w:w="2205" w:type="dxa"/>
          </w:tcPr>
          <w:p w:rsidR="009E17D5" w:rsidRPr="00417FD9" w:rsidRDefault="009E17D5" w:rsidP="00417FD9">
            <w:pPr>
              <w:spacing w:after="0"/>
              <w:jc w:val="center"/>
              <w:rPr>
                <w:sz w:val="20"/>
                <w:szCs w:val="20"/>
              </w:rPr>
            </w:pPr>
            <w:r w:rsidRPr="00417FD9">
              <w:rPr>
                <w:sz w:val="20"/>
                <w:szCs w:val="20"/>
              </w:rPr>
              <w:t>206.0 (40.5; 109-407)</w:t>
            </w:r>
          </w:p>
        </w:tc>
        <w:tc>
          <w:tcPr>
            <w:tcW w:w="2205" w:type="dxa"/>
          </w:tcPr>
          <w:p w:rsidR="009E17D5" w:rsidRPr="00417FD9" w:rsidRDefault="009E17D5" w:rsidP="00417FD9">
            <w:pPr>
              <w:spacing w:after="0"/>
              <w:jc w:val="center"/>
              <w:rPr>
                <w:sz w:val="20"/>
                <w:szCs w:val="20"/>
              </w:rPr>
            </w:pPr>
            <w:r w:rsidRPr="00417FD9">
              <w:rPr>
                <w:sz w:val="20"/>
                <w:szCs w:val="20"/>
              </w:rPr>
              <w:t>212.8 (38.6; 73-363)</w:t>
            </w:r>
          </w:p>
        </w:tc>
        <w:tc>
          <w:tcPr>
            <w:tcW w:w="2205" w:type="dxa"/>
          </w:tcPr>
          <w:p w:rsidR="009E17D5" w:rsidRPr="00417FD9" w:rsidRDefault="009E17D5" w:rsidP="00417FD9">
            <w:pPr>
              <w:spacing w:after="0"/>
              <w:jc w:val="center"/>
              <w:rPr>
                <w:sz w:val="20"/>
                <w:szCs w:val="20"/>
              </w:rPr>
            </w:pPr>
            <w:r w:rsidRPr="00417FD9">
              <w:rPr>
                <w:sz w:val="20"/>
                <w:szCs w:val="20"/>
              </w:rPr>
              <w:t>210.5 (40.4; 97-430)</w:t>
            </w:r>
          </w:p>
        </w:tc>
        <w:tc>
          <w:tcPr>
            <w:tcW w:w="2205" w:type="dxa"/>
          </w:tcPr>
          <w:p w:rsidR="009E17D5" w:rsidRPr="00417FD9" w:rsidRDefault="009E17D5" w:rsidP="00417FD9">
            <w:pPr>
              <w:spacing w:after="0"/>
              <w:jc w:val="center"/>
              <w:rPr>
                <w:sz w:val="20"/>
                <w:szCs w:val="20"/>
              </w:rPr>
            </w:pPr>
            <w:r w:rsidRPr="00417FD9">
              <w:rPr>
                <w:sz w:val="20"/>
                <w:szCs w:val="20"/>
              </w:rPr>
              <w:t>211.7 (39.2; 73-430)</w:t>
            </w:r>
          </w:p>
        </w:tc>
      </w:tr>
      <w:tr w:rsidR="009E17D5" w:rsidRPr="00417FD9" w:rsidTr="00417FD9">
        <w:tc>
          <w:tcPr>
            <w:tcW w:w="1980" w:type="dxa"/>
          </w:tcPr>
          <w:p w:rsidR="009E17D5" w:rsidRPr="00417FD9" w:rsidRDefault="009E17D5" w:rsidP="00417FD9">
            <w:pPr>
              <w:spacing w:after="0"/>
              <w:rPr>
                <w:b/>
                <w:sz w:val="20"/>
                <w:szCs w:val="20"/>
              </w:rPr>
            </w:pPr>
            <w:r w:rsidRPr="00417FD9">
              <w:rPr>
                <w:b/>
                <w:sz w:val="20"/>
                <w:szCs w:val="20"/>
              </w:rPr>
              <w:t>Systolic BP</w:t>
            </w:r>
            <w:r w:rsidRPr="00417FD9">
              <w:rPr>
                <w:b/>
                <w:sz w:val="20"/>
                <w:szCs w:val="20"/>
                <w:vertAlign w:val="superscript"/>
              </w:rPr>
              <w:t>1</w:t>
            </w:r>
            <w:r w:rsidRPr="00417FD9">
              <w:rPr>
                <w:b/>
                <w:sz w:val="20"/>
                <w:szCs w:val="20"/>
              </w:rPr>
              <w:t xml:space="preserve"> </w:t>
            </w:r>
          </w:p>
        </w:tc>
        <w:tc>
          <w:tcPr>
            <w:tcW w:w="2205" w:type="dxa"/>
          </w:tcPr>
          <w:p w:rsidR="009E17D5" w:rsidRPr="00417FD9" w:rsidRDefault="009E17D5" w:rsidP="00417FD9">
            <w:pPr>
              <w:spacing w:after="0"/>
              <w:jc w:val="center"/>
              <w:rPr>
                <w:sz w:val="20"/>
                <w:szCs w:val="20"/>
              </w:rPr>
            </w:pPr>
            <w:r w:rsidRPr="00417FD9">
              <w:rPr>
                <w:sz w:val="20"/>
                <w:szCs w:val="20"/>
              </w:rPr>
              <w:t>132.7 (21.3; 89-199)</w:t>
            </w:r>
          </w:p>
        </w:tc>
        <w:tc>
          <w:tcPr>
            <w:tcW w:w="2205" w:type="dxa"/>
          </w:tcPr>
          <w:p w:rsidR="009E17D5" w:rsidRPr="00417FD9" w:rsidRDefault="009E17D5" w:rsidP="00417FD9">
            <w:pPr>
              <w:spacing w:after="0"/>
              <w:jc w:val="center"/>
              <w:rPr>
                <w:sz w:val="20"/>
                <w:szCs w:val="20"/>
              </w:rPr>
            </w:pPr>
            <w:r w:rsidRPr="00417FD9">
              <w:rPr>
                <w:sz w:val="20"/>
                <w:szCs w:val="20"/>
              </w:rPr>
              <w:t>136.6 (21.8; 82-235)</w:t>
            </w:r>
          </w:p>
        </w:tc>
        <w:tc>
          <w:tcPr>
            <w:tcW w:w="2205" w:type="dxa"/>
          </w:tcPr>
          <w:p w:rsidR="009E17D5" w:rsidRPr="00417FD9" w:rsidRDefault="009E17D5" w:rsidP="00417FD9">
            <w:pPr>
              <w:spacing w:after="0"/>
              <w:jc w:val="center"/>
              <w:rPr>
                <w:sz w:val="20"/>
                <w:szCs w:val="20"/>
              </w:rPr>
            </w:pPr>
            <w:r w:rsidRPr="00417FD9">
              <w:rPr>
                <w:sz w:val="20"/>
                <w:szCs w:val="20"/>
              </w:rPr>
              <w:t>137.5 (21.8; 77-230)</w:t>
            </w:r>
          </w:p>
        </w:tc>
        <w:tc>
          <w:tcPr>
            <w:tcW w:w="2205" w:type="dxa"/>
          </w:tcPr>
          <w:p w:rsidR="009E17D5" w:rsidRPr="00417FD9" w:rsidRDefault="009E17D5" w:rsidP="00417FD9">
            <w:pPr>
              <w:spacing w:after="0"/>
              <w:jc w:val="center"/>
              <w:rPr>
                <w:sz w:val="20"/>
                <w:szCs w:val="20"/>
              </w:rPr>
            </w:pPr>
            <w:r w:rsidRPr="00417FD9">
              <w:rPr>
                <w:sz w:val="20"/>
                <w:szCs w:val="20"/>
              </w:rPr>
              <w:t>136.5 (21.8; 77-235)</w:t>
            </w:r>
          </w:p>
        </w:tc>
      </w:tr>
      <w:tr w:rsidR="009E17D5" w:rsidRPr="00417FD9" w:rsidTr="00417FD9">
        <w:tc>
          <w:tcPr>
            <w:tcW w:w="1980" w:type="dxa"/>
          </w:tcPr>
          <w:p w:rsidR="009E17D5" w:rsidRPr="00417FD9" w:rsidRDefault="009E17D5" w:rsidP="00417FD9">
            <w:pPr>
              <w:spacing w:after="0"/>
              <w:rPr>
                <w:b/>
                <w:sz w:val="20"/>
                <w:szCs w:val="20"/>
                <w:vertAlign w:val="superscript"/>
              </w:rPr>
            </w:pPr>
            <w:r w:rsidRPr="00417FD9">
              <w:rPr>
                <w:b/>
                <w:sz w:val="20"/>
                <w:szCs w:val="20"/>
              </w:rPr>
              <w:t>Ankle-arm BP index</w:t>
            </w:r>
            <w:r w:rsidRPr="00417FD9">
              <w:rPr>
                <w:b/>
                <w:sz w:val="20"/>
                <w:szCs w:val="20"/>
                <w:vertAlign w:val="superscript"/>
              </w:rPr>
              <w:t>1</w:t>
            </w:r>
          </w:p>
        </w:tc>
        <w:tc>
          <w:tcPr>
            <w:tcW w:w="2205" w:type="dxa"/>
          </w:tcPr>
          <w:p w:rsidR="009E17D5" w:rsidRPr="00417FD9" w:rsidRDefault="009E17D5" w:rsidP="00417FD9">
            <w:pPr>
              <w:spacing w:after="0"/>
              <w:jc w:val="center"/>
              <w:rPr>
                <w:sz w:val="20"/>
                <w:szCs w:val="20"/>
              </w:rPr>
            </w:pPr>
            <w:r w:rsidRPr="00417FD9">
              <w:rPr>
                <w:sz w:val="20"/>
                <w:szCs w:val="20"/>
              </w:rPr>
              <w:t>1.085 (0.155; 0.317-1.632)</w:t>
            </w:r>
          </w:p>
        </w:tc>
        <w:tc>
          <w:tcPr>
            <w:tcW w:w="2205" w:type="dxa"/>
          </w:tcPr>
          <w:p w:rsidR="009E17D5" w:rsidRPr="00417FD9" w:rsidRDefault="009E17D5" w:rsidP="00417FD9">
            <w:pPr>
              <w:spacing w:after="0"/>
              <w:jc w:val="center"/>
              <w:rPr>
                <w:sz w:val="20"/>
                <w:szCs w:val="20"/>
              </w:rPr>
            </w:pPr>
            <w:r w:rsidRPr="00417FD9">
              <w:rPr>
                <w:sz w:val="20"/>
                <w:szCs w:val="20"/>
              </w:rPr>
              <w:t>1.072 (0.170; 0.278-2.385)</w:t>
            </w:r>
          </w:p>
        </w:tc>
        <w:tc>
          <w:tcPr>
            <w:tcW w:w="2205" w:type="dxa"/>
          </w:tcPr>
          <w:p w:rsidR="009E17D5" w:rsidRPr="00417FD9" w:rsidRDefault="009E17D5" w:rsidP="00417FD9">
            <w:pPr>
              <w:spacing w:after="0"/>
              <w:jc w:val="center"/>
              <w:rPr>
                <w:sz w:val="20"/>
                <w:szCs w:val="20"/>
              </w:rPr>
            </w:pPr>
            <w:r w:rsidRPr="00417FD9">
              <w:rPr>
                <w:sz w:val="20"/>
                <w:szCs w:val="20"/>
              </w:rPr>
              <w:t>1.034 (0.191; 0.304-1.888)</w:t>
            </w:r>
          </w:p>
        </w:tc>
        <w:tc>
          <w:tcPr>
            <w:tcW w:w="2205" w:type="dxa"/>
          </w:tcPr>
          <w:p w:rsidR="009E17D5" w:rsidRPr="00417FD9" w:rsidRDefault="009E17D5" w:rsidP="00417FD9">
            <w:pPr>
              <w:spacing w:after="0"/>
              <w:jc w:val="center"/>
              <w:rPr>
                <w:sz w:val="20"/>
                <w:szCs w:val="20"/>
              </w:rPr>
            </w:pPr>
            <w:r w:rsidRPr="00417FD9">
              <w:rPr>
                <w:sz w:val="20"/>
                <w:szCs w:val="20"/>
              </w:rPr>
              <w:t>1.064 (0.175; 0.278-2.385)</w:t>
            </w:r>
          </w:p>
        </w:tc>
      </w:tr>
      <w:tr w:rsidR="009E17D5" w:rsidRPr="00417FD9" w:rsidTr="00417FD9">
        <w:tc>
          <w:tcPr>
            <w:tcW w:w="1980" w:type="dxa"/>
          </w:tcPr>
          <w:p w:rsidR="009E17D5" w:rsidRPr="00417FD9" w:rsidRDefault="009E17D5" w:rsidP="00417FD9">
            <w:pPr>
              <w:spacing w:after="0"/>
              <w:rPr>
                <w:b/>
                <w:sz w:val="20"/>
                <w:szCs w:val="20"/>
              </w:rPr>
            </w:pPr>
            <w:r w:rsidRPr="00417FD9">
              <w:rPr>
                <w:b/>
                <w:sz w:val="20"/>
                <w:szCs w:val="20"/>
              </w:rPr>
              <w:t>Smoker (%)</w:t>
            </w:r>
          </w:p>
        </w:tc>
        <w:tc>
          <w:tcPr>
            <w:tcW w:w="2205" w:type="dxa"/>
          </w:tcPr>
          <w:p w:rsidR="009E17D5" w:rsidRPr="00417FD9" w:rsidRDefault="009E17D5" w:rsidP="00417FD9">
            <w:pPr>
              <w:spacing w:after="0"/>
              <w:jc w:val="center"/>
              <w:rPr>
                <w:sz w:val="20"/>
                <w:szCs w:val="20"/>
              </w:rPr>
            </w:pPr>
            <w:r w:rsidRPr="00417FD9">
              <w:rPr>
                <w:sz w:val="20"/>
                <w:szCs w:val="20"/>
              </w:rPr>
              <w:t>9.6%</w:t>
            </w:r>
          </w:p>
        </w:tc>
        <w:tc>
          <w:tcPr>
            <w:tcW w:w="2205" w:type="dxa"/>
          </w:tcPr>
          <w:p w:rsidR="009E17D5" w:rsidRPr="00417FD9" w:rsidRDefault="009E17D5" w:rsidP="00417FD9">
            <w:pPr>
              <w:spacing w:after="0"/>
              <w:jc w:val="center"/>
              <w:rPr>
                <w:sz w:val="20"/>
                <w:szCs w:val="20"/>
              </w:rPr>
            </w:pPr>
            <w:r w:rsidRPr="00417FD9">
              <w:rPr>
                <w:sz w:val="20"/>
                <w:szCs w:val="20"/>
              </w:rPr>
              <w:t>11.0%</w:t>
            </w:r>
          </w:p>
        </w:tc>
        <w:tc>
          <w:tcPr>
            <w:tcW w:w="2205" w:type="dxa"/>
          </w:tcPr>
          <w:p w:rsidR="009E17D5" w:rsidRPr="00417FD9" w:rsidRDefault="009E17D5" w:rsidP="00417FD9">
            <w:pPr>
              <w:spacing w:after="0"/>
              <w:jc w:val="center"/>
              <w:rPr>
                <w:sz w:val="20"/>
                <w:szCs w:val="20"/>
              </w:rPr>
            </w:pPr>
            <w:r w:rsidRPr="00417FD9">
              <w:rPr>
                <w:sz w:val="20"/>
                <w:szCs w:val="20"/>
              </w:rPr>
              <w:t>16.4%</w:t>
            </w:r>
          </w:p>
        </w:tc>
        <w:tc>
          <w:tcPr>
            <w:tcW w:w="2205" w:type="dxa"/>
          </w:tcPr>
          <w:p w:rsidR="009E17D5" w:rsidRPr="00417FD9" w:rsidRDefault="009E17D5" w:rsidP="00417FD9">
            <w:pPr>
              <w:spacing w:after="0"/>
              <w:jc w:val="center"/>
              <w:rPr>
                <w:sz w:val="20"/>
                <w:szCs w:val="20"/>
              </w:rPr>
            </w:pPr>
            <w:r w:rsidRPr="00417FD9">
              <w:rPr>
                <w:sz w:val="20"/>
                <w:szCs w:val="20"/>
              </w:rPr>
              <w:t>12.2%</w:t>
            </w:r>
          </w:p>
        </w:tc>
      </w:tr>
      <w:tr w:rsidR="009E17D5" w:rsidRPr="00417FD9" w:rsidTr="00417FD9">
        <w:tc>
          <w:tcPr>
            <w:tcW w:w="1980" w:type="dxa"/>
          </w:tcPr>
          <w:p w:rsidR="009E17D5" w:rsidRPr="00417FD9" w:rsidRDefault="009E17D5" w:rsidP="00417FD9">
            <w:pPr>
              <w:spacing w:after="0"/>
              <w:rPr>
                <w:b/>
                <w:sz w:val="20"/>
                <w:szCs w:val="20"/>
              </w:rPr>
            </w:pPr>
            <w:r w:rsidRPr="00417FD9">
              <w:rPr>
                <w:b/>
                <w:sz w:val="20"/>
                <w:szCs w:val="20"/>
              </w:rPr>
              <w:t>Prior CV disease</w:t>
            </w:r>
            <w:r w:rsidRPr="00417FD9">
              <w:rPr>
                <w:b/>
                <w:sz w:val="20"/>
                <w:szCs w:val="20"/>
                <w:vertAlign w:val="superscript"/>
              </w:rPr>
              <w:t>2</w:t>
            </w:r>
            <w:r w:rsidRPr="00417FD9">
              <w:rPr>
                <w:b/>
                <w:sz w:val="20"/>
                <w:szCs w:val="20"/>
              </w:rPr>
              <w:t xml:space="preserve"> (%)</w:t>
            </w:r>
          </w:p>
        </w:tc>
        <w:tc>
          <w:tcPr>
            <w:tcW w:w="2205" w:type="dxa"/>
          </w:tcPr>
          <w:p w:rsidR="009E17D5" w:rsidRPr="00417FD9" w:rsidRDefault="009E17D5" w:rsidP="00417FD9">
            <w:pPr>
              <w:spacing w:after="0"/>
              <w:jc w:val="center"/>
              <w:rPr>
                <w:sz w:val="20"/>
                <w:szCs w:val="20"/>
              </w:rPr>
            </w:pPr>
            <w:r w:rsidRPr="00417FD9">
              <w:rPr>
                <w:sz w:val="20"/>
                <w:szCs w:val="20"/>
              </w:rPr>
              <w:t>18.2%</w:t>
            </w:r>
          </w:p>
        </w:tc>
        <w:tc>
          <w:tcPr>
            <w:tcW w:w="2205" w:type="dxa"/>
          </w:tcPr>
          <w:p w:rsidR="009E17D5" w:rsidRPr="00417FD9" w:rsidRDefault="009E17D5" w:rsidP="00417FD9">
            <w:pPr>
              <w:spacing w:after="0"/>
              <w:jc w:val="center"/>
              <w:rPr>
                <w:sz w:val="20"/>
                <w:szCs w:val="20"/>
              </w:rPr>
            </w:pPr>
            <w:r w:rsidRPr="00417FD9">
              <w:rPr>
                <w:sz w:val="20"/>
                <w:szCs w:val="20"/>
              </w:rPr>
              <w:t>21.4%</w:t>
            </w:r>
          </w:p>
        </w:tc>
        <w:tc>
          <w:tcPr>
            <w:tcW w:w="2205" w:type="dxa"/>
          </w:tcPr>
          <w:p w:rsidR="009E17D5" w:rsidRPr="00417FD9" w:rsidRDefault="009E17D5" w:rsidP="00417FD9">
            <w:pPr>
              <w:spacing w:after="0"/>
              <w:jc w:val="center"/>
              <w:rPr>
                <w:sz w:val="20"/>
                <w:szCs w:val="20"/>
              </w:rPr>
            </w:pPr>
            <w:r w:rsidRPr="00417FD9">
              <w:rPr>
                <w:sz w:val="20"/>
                <w:szCs w:val="20"/>
              </w:rPr>
              <w:t>28.7%</w:t>
            </w:r>
          </w:p>
        </w:tc>
        <w:tc>
          <w:tcPr>
            <w:tcW w:w="2205" w:type="dxa"/>
          </w:tcPr>
          <w:p w:rsidR="009E17D5" w:rsidRPr="00417FD9" w:rsidRDefault="009E17D5" w:rsidP="00417FD9">
            <w:pPr>
              <w:spacing w:after="0"/>
              <w:jc w:val="center"/>
              <w:rPr>
                <w:sz w:val="20"/>
                <w:szCs w:val="20"/>
              </w:rPr>
            </w:pPr>
            <w:r w:rsidRPr="00417FD9">
              <w:rPr>
                <w:sz w:val="20"/>
                <w:szCs w:val="20"/>
              </w:rPr>
              <w:t>22.9%</w:t>
            </w:r>
          </w:p>
        </w:tc>
      </w:tr>
      <w:tr w:rsidR="009E17D5" w:rsidRPr="00417FD9" w:rsidTr="00417FD9">
        <w:tc>
          <w:tcPr>
            <w:tcW w:w="1980" w:type="dxa"/>
          </w:tcPr>
          <w:p w:rsidR="009E17D5" w:rsidRPr="00417FD9" w:rsidRDefault="009E17D5" w:rsidP="00417FD9">
            <w:pPr>
              <w:spacing w:after="0"/>
              <w:rPr>
                <w:b/>
                <w:sz w:val="20"/>
                <w:szCs w:val="20"/>
              </w:rPr>
            </w:pPr>
            <w:r w:rsidRPr="00417FD9">
              <w:rPr>
                <w:b/>
                <w:sz w:val="20"/>
                <w:szCs w:val="20"/>
              </w:rPr>
              <w:t>Death w/in 4 yrs (%)</w:t>
            </w:r>
          </w:p>
        </w:tc>
        <w:tc>
          <w:tcPr>
            <w:tcW w:w="2205" w:type="dxa"/>
          </w:tcPr>
          <w:p w:rsidR="009E17D5" w:rsidRPr="00417FD9" w:rsidRDefault="009E17D5" w:rsidP="00417FD9">
            <w:pPr>
              <w:spacing w:after="0"/>
              <w:jc w:val="center"/>
              <w:rPr>
                <w:sz w:val="20"/>
                <w:szCs w:val="20"/>
              </w:rPr>
            </w:pPr>
            <w:r w:rsidRPr="00417FD9">
              <w:rPr>
                <w:sz w:val="20"/>
                <w:szCs w:val="20"/>
              </w:rPr>
              <w:t>5.9%</w:t>
            </w:r>
          </w:p>
        </w:tc>
        <w:tc>
          <w:tcPr>
            <w:tcW w:w="2205" w:type="dxa"/>
          </w:tcPr>
          <w:p w:rsidR="009E17D5" w:rsidRPr="00417FD9" w:rsidRDefault="009E17D5" w:rsidP="00417FD9">
            <w:pPr>
              <w:spacing w:after="0"/>
              <w:jc w:val="center"/>
              <w:rPr>
                <w:sz w:val="20"/>
                <w:szCs w:val="20"/>
              </w:rPr>
            </w:pPr>
            <w:r w:rsidRPr="00417FD9">
              <w:rPr>
                <w:sz w:val="20"/>
                <w:szCs w:val="20"/>
              </w:rPr>
              <w:t>8.4%</w:t>
            </w:r>
          </w:p>
        </w:tc>
        <w:tc>
          <w:tcPr>
            <w:tcW w:w="2205" w:type="dxa"/>
          </w:tcPr>
          <w:p w:rsidR="009E17D5" w:rsidRPr="00417FD9" w:rsidRDefault="009E17D5" w:rsidP="00417FD9">
            <w:pPr>
              <w:spacing w:after="0"/>
              <w:jc w:val="center"/>
              <w:rPr>
                <w:sz w:val="20"/>
                <w:szCs w:val="20"/>
              </w:rPr>
            </w:pPr>
            <w:r w:rsidRPr="00417FD9">
              <w:rPr>
                <w:sz w:val="20"/>
                <w:szCs w:val="20"/>
              </w:rPr>
              <w:t>15.5%</w:t>
            </w:r>
          </w:p>
        </w:tc>
        <w:tc>
          <w:tcPr>
            <w:tcW w:w="2205" w:type="dxa"/>
          </w:tcPr>
          <w:p w:rsidR="009E17D5" w:rsidRPr="00417FD9" w:rsidRDefault="009E17D5" w:rsidP="00417FD9">
            <w:pPr>
              <w:spacing w:after="0"/>
              <w:jc w:val="center"/>
              <w:rPr>
                <w:sz w:val="20"/>
                <w:szCs w:val="20"/>
              </w:rPr>
            </w:pPr>
            <w:r w:rsidRPr="00417FD9">
              <w:rPr>
                <w:sz w:val="20"/>
                <w:szCs w:val="20"/>
              </w:rPr>
              <w:t>9.8%</w:t>
            </w:r>
          </w:p>
        </w:tc>
      </w:tr>
    </w:tbl>
    <w:p w:rsidR="009E17D5" w:rsidRDefault="009E17D5" w:rsidP="00EF0BB0">
      <w:pPr>
        <w:contextualSpacing/>
      </w:pPr>
      <w:r>
        <w:rPr>
          <w:vertAlign w:val="superscript"/>
        </w:rPr>
        <w:t>1</w:t>
      </w:r>
      <w:r>
        <w:t xml:space="preserve">Descriptive statistics presented are the mean (standard deviation; minimum-maximum) </w:t>
      </w:r>
    </w:p>
    <w:p w:rsidR="009E17D5" w:rsidRDefault="009E17D5" w:rsidP="00EF0BB0">
      <w:pPr>
        <w:contextualSpacing/>
      </w:pPr>
      <w:r>
        <w:rPr>
          <w:vertAlign w:val="superscript"/>
        </w:rPr>
        <w:t>2</w:t>
      </w:r>
      <w:r>
        <w:t xml:space="preserve">Prior CV (cardiovascular) disease includes any history of previous angina, myocardial infarction, transient ischemic attack, or stroke at study enrollment. </w:t>
      </w:r>
    </w:p>
    <w:p w:rsidR="009E17D5" w:rsidRDefault="009E17D5" w:rsidP="00EF0BB0">
      <w:pPr>
        <w:contextualSpacing/>
      </w:pPr>
      <w:r>
        <w:t xml:space="preserve">BP = blood pressure. </w:t>
      </w:r>
    </w:p>
    <w:p w:rsidR="009E17D5" w:rsidRDefault="009E17D5" w:rsidP="00EF0BB0">
      <w:pPr>
        <w:contextualSpacing/>
      </w:pPr>
    </w:p>
    <w:p w:rsidR="009E17D5" w:rsidRDefault="009E17D5" w:rsidP="00EF0BB0">
      <w:pPr>
        <w:contextualSpacing/>
      </w:pPr>
      <w:r>
        <w:t xml:space="preserve">3.) </w:t>
      </w:r>
    </w:p>
    <w:p w:rsidR="009E17D5" w:rsidRDefault="009E17D5" w:rsidP="00EF0BB0">
      <w:pPr>
        <w:contextualSpacing/>
      </w:pPr>
    </w:p>
    <w:p w:rsidR="009E17D5" w:rsidRDefault="009E17D5" w:rsidP="00EF0BB0">
      <w:pPr>
        <w:contextualSpacing/>
        <w:rPr>
          <w:b/>
        </w:rPr>
      </w:pPr>
      <w:r w:rsidRPr="007E48A2">
        <w:rPr>
          <w:b/>
        </w:rPr>
        <w:t xml:space="preserve">Methods: </w:t>
      </w:r>
    </w:p>
    <w:p w:rsidR="009E17D5" w:rsidRPr="007E48A2" w:rsidRDefault="009E17D5" w:rsidP="00EF0BB0">
      <w:pPr>
        <w:contextualSpacing/>
      </w:pPr>
      <w:r>
        <w:t xml:space="preserve">To examine the difference in mean CRP values between subjects that died within 4 years of enrollment and subjects that survived at least 4 years, we performed a two sample t test allowing for unequal variances.  95% confidence intervals were also calculated allowing for unequal variances. </w:t>
      </w:r>
    </w:p>
    <w:p w:rsidR="009E17D5" w:rsidRDefault="009E17D5" w:rsidP="00EF0BB0">
      <w:pPr>
        <w:contextualSpacing/>
      </w:pPr>
    </w:p>
    <w:p w:rsidR="009E17D5" w:rsidRPr="007E48A2" w:rsidRDefault="009E17D5" w:rsidP="00EF0BB0">
      <w:pPr>
        <w:contextualSpacing/>
        <w:rPr>
          <w:b/>
        </w:rPr>
      </w:pPr>
      <w:r w:rsidRPr="007E48A2">
        <w:rPr>
          <w:b/>
        </w:rPr>
        <w:t xml:space="preserve">Results: </w:t>
      </w:r>
    </w:p>
    <w:p w:rsidR="009E17D5" w:rsidRDefault="009E17D5" w:rsidP="00EF0BB0">
      <w:pPr>
        <w:contextualSpacing/>
      </w:pPr>
      <w:r>
        <w:t xml:space="preserve">Among the 484 subjects that died within 4 years after study enrollment, mean serum CRP was 5.38 mg/L.  Among the 4449 subjects that survived at least 4 years, mean serum CRP was 3.42 mg/L.  The mean serum CRP level was 1.95 mg/L higher in subjects that died within 4 years (95% confidence interval 1.21 mg/L to 2.69 mg/L).  If the true population difference in mean CRP is between 1.21 mg/L and 2.26 mg/L, our data would not be unusual.  This observed difference is statistically significant at an alpha of 0.05 (p &lt; 0.0001); therefore, we reject the null hypothesis that mean CRP levels are the same in each group in favor of the alternative hypothesis that death within 4 years is associated with higher mean serum CRP levels.  </w:t>
      </w:r>
    </w:p>
    <w:p w:rsidR="009E17D5" w:rsidRDefault="009E17D5" w:rsidP="00EF0BB0">
      <w:pPr>
        <w:contextualSpacing/>
      </w:pPr>
    </w:p>
    <w:p w:rsidR="009E17D5" w:rsidRDefault="009E17D5" w:rsidP="00EF0BB0">
      <w:pPr>
        <w:contextualSpacing/>
      </w:pPr>
      <w:r>
        <w:t xml:space="preserve">4.) </w:t>
      </w:r>
    </w:p>
    <w:p w:rsidR="009E17D5" w:rsidRDefault="009E17D5" w:rsidP="00EF0BB0">
      <w:pPr>
        <w:contextualSpacing/>
      </w:pPr>
    </w:p>
    <w:p w:rsidR="009E17D5" w:rsidRDefault="009E17D5" w:rsidP="00EF0BB0">
      <w:pPr>
        <w:contextualSpacing/>
        <w:rPr>
          <w:b/>
        </w:rPr>
      </w:pPr>
      <w:commentRangeStart w:id="0"/>
      <w:r w:rsidRPr="00AB755F">
        <w:rPr>
          <w:b/>
        </w:rPr>
        <w:t xml:space="preserve">Methods: </w:t>
      </w:r>
      <w:commentRangeEnd w:id="0"/>
      <w:r>
        <w:rPr>
          <w:rStyle w:val="CommentReference"/>
        </w:rPr>
        <w:commentReference w:id="0"/>
      </w:r>
    </w:p>
    <w:p w:rsidR="009E17D5" w:rsidRPr="00AB755F" w:rsidRDefault="009E17D5" w:rsidP="00EF0BB0">
      <w:pPr>
        <w:contextualSpacing/>
      </w:pPr>
      <w:r>
        <w:t xml:space="preserve">To examine the difference in geometric mean CRP values between subjects that died within 4 years of enrollment and subjects that survived at least 4 years, we first </w:t>
      </w:r>
      <w:commentRangeStart w:id="1"/>
      <w:r>
        <w:t xml:space="preserve">log transformed CRP </w:t>
      </w:r>
      <w:commentRangeEnd w:id="1"/>
      <w:r>
        <w:rPr>
          <w:rStyle w:val="CommentReference"/>
        </w:rPr>
        <w:commentReference w:id="1"/>
      </w:r>
      <w:r>
        <w:t xml:space="preserve">values.  We then performed a two sample t test that allows for unequal variances on the log transformed values. 95% confidence intervals for difference in population means for log CRP were also calculated allowing for unequal variances. Estimates and confidence intervals were than exponentiated in order to obtain inference on the geometric mean. </w:t>
      </w:r>
    </w:p>
    <w:p w:rsidR="009E17D5" w:rsidRDefault="009E17D5" w:rsidP="00EF0BB0">
      <w:pPr>
        <w:contextualSpacing/>
      </w:pPr>
    </w:p>
    <w:p w:rsidR="009E17D5" w:rsidRPr="00AB755F" w:rsidRDefault="009E17D5" w:rsidP="00EF0BB0">
      <w:pPr>
        <w:contextualSpacing/>
        <w:rPr>
          <w:b/>
        </w:rPr>
      </w:pPr>
      <w:r w:rsidRPr="00AB755F">
        <w:rPr>
          <w:b/>
        </w:rPr>
        <w:t xml:space="preserve">Results: </w:t>
      </w:r>
    </w:p>
    <w:p w:rsidR="009E17D5" w:rsidRDefault="009E17D5" w:rsidP="00EF0BB0">
      <w:pPr>
        <w:contextualSpacing/>
      </w:pPr>
      <w:r>
        <w:t xml:space="preserve">Among the 484 subjects that died within 4 years after study enrollment, geometric mean serum CRP was </w:t>
      </w:r>
      <w:commentRangeStart w:id="2"/>
      <w:r>
        <w:t xml:space="preserve">2.86 </w:t>
      </w:r>
      <w:commentRangeEnd w:id="2"/>
      <w:r>
        <w:rPr>
          <w:rStyle w:val="CommentReference"/>
        </w:rPr>
        <w:commentReference w:id="2"/>
      </w:r>
      <w:r>
        <w:t xml:space="preserve">mg/L.  Among the 4449 subjects that survived at least 4 years, geometric mean serum CRP was 1.87.  The geometric mean serum CRP level was </w:t>
      </w:r>
      <w:commentRangeStart w:id="3"/>
      <w:r>
        <w:t xml:space="preserve">0.654 mg/L higher </w:t>
      </w:r>
      <w:commentRangeEnd w:id="3"/>
      <w:r>
        <w:rPr>
          <w:rStyle w:val="CommentReference"/>
        </w:rPr>
        <w:commentReference w:id="3"/>
      </w:r>
      <w:r>
        <w:t xml:space="preserve">in subjects that died within 4 years (95% confidence interval 0.590 mg/L to 0.725 mg/L).  If the true population difference in geometric mean CRP is between 0.590 mg/L and 0.725 mg/L, our data would not be surprising.  This observed difference is statistically significant at an alpha level of 0.05 (p &lt; 0.0001); therefore, we reject the null hypothesis of no difference in geometric mean CRP between groups in favor of the null hypothesis that death within 4 years of study enrollment is associated with higher geometric mean CRP.  </w:t>
      </w:r>
    </w:p>
    <w:p w:rsidR="009E17D5" w:rsidRDefault="009E17D5" w:rsidP="00EF0BB0">
      <w:pPr>
        <w:contextualSpacing/>
      </w:pPr>
    </w:p>
    <w:p w:rsidR="009E17D5" w:rsidRDefault="009E17D5" w:rsidP="00EF0BB0">
      <w:pPr>
        <w:contextualSpacing/>
      </w:pPr>
      <w:r>
        <w:t xml:space="preserve">5.) </w:t>
      </w:r>
    </w:p>
    <w:p w:rsidR="009E17D5" w:rsidRDefault="009E17D5" w:rsidP="00EF0BB0">
      <w:pPr>
        <w:contextualSpacing/>
      </w:pPr>
    </w:p>
    <w:p w:rsidR="009E17D5" w:rsidRDefault="009E17D5" w:rsidP="00EF0BB0">
      <w:pPr>
        <w:contextualSpacing/>
        <w:rPr>
          <w:b/>
        </w:rPr>
      </w:pPr>
      <w:r w:rsidRPr="00F81F80">
        <w:rPr>
          <w:b/>
        </w:rPr>
        <w:t xml:space="preserve">Methods: </w:t>
      </w:r>
    </w:p>
    <w:p w:rsidR="009E17D5" w:rsidRPr="00565E41" w:rsidRDefault="009E17D5" w:rsidP="00EF0BB0">
      <w:pPr>
        <w:contextualSpacing/>
      </w:pPr>
      <w:r>
        <w:t xml:space="preserve">To examine the difference in proportion of subjects dying within 4 years of study enrollment in subjects with CRP &gt;3 mg/L compared with subjects with CRP &lt;=3 mg/L, we performed a chi squared test of independence.  95% confidence intervals for the difference in population 4 year probability of death were calculated using Wald statistics. </w:t>
      </w:r>
    </w:p>
    <w:p w:rsidR="009E17D5" w:rsidRDefault="009E17D5" w:rsidP="00EF0BB0">
      <w:pPr>
        <w:contextualSpacing/>
      </w:pPr>
    </w:p>
    <w:p w:rsidR="009E17D5" w:rsidRDefault="009E17D5" w:rsidP="00EF0BB0">
      <w:pPr>
        <w:contextualSpacing/>
        <w:rPr>
          <w:b/>
        </w:rPr>
      </w:pPr>
      <w:r w:rsidRPr="00F81F80">
        <w:rPr>
          <w:b/>
        </w:rPr>
        <w:t xml:space="preserve">Results: </w:t>
      </w:r>
    </w:p>
    <w:p w:rsidR="009E17D5" w:rsidRDefault="009E17D5" w:rsidP="00EF0BB0">
      <w:pPr>
        <w:contextualSpacing/>
      </w:pPr>
      <w:r>
        <w:t xml:space="preserve">Of the 1175 subjects with CRP &gt; 3 mg/L, 15.6% died within 4 years of study enrollment.  Of the 3758 subjects with CRP &lt;= 3 mg/L, 8.0% died within 4 years of study enrollment.  The proportion that died within 4 years was 7.6% higher in the “high” CRP group (95% confidence interval 5.3% to 9.8%).  If the true population difference in probability of death within 4 years is between 5.3% and 9.8%, our data would not be surprising.  The observed difference in proportion dying within 4 years is statistically significant at an alpha of 0.05 (p &lt;0.0001); therefore, we reject the null hypothesis of no difference in probability of death within 4 years between groups in favor of the alternative hypothesis that “high” serum CRP levels are associated with a higher probability of death within 4 years after study enrollment. </w:t>
      </w:r>
    </w:p>
    <w:p w:rsidR="009E17D5" w:rsidRDefault="009E17D5" w:rsidP="00EF0BB0">
      <w:pPr>
        <w:contextualSpacing/>
      </w:pPr>
    </w:p>
    <w:p w:rsidR="009E17D5" w:rsidRDefault="009E17D5" w:rsidP="00EF0BB0">
      <w:pPr>
        <w:contextualSpacing/>
      </w:pPr>
      <w:r>
        <w:t xml:space="preserve">6.) </w:t>
      </w:r>
    </w:p>
    <w:p w:rsidR="009E17D5" w:rsidRDefault="009E17D5" w:rsidP="00EF0BB0">
      <w:pPr>
        <w:contextualSpacing/>
      </w:pPr>
    </w:p>
    <w:p w:rsidR="009E17D5" w:rsidRPr="00ED2221" w:rsidRDefault="009E17D5" w:rsidP="00EF0BB0">
      <w:pPr>
        <w:contextualSpacing/>
        <w:rPr>
          <w:b/>
        </w:rPr>
      </w:pPr>
      <w:r w:rsidRPr="00ED2221">
        <w:rPr>
          <w:b/>
        </w:rPr>
        <w:t xml:space="preserve">Methods: </w:t>
      </w:r>
    </w:p>
    <w:p w:rsidR="009E17D5" w:rsidRDefault="009E17D5" w:rsidP="00EF0BB0">
      <w:pPr>
        <w:contextualSpacing/>
      </w:pPr>
      <w:r>
        <w:t xml:space="preserve">To compare the odds of dying within 4 years of study enrollment in subjects with serum CRP &gt; 3 mg/L compared with subjects with serum CRP &lt;= 3 mg/L, an odds ratio different from 1 was tested using the chi squared test of independence.  95% confidence intervals for the odds ratio were computed using the Cornfield method. </w:t>
      </w:r>
    </w:p>
    <w:p w:rsidR="009E17D5" w:rsidRDefault="009E17D5" w:rsidP="00EF0BB0">
      <w:pPr>
        <w:contextualSpacing/>
      </w:pPr>
    </w:p>
    <w:p w:rsidR="009E17D5" w:rsidRPr="00ED2221" w:rsidRDefault="009E17D5" w:rsidP="00EF0BB0">
      <w:pPr>
        <w:contextualSpacing/>
        <w:rPr>
          <w:b/>
        </w:rPr>
      </w:pPr>
      <w:r w:rsidRPr="00ED2221">
        <w:rPr>
          <w:b/>
        </w:rPr>
        <w:t xml:space="preserve">Results: </w:t>
      </w:r>
    </w:p>
    <w:p w:rsidR="009E17D5" w:rsidRDefault="009E17D5" w:rsidP="00EF0BB0">
      <w:pPr>
        <w:contextualSpacing/>
      </w:pPr>
      <w:r>
        <w:t xml:space="preserve">Of the 1175 subjects with CRP &gt; 3 mg/L, the odds of death within 4 years of study enrollment is 0.184.  Of the 3758 subjects with CRP &lt;=3 mg/L, the odds of death within 4 years is 0.0871.  The yields an odds ratio of 2.12 (95% confidence interval 1.74 to 2.58).  If the true odds ratio in the population were between 1.74 and 2.58, our data would not be surprising.  The observed odds ratio is statistically significant at an alpha of 0.05 (p &lt; 0.0001); therefore, we reject the null hypothesis that the odds ratio is 1 in favor of the alternative hypothesis that “high” serum CRP levels are associated with a higher odds of death within 4 years after study enrollment. </w:t>
      </w:r>
    </w:p>
    <w:p w:rsidR="009E17D5" w:rsidRDefault="009E17D5" w:rsidP="00EF0BB0">
      <w:pPr>
        <w:contextualSpacing/>
      </w:pPr>
    </w:p>
    <w:p w:rsidR="009E17D5" w:rsidRDefault="009E17D5" w:rsidP="00EF0BB0">
      <w:pPr>
        <w:contextualSpacing/>
      </w:pPr>
      <w:r>
        <w:t>7.)</w:t>
      </w:r>
    </w:p>
    <w:p w:rsidR="009E17D5" w:rsidRDefault="009E17D5" w:rsidP="00EF0BB0">
      <w:pPr>
        <w:contextualSpacing/>
      </w:pPr>
    </w:p>
    <w:p w:rsidR="009E17D5" w:rsidRDefault="009E17D5" w:rsidP="00EF0BB0">
      <w:pPr>
        <w:contextualSpacing/>
        <w:rPr>
          <w:b/>
        </w:rPr>
      </w:pPr>
      <w:r w:rsidRPr="00B26312">
        <w:rPr>
          <w:b/>
        </w:rPr>
        <w:t xml:space="preserve">Methods: </w:t>
      </w:r>
    </w:p>
    <w:p w:rsidR="009E17D5" w:rsidRPr="00B26312" w:rsidRDefault="009E17D5" w:rsidP="00EF0BB0">
      <w:pPr>
        <w:contextualSpacing/>
      </w:pPr>
      <w:r>
        <w:t xml:space="preserve">Using Kaplan-Meier methods, we estimated the survival distribution for 2 strata: those with CRP &gt; 3 mg/L, and those with CRP &lt;= 3 mg/L.  We used the logrank statistic to test for differences in survival distributions between these two strata.  The hazard ratio and 95% confidence interval were calculated using Cox proportional hazards regression. </w:t>
      </w:r>
    </w:p>
    <w:p w:rsidR="009E17D5" w:rsidRPr="00B26312" w:rsidRDefault="009E17D5" w:rsidP="00EF0BB0">
      <w:pPr>
        <w:contextualSpacing/>
        <w:rPr>
          <w:b/>
        </w:rPr>
      </w:pPr>
    </w:p>
    <w:p w:rsidR="009E17D5" w:rsidRDefault="009E17D5" w:rsidP="00EF0BB0">
      <w:pPr>
        <w:contextualSpacing/>
        <w:rPr>
          <w:b/>
        </w:rPr>
      </w:pPr>
      <w:r w:rsidRPr="00B26312">
        <w:rPr>
          <w:b/>
        </w:rPr>
        <w:t xml:space="preserve">Results: </w:t>
      </w:r>
    </w:p>
    <w:p w:rsidR="009E17D5" w:rsidRDefault="009E17D5" w:rsidP="00EF0BB0">
      <w:pPr>
        <w:contextualSpacing/>
      </w:pPr>
      <w:r>
        <w:t xml:space="preserve">The graph and table below show Kaplan-Meier survival estimates for 2 different groups: the 1175 subjects with CRP &gt; 3 mg/L, and the 3758 subjects with CRP &lt;=3 mg/L.  As can be seen in the graph and table, the lower CRP group has a higher survival probability at every point in time.  The instantaneous risk of death is estimated to be 68.7% higher for the higher CRP group (hazard ratio 1.687, 95% confidence interval 1.485 to 1.917).  If the true hazard ratio in the population is between 1.485 and 1.917, our data would not be surprising.  Based on a two sided logrank test p value of &lt; 0.0001, we reject the null hypothesis of no difference in the probability of survival between the two groups in favor of the alternative hypothesis that higher serum CRP is associated with lower probability of survival. </w:t>
      </w:r>
    </w:p>
    <w:p w:rsidR="009E17D5" w:rsidRPr="00164381" w:rsidRDefault="009E17D5" w:rsidP="00EF0BB0">
      <w:pPr>
        <w:contextualSpacing/>
      </w:pPr>
    </w:p>
    <w:p w:rsidR="009E17D5" w:rsidRDefault="009E17D5" w:rsidP="00EF0BB0">
      <w:pPr>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2.75pt;height:294.75pt;visibility:visible">
            <v:imagedata r:id="rId8" o:title=""/>
          </v:shape>
        </w:pict>
      </w: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p w:rsidR="009E17D5" w:rsidRDefault="009E17D5" w:rsidP="00EF0BB0">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
        <w:gridCol w:w="2295"/>
        <w:gridCol w:w="2295"/>
      </w:tblGrid>
      <w:tr w:rsidR="009E17D5" w:rsidRPr="00417FD9" w:rsidTr="00417FD9">
        <w:tc>
          <w:tcPr>
            <w:tcW w:w="1165" w:type="dxa"/>
          </w:tcPr>
          <w:p w:rsidR="009E17D5" w:rsidRPr="00417FD9" w:rsidRDefault="009E17D5" w:rsidP="00417FD9">
            <w:pPr>
              <w:spacing w:after="0"/>
              <w:contextualSpacing/>
              <w:rPr>
                <w:b/>
              </w:rPr>
            </w:pPr>
          </w:p>
        </w:tc>
        <w:tc>
          <w:tcPr>
            <w:tcW w:w="4590" w:type="dxa"/>
            <w:gridSpan w:val="2"/>
          </w:tcPr>
          <w:p w:rsidR="009E17D5" w:rsidRPr="00417FD9" w:rsidRDefault="009E17D5" w:rsidP="00417FD9">
            <w:pPr>
              <w:spacing w:after="0"/>
              <w:contextualSpacing/>
              <w:jc w:val="center"/>
              <w:rPr>
                <w:b/>
              </w:rPr>
            </w:pPr>
            <w:r w:rsidRPr="00417FD9">
              <w:rPr>
                <w:b/>
              </w:rPr>
              <w:t xml:space="preserve">Survival Probabilities (Kaplan Meier) </w:t>
            </w:r>
          </w:p>
        </w:tc>
      </w:tr>
      <w:tr w:rsidR="009E17D5" w:rsidRPr="00417FD9" w:rsidTr="00417FD9">
        <w:tc>
          <w:tcPr>
            <w:tcW w:w="1165" w:type="dxa"/>
          </w:tcPr>
          <w:p w:rsidR="009E17D5" w:rsidRPr="00417FD9" w:rsidRDefault="009E17D5" w:rsidP="00417FD9">
            <w:pPr>
              <w:spacing w:after="0"/>
              <w:contextualSpacing/>
              <w:rPr>
                <w:b/>
              </w:rPr>
            </w:pPr>
          </w:p>
        </w:tc>
        <w:tc>
          <w:tcPr>
            <w:tcW w:w="2295" w:type="dxa"/>
          </w:tcPr>
          <w:p w:rsidR="009E17D5" w:rsidRPr="00417FD9" w:rsidRDefault="009E17D5" w:rsidP="00417FD9">
            <w:pPr>
              <w:spacing w:after="0"/>
              <w:contextualSpacing/>
              <w:jc w:val="center"/>
              <w:rPr>
                <w:b/>
              </w:rPr>
            </w:pPr>
            <w:r w:rsidRPr="00417FD9">
              <w:rPr>
                <w:b/>
              </w:rPr>
              <w:t>CRP &gt; 3 mg/L</w:t>
            </w:r>
          </w:p>
        </w:tc>
        <w:tc>
          <w:tcPr>
            <w:tcW w:w="2295" w:type="dxa"/>
          </w:tcPr>
          <w:p w:rsidR="009E17D5" w:rsidRPr="00417FD9" w:rsidRDefault="009E17D5" w:rsidP="00417FD9">
            <w:pPr>
              <w:spacing w:after="0"/>
              <w:contextualSpacing/>
              <w:jc w:val="center"/>
              <w:rPr>
                <w:b/>
              </w:rPr>
            </w:pPr>
            <w:r w:rsidRPr="00417FD9">
              <w:rPr>
                <w:b/>
              </w:rPr>
              <w:t>CRP &lt;= 3 mg/L</w:t>
            </w:r>
          </w:p>
        </w:tc>
      </w:tr>
      <w:tr w:rsidR="009E17D5" w:rsidRPr="00417FD9" w:rsidTr="00417FD9">
        <w:tc>
          <w:tcPr>
            <w:tcW w:w="1165" w:type="dxa"/>
          </w:tcPr>
          <w:p w:rsidR="009E17D5" w:rsidRPr="00417FD9" w:rsidRDefault="009E17D5" w:rsidP="00417FD9">
            <w:pPr>
              <w:spacing w:after="0"/>
              <w:contextualSpacing/>
              <w:rPr>
                <w:b/>
              </w:rPr>
            </w:pPr>
            <w:r w:rsidRPr="00417FD9">
              <w:rPr>
                <w:b/>
              </w:rPr>
              <w:t>1 year</w:t>
            </w:r>
          </w:p>
        </w:tc>
        <w:tc>
          <w:tcPr>
            <w:tcW w:w="2295" w:type="dxa"/>
          </w:tcPr>
          <w:p w:rsidR="009E17D5" w:rsidRPr="00417FD9" w:rsidRDefault="009E17D5" w:rsidP="00417FD9">
            <w:pPr>
              <w:spacing w:after="0"/>
              <w:contextualSpacing/>
              <w:jc w:val="center"/>
            </w:pPr>
            <w:r w:rsidRPr="00417FD9">
              <w:t>0.967</w:t>
            </w:r>
          </w:p>
        </w:tc>
        <w:tc>
          <w:tcPr>
            <w:tcW w:w="2295" w:type="dxa"/>
          </w:tcPr>
          <w:p w:rsidR="009E17D5" w:rsidRPr="00417FD9" w:rsidRDefault="009E17D5" w:rsidP="00417FD9">
            <w:pPr>
              <w:spacing w:after="0"/>
              <w:contextualSpacing/>
              <w:jc w:val="center"/>
            </w:pPr>
            <w:r w:rsidRPr="00417FD9">
              <w:t>0.988</w:t>
            </w:r>
          </w:p>
        </w:tc>
      </w:tr>
      <w:tr w:rsidR="009E17D5" w:rsidRPr="00417FD9" w:rsidTr="00417FD9">
        <w:tc>
          <w:tcPr>
            <w:tcW w:w="1165" w:type="dxa"/>
          </w:tcPr>
          <w:p w:rsidR="009E17D5" w:rsidRPr="00417FD9" w:rsidRDefault="009E17D5" w:rsidP="00417FD9">
            <w:pPr>
              <w:spacing w:after="0"/>
              <w:contextualSpacing/>
              <w:rPr>
                <w:b/>
              </w:rPr>
            </w:pPr>
            <w:r w:rsidRPr="00417FD9">
              <w:rPr>
                <w:b/>
              </w:rPr>
              <w:t>2 years</w:t>
            </w:r>
          </w:p>
        </w:tc>
        <w:tc>
          <w:tcPr>
            <w:tcW w:w="2295" w:type="dxa"/>
          </w:tcPr>
          <w:p w:rsidR="009E17D5" w:rsidRPr="00417FD9" w:rsidRDefault="009E17D5" w:rsidP="00417FD9">
            <w:pPr>
              <w:spacing w:after="0"/>
              <w:contextualSpacing/>
              <w:jc w:val="center"/>
            </w:pPr>
            <w:r w:rsidRPr="00417FD9">
              <w:t>0.962</w:t>
            </w:r>
          </w:p>
        </w:tc>
        <w:tc>
          <w:tcPr>
            <w:tcW w:w="2295" w:type="dxa"/>
          </w:tcPr>
          <w:p w:rsidR="009E17D5" w:rsidRPr="00417FD9" w:rsidRDefault="009E17D5" w:rsidP="00417FD9">
            <w:pPr>
              <w:spacing w:after="0"/>
              <w:contextualSpacing/>
              <w:jc w:val="center"/>
            </w:pPr>
            <w:r w:rsidRPr="00417FD9">
              <w:t>0.971</w:t>
            </w:r>
          </w:p>
        </w:tc>
      </w:tr>
      <w:tr w:rsidR="009E17D5" w:rsidRPr="00417FD9" w:rsidTr="00417FD9">
        <w:tc>
          <w:tcPr>
            <w:tcW w:w="1165" w:type="dxa"/>
          </w:tcPr>
          <w:p w:rsidR="009E17D5" w:rsidRPr="00417FD9" w:rsidRDefault="009E17D5" w:rsidP="00417FD9">
            <w:pPr>
              <w:spacing w:after="0"/>
              <w:contextualSpacing/>
              <w:rPr>
                <w:b/>
              </w:rPr>
            </w:pPr>
            <w:r w:rsidRPr="00417FD9">
              <w:rPr>
                <w:b/>
              </w:rPr>
              <w:t>3 years</w:t>
            </w:r>
          </w:p>
        </w:tc>
        <w:tc>
          <w:tcPr>
            <w:tcW w:w="2295" w:type="dxa"/>
          </w:tcPr>
          <w:p w:rsidR="009E17D5" w:rsidRPr="00417FD9" w:rsidRDefault="009E17D5" w:rsidP="00417FD9">
            <w:pPr>
              <w:spacing w:after="0"/>
              <w:contextualSpacing/>
              <w:jc w:val="center"/>
            </w:pPr>
            <w:r w:rsidRPr="00417FD9">
              <w:t>0.881</w:t>
            </w:r>
          </w:p>
        </w:tc>
        <w:tc>
          <w:tcPr>
            <w:tcW w:w="2295" w:type="dxa"/>
          </w:tcPr>
          <w:p w:rsidR="009E17D5" w:rsidRPr="00417FD9" w:rsidRDefault="009E17D5" w:rsidP="00417FD9">
            <w:pPr>
              <w:spacing w:after="0"/>
              <w:contextualSpacing/>
              <w:jc w:val="center"/>
            </w:pPr>
            <w:r w:rsidRPr="00417FD9">
              <w:t>0.948</w:t>
            </w:r>
          </w:p>
        </w:tc>
      </w:tr>
      <w:tr w:rsidR="009E17D5" w:rsidRPr="00417FD9" w:rsidTr="00417FD9">
        <w:tc>
          <w:tcPr>
            <w:tcW w:w="1165" w:type="dxa"/>
          </w:tcPr>
          <w:p w:rsidR="009E17D5" w:rsidRPr="00417FD9" w:rsidRDefault="009E17D5" w:rsidP="00417FD9">
            <w:pPr>
              <w:spacing w:after="0"/>
              <w:contextualSpacing/>
              <w:rPr>
                <w:b/>
              </w:rPr>
            </w:pPr>
            <w:r w:rsidRPr="00417FD9">
              <w:rPr>
                <w:b/>
              </w:rPr>
              <w:t>4 years</w:t>
            </w:r>
          </w:p>
        </w:tc>
        <w:tc>
          <w:tcPr>
            <w:tcW w:w="2295" w:type="dxa"/>
          </w:tcPr>
          <w:p w:rsidR="009E17D5" w:rsidRPr="00417FD9" w:rsidRDefault="009E17D5" w:rsidP="00417FD9">
            <w:pPr>
              <w:spacing w:after="0"/>
              <w:contextualSpacing/>
              <w:jc w:val="center"/>
            </w:pPr>
            <w:r w:rsidRPr="00417FD9">
              <w:t>0.844</w:t>
            </w:r>
          </w:p>
        </w:tc>
        <w:tc>
          <w:tcPr>
            <w:tcW w:w="2295" w:type="dxa"/>
          </w:tcPr>
          <w:p w:rsidR="009E17D5" w:rsidRPr="00417FD9" w:rsidRDefault="009E17D5" w:rsidP="00417FD9">
            <w:pPr>
              <w:spacing w:after="0"/>
              <w:contextualSpacing/>
              <w:jc w:val="center"/>
            </w:pPr>
            <w:r w:rsidRPr="00417FD9">
              <w:t>0.920</w:t>
            </w:r>
          </w:p>
        </w:tc>
      </w:tr>
      <w:tr w:rsidR="009E17D5" w:rsidRPr="00417FD9" w:rsidTr="00417FD9">
        <w:tc>
          <w:tcPr>
            <w:tcW w:w="1165" w:type="dxa"/>
          </w:tcPr>
          <w:p w:rsidR="009E17D5" w:rsidRPr="00417FD9" w:rsidRDefault="009E17D5" w:rsidP="00417FD9">
            <w:pPr>
              <w:spacing w:after="0"/>
              <w:contextualSpacing/>
              <w:rPr>
                <w:b/>
              </w:rPr>
            </w:pPr>
            <w:r w:rsidRPr="00417FD9">
              <w:rPr>
                <w:b/>
              </w:rPr>
              <w:t>5 years</w:t>
            </w:r>
          </w:p>
        </w:tc>
        <w:tc>
          <w:tcPr>
            <w:tcW w:w="2295" w:type="dxa"/>
          </w:tcPr>
          <w:p w:rsidR="009E17D5" w:rsidRPr="00417FD9" w:rsidRDefault="009E17D5" w:rsidP="00417FD9">
            <w:pPr>
              <w:spacing w:after="0"/>
              <w:contextualSpacing/>
              <w:jc w:val="center"/>
            </w:pPr>
            <w:r w:rsidRPr="00417FD9">
              <w:t>0.800</w:t>
            </w:r>
          </w:p>
        </w:tc>
        <w:tc>
          <w:tcPr>
            <w:tcW w:w="2295" w:type="dxa"/>
          </w:tcPr>
          <w:p w:rsidR="009E17D5" w:rsidRPr="00417FD9" w:rsidRDefault="009E17D5" w:rsidP="00417FD9">
            <w:pPr>
              <w:spacing w:after="0"/>
              <w:contextualSpacing/>
              <w:jc w:val="center"/>
            </w:pPr>
            <w:r w:rsidRPr="00417FD9">
              <w:t>0.884</w:t>
            </w:r>
          </w:p>
        </w:tc>
      </w:tr>
      <w:tr w:rsidR="009E17D5" w:rsidRPr="00417FD9" w:rsidTr="00417FD9">
        <w:tc>
          <w:tcPr>
            <w:tcW w:w="1165" w:type="dxa"/>
          </w:tcPr>
          <w:p w:rsidR="009E17D5" w:rsidRPr="00417FD9" w:rsidRDefault="009E17D5" w:rsidP="00417FD9">
            <w:pPr>
              <w:spacing w:after="0"/>
              <w:contextualSpacing/>
              <w:rPr>
                <w:b/>
              </w:rPr>
            </w:pPr>
            <w:r w:rsidRPr="00417FD9">
              <w:rPr>
                <w:b/>
              </w:rPr>
              <w:t>6 years</w:t>
            </w:r>
          </w:p>
        </w:tc>
        <w:tc>
          <w:tcPr>
            <w:tcW w:w="2295" w:type="dxa"/>
          </w:tcPr>
          <w:p w:rsidR="009E17D5" w:rsidRPr="00417FD9" w:rsidRDefault="009E17D5" w:rsidP="00417FD9">
            <w:pPr>
              <w:spacing w:after="0"/>
              <w:contextualSpacing/>
              <w:jc w:val="center"/>
            </w:pPr>
            <w:r w:rsidRPr="00417FD9">
              <w:t>0.755</w:t>
            </w:r>
          </w:p>
        </w:tc>
        <w:tc>
          <w:tcPr>
            <w:tcW w:w="2295" w:type="dxa"/>
          </w:tcPr>
          <w:p w:rsidR="009E17D5" w:rsidRPr="00417FD9" w:rsidRDefault="009E17D5" w:rsidP="00417FD9">
            <w:pPr>
              <w:spacing w:after="0"/>
              <w:contextualSpacing/>
              <w:jc w:val="center"/>
            </w:pPr>
            <w:r w:rsidRPr="00417FD9">
              <w:t>0.853</w:t>
            </w:r>
          </w:p>
        </w:tc>
      </w:tr>
      <w:tr w:rsidR="009E17D5" w:rsidRPr="00417FD9" w:rsidTr="00417FD9">
        <w:tc>
          <w:tcPr>
            <w:tcW w:w="1165" w:type="dxa"/>
          </w:tcPr>
          <w:p w:rsidR="009E17D5" w:rsidRPr="00417FD9" w:rsidRDefault="009E17D5" w:rsidP="00417FD9">
            <w:pPr>
              <w:spacing w:after="0"/>
              <w:contextualSpacing/>
              <w:rPr>
                <w:b/>
              </w:rPr>
            </w:pPr>
            <w:r w:rsidRPr="00417FD9">
              <w:rPr>
                <w:b/>
              </w:rPr>
              <w:t>7 years</w:t>
            </w:r>
          </w:p>
        </w:tc>
        <w:tc>
          <w:tcPr>
            <w:tcW w:w="2295" w:type="dxa"/>
          </w:tcPr>
          <w:p w:rsidR="009E17D5" w:rsidRPr="00417FD9" w:rsidRDefault="009E17D5" w:rsidP="00417FD9">
            <w:pPr>
              <w:spacing w:after="0"/>
              <w:contextualSpacing/>
              <w:jc w:val="center"/>
            </w:pPr>
            <w:r w:rsidRPr="00417FD9">
              <w:t>0.710</w:t>
            </w:r>
          </w:p>
        </w:tc>
        <w:tc>
          <w:tcPr>
            <w:tcW w:w="2295" w:type="dxa"/>
          </w:tcPr>
          <w:p w:rsidR="009E17D5" w:rsidRPr="00417FD9" w:rsidRDefault="009E17D5" w:rsidP="00417FD9">
            <w:pPr>
              <w:spacing w:after="0"/>
              <w:contextualSpacing/>
              <w:jc w:val="center"/>
            </w:pPr>
            <w:r w:rsidRPr="00417FD9">
              <w:t>0.810</w:t>
            </w:r>
          </w:p>
        </w:tc>
      </w:tr>
      <w:tr w:rsidR="009E17D5" w:rsidRPr="00417FD9" w:rsidTr="00417FD9">
        <w:tc>
          <w:tcPr>
            <w:tcW w:w="1165" w:type="dxa"/>
          </w:tcPr>
          <w:p w:rsidR="009E17D5" w:rsidRPr="00417FD9" w:rsidRDefault="009E17D5" w:rsidP="00417FD9">
            <w:pPr>
              <w:spacing w:after="0"/>
              <w:contextualSpacing/>
              <w:rPr>
                <w:b/>
              </w:rPr>
            </w:pPr>
            <w:r w:rsidRPr="00417FD9">
              <w:rPr>
                <w:b/>
              </w:rPr>
              <w:t>8 years</w:t>
            </w:r>
          </w:p>
        </w:tc>
        <w:tc>
          <w:tcPr>
            <w:tcW w:w="2295" w:type="dxa"/>
          </w:tcPr>
          <w:p w:rsidR="009E17D5" w:rsidRPr="00417FD9" w:rsidRDefault="009E17D5" w:rsidP="00417FD9">
            <w:pPr>
              <w:spacing w:after="0"/>
              <w:contextualSpacing/>
              <w:jc w:val="center"/>
            </w:pPr>
            <w:r w:rsidRPr="00417FD9">
              <w:t>0.647</w:t>
            </w:r>
          </w:p>
        </w:tc>
        <w:tc>
          <w:tcPr>
            <w:tcW w:w="2295" w:type="dxa"/>
          </w:tcPr>
          <w:p w:rsidR="009E17D5" w:rsidRPr="00417FD9" w:rsidRDefault="009E17D5" w:rsidP="00417FD9">
            <w:pPr>
              <w:spacing w:after="0"/>
              <w:contextualSpacing/>
              <w:jc w:val="center"/>
            </w:pPr>
            <w:r w:rsidRPr="00417FD9">
              <w:t>0.769</w:t>
            </w:r>
          </w:p>
        </w:tc>
      </w:tr>
    </w:tbl>
    <w:p w:rsidR="009E17D5" w:rsidRDefault="009E17D5" w:rsidP="00EF0BB0">
      <w:pPr>
        <w:contextualSpacing/>
      </w:pPr>
    </w:p>
    <w:p w:rsidR="009E17D5" w:rsidRDefault="009E17D5" w:rsidP="00EF0BB0">
      <w:pPr>
        <w:contextualSpacing/>
      </w:pPr>
      <w:r>
        <w:t xml:space="preserve">8.) </w:t>
      </w:r>
    </w:p>
    <w:p w:rsidR="009E17D5" w:rsidRPr="00192F11" w:rsidRDefault="009E17D5" w:rsidP="00EF0BB0">
      <w:pPr>
        <w:contextualSpacing/>
      </w:pPr>
      <w:r>
        <w:t xml:space="preserve">I prefer an analysis that conditions on CRP for 2 reasons: the blood measurement must occur before death, and it may be that intervention targeted a lowering CRP could change survival (this question cannot be answered in this current study, but establishing an association between CRP levels and survival in this study could lead to further studies aimed at intervening on CRP levels).  I also prefer an analysis that does not split continuous variables into categories unless there is a clear reason for doing so because in dividing the variable into a few categories, you necessarily lose some information in the data.  Finally, for laboratory data I prefer to analyze geometric means.  Therefore, I prefer the analysis from question #4 that performs a two sample t test (that allows for unequal variances) of geometric mean CRP levels, comparing those that died within 4 years and those that survived at least 4 years.  </w:t>
      </w:r>
      <w:bookmarkStart w:id="4" w:name="_GoBack"/>
      <w:bookmarkEnd w:id="4"/>
    </w:p>
    <w:sectPr w:rsidR="009E17D5" w:rsidRPr="00192F11" w:rsidSect="009575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9E17D5" w:rsidRDefault="009E17D5">
      <w:pPr>
        <w:pStyle w:val="CommentText"/>
      </w:pPr>
      <w:r>
        <w:rPr>
          <w:rStyle w:val="CommentReference"/>
        </w:rPr>
        <w:annotationRef/>
      </w:r>
      <w:r>
        <w:t>Score 6/10</w:t>
      </w:r>
    </w:p>
  </w:comment>
  <w:comment w:id="1" w:author="Author" w:initials="A">
    <w:p w:rsidR="009E17D5" w:rsidRDefault="009E17D5">
      <w:pPr>
        <w:pStyle w:val="CommentText"/>
      </w:pPr>
      <w:r>
        <w:rPr>
          <w:rStyle w:val="CommentReference"/>
        </w:rPr>
        <w:annotationRef/>
      </w:r>
      <w:r>
        <w:t>-1pt how did you handle CRP values that were originally 0?</w:t>
      </w:r>
    </w:p>
  </w:comment>
  <w:comment w:id="2" w:author="Author" w:initials="A">
    <w:p w:rsidR="009E17D5" w:rsidRDefault="009E17D5">
      <w:pPr>
        <w:pStyle w:val="CommentText"/>
      </w:pPr>
      <w:r>
        <w:rPr>
          <w:rStyle w:val="CommentReference"/>
        </w:rPr>
        <w:annotationRef/>
      </w:r>
      <w:r>
        <w:t>-1pt Your point estimates are incorrect for the two groups.</w:t>
      </w:r>
    </w:p>
  </w:comment>
  <w:comment w:id="3" w:author="Author" w:initials="A">
    <w:p w:rsidR="009E17D5" w:rsidRDefault="009E17D5">
      <w:pPr>
        <w:pStyle w:val="CommentText"/>
      </w:pPr>
      <w:r>
        <w:rPr>
          <w:rStyle w:val="CommentReference"/>
        </w:rPr>
        <w:annotationRef/>
      </w:r>
      <w:r>
        <w:t>-2 This statement does not make sense with the numbers you report.  2.86 does not equal 1.87 +0.654.  If you are doing a multiplicative scale rather than additive you need to report it as “% increase” or “fold increase”.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D5" w:rsidRDefault="009E17D5" w:rsidP="002641F8">
      <w:pPr>
        <w:spacing w:after="0"/>
      </w:pPr>
      <w:r>
        <w:separator/>
      </w:r>
    </w:p>
  </w:endnote>
  <w:endnote w:type="continuationSeparator" w:id="0">
    <w:p w:rsidR="009E17D5" w:rsidRDefault="009E17D5" w:rsidP="002641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D5" w:rsidRDefault="009E1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D5" w:rsidRDefault="009E17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D5" w:rsidRDefault="009E1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D5" w:rsidRDefault="009E17D5" w:rsidP="002641F8">
      <w:pPr>
        <w:spacing w:after="0"/>
      </w:pPr>
      <w:r>
        <w:separator/>
      </w:r>
    </w:p>
  </w:footnote>
  <w:footnote w:type="continuationSeparator" w:id="0">
    <w:p w:rsidR="009E17D5" w:rsidRDefault="009E17D5" w:rsidP="002641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D5" w:rsidRDefault="009E1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D5" w:rsidRDefault="009E1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D5" w:rsidRDefault="009E1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5C30"/>
    <w:multiLevelType w:val="hybridMultilevel"/>
    <w:tmpl w:val="1CB261E0"/>
    <w:lvl w:ilvl="0" w:tplc="EADCB97A">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C01"/>
    <w:rsid w:val="000172BB"/>
    <w:rsid w:val="0004233B"/>
    <w:rsid w:val="0007546B"/>
    <w:rsid w:val="00087F36"/>
    <w:rsid w:val="000E1107"/>
    <w:rsid w:val="00164381"/>
    <w:rsid w:val="00192F11"/>
    <w:rsid w:val="001B4E2A"/>
    <w:rsid w:val="001B63A6"/>
    <w:rsid w:val="001E42D6"/>
    <w:rsid w:val="00247ABF"/>
    <w:rsid w:val="0026119B"/>
    <w:rsid w:val="002641F8"/>
    <w:rsid w:val="002C7093"/>
    <w:rsid w:val="002E1531"/>
    <w:rsid w:val="00311326"/>
    <w:rsid w:val="003A650F"/>
    <w:rsid w:val="003B6172"/>
    <w:rsid w:val="00412CA1"/>
    <w:rsid w:val="00417FD9"/>
    <w:rsid w:val="00446CD8"/>
    <w:rsid w:val="004709D6"/>
    <w:rsid w:val="004D6189"/>
    <w:rsid w:val="004E2380"/>
    <w:rsid w:val="004E4A98"/>
    <w:rsid w:val="004E793D"/>
    <w:rsid w:val="005048B2"/>
    <w:rsid w:val="00521359"/>
    <w:rsid w:val="00565E41"/>
    <w:rsid w:val="005C0A15"/>
    <w:rsid w:val="006556A8"/>
    <w:rsid w:val="00730B43"/>
    <w:rsid w:val="007C02D6"/>
    <w:rsid w:val="007C07BB"/>
    <w:rsid w:val="007E48A2"/>
    <w:rsid w:val="007F33EC"/>
    <w:rsid w:val="0089105D"/>
    <w:rsid w:val="008C32B4"/>
    <w:rsid w:val="009236CC"/>
    <w:rsid w:val="00957507"/>
    <w:rsid w:val="00965331"/>
    <w:rsid w:val="00965C01"/>
    <w:rsid w:val="00990E14"/>
    <w:rsid w:val="009E17D5"/>
    <w:rsid w:val="00A86290"/>
    <w:rsid w:val="00AB755F"/>
    <w:rsid w:val="00B26312"/>
    <w:rsid w:val="00BC041D"/>
    <w:rsid w:val="00BD37D8"/>
    <w:rsid w:val="00C022A8"/>
    <w:rsid w:val="00C34C04"/>
    <w:rsid w:val="00C51744"/>
    <w:rsid w:val="00CD21BD"/>
    <w:rsid w:val="00CE7D2D"/>
    <w:rsid w:val="00DE3F41"/>
    <w:rsid w:val="00ED2221"/>
    <w:rsid w:val="00EE28D7"/>
    <w:rsid w:val="00EE7E55"/>
    <w:rsid w:val="00EF0BB0"/>
    <w:rsid w:val="00F3600E"/>
    <w:rsid w:val="00F81F80"/>
    <w:rsid w:val="00FD57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07"/>
    <w:pPr>
      <w:spacing w:after="16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7E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02D6"/>
    <w:pPr>
      <w:ind w:left="720"/>
      <w:contextualSpacing/>
    </w:pPr>
  </w:style>
  <w:style w:type="paragraph" w:styleId="Header">
    <w:name w:val="header"/>
    <w:basedOn w:val="Normal"/>
    <w:link w:val="HeaderChar"/>
    <w:uiPriority w:val="99"/>
    <w:rsid w:val="002641F8"/>
    <w:pPr>
      <w:tabs>
        <w:tab w:val="center" w:pos="4680"/>
        <w:tab w:val="right" w:pos="9360"/>
      </w:tabs>
      <w:spacing w:after="0"/>
    </w:pPr>
  </w:style>
  <w:style w:type="character" w:customStyle="1" w:styleId="HeaderChar">
    <w:name w:val="Header Char"/>
    <w:basedOn w:val="DefaultParagraphFont"/>
    <w:link w:val="Header"/>
    <w:uiPriority w:val="99"/>
    <w:locked/>
    <w:rsid w:val="002641F8"/>
    <w:rPr>
      <w:rFonts w:cs="Times New Roman"/>
    </w:rPr>
  </w:style>
  <w:style w:type="paragraph" w:styleId="Footer">
    <w:name w:val="footer"/>
    <w:basedOn w:val="Normal"/>
    <w:link w:val="FooterChar"/>
    <w:uiPriority w:val="99"/>
    <w:rsid w:val="002641F8"/>
    <w:pPr>
      <w:tabs>
        <w:tab w:val="center" w:pos="4680"/>
        <w:tab w:val="right" w:pos="9360"/>
      </w:tabs>
      <w:spacing w:after="0"/>
    </w:pPr>
  </w:style>
  <w:style w:type="character" w:customStyle="1" w:styleId="FooterChar">
    <w:name w:val="Footer Char"/>
    <w:basedOn w:val="DefaultParagraphFont"/>
    <w:link w:val="Footer"/>
    <w:uiPriority w:val="99"/>
    <w:locked/>
    <w:rsid w:val="002641F8"/>
    <w:rPr>
      <w:rFonts w:cs="Times New Roman"/>
    </w:rPr>
  </w:style>
  <w:style w:type="character" w:styleId="CommentReference">
    <w:name w:val="annotation reference"/>
    <w:basedOn w:val="DefaultParagraphFont"/>
    <w:uiPriority w:val="99"/>
    <w:semiHidden/>
    <w:rsid w:val="00C34C04"/>
    <w:rPr>
      <w:rFonts w:cs="Times New Roman"/>
      <w:sz w:val="16"/>
      <w:szCs w:val="16"/>
    </w:rPr>
  </w:style>
  <w:style w:type="paragraph" w:styleId="CommentText">
    <w:name w:val="annotation text"/>
    <w:basedOn w:val="Normal"/>
    <w:link w:val="CommentTextChar"/>
    <w:uiPriority w:val="99"/>
    <w:semiHidden/>
    <w:rsid w:val="00C34C04"/>
    <w:rPr>
      <w:sz w:val="20"/>
      <w:szCs w:val="20"/>
    </w:rPr>
  </w:style>
  <w:style w:type="character" w:customStyle="1" w:styleId="CommentTextChar">
    <w:name w:val="Comment Text Char"/>
    <w:basedOn w:val="DefaultParagraphFont"/>
    <w:link w:val="CommentText"/>
    <w:uiPriority w:val="99"/>
    <w:semiHidden/>
    <w:locked/>
    <w:rsid w:val="002E1531"/>
    <w:rPr>
      <w:rFonts w:cs="Times New Roman"/>
      <w:sz w:val="20"/>
      <w:szCs w:val="20"/>
    </w:rPr>
  </w:style>
  <w:style w:type="paragraph" w:styleId="CommentSubject">
    <w:name w:val="annotation subject"/>
    <w:basedOn w:val="CommentText"/>
    <w:next w:val="CommentText"/>
    <w:link w:val="CommentSubjectChar"/>
    <w:uiPriority w:val="99"/>
    <w:semiHidden/>
    <w:rsid w:val="00C34C04"/>
    <w:rPr>
      <w:b/>
      <w:bCs/>
    </w:rPr>
  </w:style>
  <w:style w:type="character" w:customStyle="1" w:styleId="CommentSubjectChar">
    <w:name w:val="Comment Subject Char"/>
    <w:basedOn w:val="CommentTextChar"/>
    <w:link w:val="CommentSubject"/>
    <w:uiPriority w:val="99"/>
    <w:semiHidden/>
    <w:locked/>
    <w:rsid w:val="002E1531"/>
    <w:rPr>
      <w:b/>
      <w:bCs/>
    </w:rPr>
  </w:style>
  <w:style w:type="paragraph" w:styleId="BalloonText">
    <w:name w:val="Balloon Text"/>
    <w:basedOn w:val="Normal"/>
    <w:link w:val="BalloonTextChar"/>
    <w:uiPriority w:val="99"/>
    <w:semiHidden/>
    <w:rsid w:val="00C34C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53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1544</Words>
  <Characters>8802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Biostats HW#1</dc:title>
  <dc:subject/>
  <dc:creator/>
  <cp:keywords/>
  <dc:description/>
  <cp:lastModifiedBy/>
  <cp:revision>4</cp:revision>
  <dcterms:created xsi:type="dcterms:W3CDTF">2015-01-28T20:50:00Z</dcterms:created>
  <dcterms:modified xsi:type="dcterms:W3CDTF">2015-02-02T15:05:00Z</dcterms:modified>
</cp:coreProperties>
</file>