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7FAB" w:rsidRDefault="00C27FAB" w:rsidP="002F0282">
      <w:pPr>
        <w:autoSpaceDE w:val="0"/>
        <w:autoSpaceDN w:val="0"/>
        <w:adjustRightInd w:val="0"/>
        <w:jc w:val="center"/>
        <w:rPr>
          <w:b/>
          <w:color w:val="000000"/>
          <w:sz w:val="22"/>
          <w:szCs w:val="22"/>
        </w:rPr>
      </w:pPr>
      <w:r>
        <w:rPr>
          <w:b/>
          <w:color w:val="000000"/>
          <w:sz w:val="22"/>
          <w:szCs w:val="22"/>
        </w:rPr>
        <w:t>Biost 518</w:t>
      </w:r>
      <w:r w:rsidRPr="0036127B">
        <w:rPr>
          <w:b/>
          <w:color w:val="000000"/>
          <w:sz w:val="22"/>
          <w:szCs w:val="22"/>
        </w:rPr>
        <w:t xml:space="preserve">: </w:t>
      </w:r>
      <w:r>
        <w:rPr>
          <w:b/>
          <w:color w:val="000000"/>
          <w:sz w:val="22"/>
          <w:szCs w:val="22"/>
        </w:rPr>
        <w:t>Applied Biostatistics II</w:t>
      </w:r>
    </w:p>
    <w:p w:rsidR="00C27FAB" w:rsidRPr="0036127B" w:rsidRDefault="00C27FAB" w:rsidP="002F0282">
      <w:pPr>
        <w:autoSpaceDE w:val="0"/>
        <w:autoSpaceDN w:val="0"/>
        <w:adjustRightInd w:val="0"/>
        <w:jc w:val="center"/>
        <w:rPr>
          <w:b/>
          <w:color w:val="000000"/>
          <w:sz w:val="22"/>
          <w:szCs w:val="22"/>
        </w:rPr>
      </w:pPr>
      <w:r>
        <w:rPr>
          <w:b/>
          <w:color w:val="000000"/>
          <w:sz w:val="22"/>
          <w:szCs w:val="22"/>
        </w:rPr>
        <w:t>Biost 515: Biostatistics II</w:t>
      </w:r>
    </w:p>
    <w:p w:rsidR="00C27FAB" w:rsidRPr="0036127B" w:rsidRDefault="00C27FAB" w:rsidP="002F0282">
      <w:pPr>
        <w:autoSpaceDE w:val="0"/>
        <w:autoSpaceDN w:val="0"/>
        <w:adjustRightInd w:val="0"/>
        <w:jc w:val="center"/>
        <w:rPr>
          <w:color w:val="000000"/>
          <w:sz w:val="22"/>
          <w:szCs w:val="22"/>
        </w:rPr>
      </w:pPr>
      <w:r>
        <w:rPr>
          <w:color w:val="000000"/>
          <w:sz w:val="22"/>
          <w:szCs w:val="22"/>
        </w:rPr>
        <w:t>Emerson, Winter 2015</w:t>
      </w:r>
    </w:p>
    <w:p w:rsidR="00C27FAB" w:rsidRPr="0036127B" w:rsidRDefault="00C27FAB" w:rsidP="00C93A29">
      <w:pPr>
        <w:autoSpaceDE w:val="0"/>
        <w:autoSpaceDN w:val="0"/>
        <w:adjustRightInd w:val="0"/>
        <w:jc w:val="center"/>
        <w:rPr>
          <w:b/>
          <w:color w:val="000000"/>
          <w:sz w:val="22"/>
          <w:szCs w:val="22"/>
        </w:rPr>
      </w:pPr>
    </w:p>
    <w:p w:rsidR="00C27FAB" w:rsidRPr="0036127B" w:rsidRDefault="00C27FAB" w:rsidP="00C93A29">
      <w:pPr>
        <w:autoSpaceDE w:val="0"/>
        <w:autoSpaceDN w:val="0"/>
        <w:adjustRightInd w:val="0"/>
        <w:jc w:val="center"/>
        <w:rPr>
          <w:b/>
          <w:color w:val="000000"/>
          <w:sz w:val="22"/>
          <w:szCs w:val="22"/>
        </w:rPr>
      </w:pPr>
      <w:r>
        <w:rPr>
          <w:b/>
          <w:color w:val="000000"/>
          <w:sz w:val="22"/>
          <w:szCs w:val="22"/>
        </w:rPr>
        <w:t>Homework #1</w:t>
      </w:r>
    </w:p>
    <w:p w:rsidR="00C27FAB" w:rsidRPr="0036127B" w:rsidRDefault="00C27FAB" w:rsidP="00C93A29">
      <w:pPr>
        <w:autoSpaceDE w:val="0"/>
        <w:autoSpaceDN w:val="0"/>
        <w:adjustRightInd w:val="0"/>
        <w:jc w:val="center"/>
        <w:rPr>
          <w:color w:val="000000"/>
          <w:sz w:val="22"/>
          <w:szCs w:val="22"/>
        </w:rPr>
      </w:pPr>
      <w:r>
        <w:rPr>
          <w:color w:val="000000"/>
          <w:sz w:val="22"/>
          <w:szCs w:val="22"/>
        </w:rPr>
        <w:t>January 5, 2015</w:t>
      </w:r>
    </w:p>
    <w:p w:rsidR="00C27FAB" w:rsidRPr="0036127B" w:rsidRDefault="00C27FAB" w:rsidP="00410B89">
      <w:pPr>
        <w:autoSpaceDE w:val="0"/>
        <w:autoSpaceDN w:val="0"/>
        <w:adjustRightInd w:val="0"/>
        <w:rPr>
          <w:b/>
          <w:color w:val="000000"/>
          <w:sz w:val="22"/>
          <w:szCs w:val="22"/>
        </w:rPr>
      </w:pPr>
    </w:p>
    <w:p w:rsidR="00C27FAB" w:rsidRDefault="00C27FAB" w:rsidP="00556CEF">
      <w:pPr>
        <w:autoSpaceDE w:val="0"/>
        <w:autoSpaceDN w:val="0"/>
        <w:adjustRightInd w:val="0"/>
        <w:rPr>
          <w:color w:val="000000"/>
          <w:sz w:val="22"/>
          <w:szCs w:val="22"/>
        </w:rPr>
      </w:pPr>
      <w:r w:rsidRPr="0036127B">
        <w:rPr>
          <w:b/>
          <w:color w:val="000000"/>
          <w:sz w:val="22"/>
          <w:szCs w:val="22"/>
          <w:u w:val="single"/>
        </w:rPr>
        <w:t>Written problems:</w:t>
      </w:r>
      <w:r w:rsidRPr="0036127B">
        <w:rPr>
          <w:color w:val="000000"/>
          <w:sz w:val="22"/>
          <w:szCs w:val="22"/>
        </w:rPr>
        <w:t xml:space="preserve"> To be </w:t>
      </w:r>
      <w:r>
        <w:rPr>
          <w:color w:val="000000"/>
          <w:sz w:val="22"/>
          <w:szCs w:val="22"/>
        </w:rPr>
        <w:t>submitted as a MS-Word compatible file to the class Catalyst dropbox</w:t>
      </w:r>
      <w:r w:rsidRPr="0036127B">
        <w:rPr>
          <w:color w:val="000000"/>
          <w:sz w:val="22"/>
          <w:szCs w:val="22"/>
        </w:rPr>
        <w:t xml:space="preserve"> </w:t>
      </w:r>
      <w:r>
        <w:rPr>
          <w:color w:val="000000"/>
          <w:sz w:val="22"/>
          <w:szCs w:val="22"/>
        </w:rPr>
        <w:t>by 9:30 am on Monday, January 12, 2015. See the instructions for peer grading of the homework that are posted on the web pages.</w:t>
      </w:r>
      <w:r w:rsidRPr="0036127B">
        <w:rPr>
          <w:color w:val="000000"/>
          <w:sz w:val="22"/>
          <w:szCs w:val="22"/>
        </w:rPr>
        <w:t xml:space="preserve"> </w:t>
      </w:r>
    </w:p>
    <w:p w:rsidR="00C27FAB" w:rsidRDefault="00C27FAB" w:rsidP="002F0282">
      <w:pPr>
        <w:autoSpaceDE w:val="0"/>
        <w:autoSpaceDN w:val="0"/>
        <w:adjustRightInd w:val="0"/>
        <w:rPr>
          <w:color w:val="000000"/>
          <w:sz w:val="22"/>
          <w:szCs w:val="22"/>
        </w:rPr>
      </w:pPr>
    </w:p>
    <w:p w:rsidR="00C27FAB" w:rsidRPr="0036127B" w:rsidRDefault="00C27FAB" w:rsidP="0062265F">
      <w:pPr>
        <w:autoSpaceDE w:val="0"/>
        <w:autoSpaceDN w:val="0"/>
        <w:adjustRightInd w:val="0"/>
        <w:ind w:left="720"/>
        <w:rPr>
          <w:i/>
          <w:color w:val="000000"/>
          <w:sz w:val="22"/>
          <w:szCs w:val="22"/>
        </w:rPr>
      </w:pPr>
      <w:r w:rsidRPr="0036127B">
        <w:rPr>
          <w:i/>
          <w:color w:val="000000"/>
          <w:sz w:val="22"/>
          <w:szCs w:val="22"/>
        </w:rPr>
        <w:t xml:space="preserve">On this (as all homeworks) </w:t>
      </w:r>
      <w:r>
        <w:rPr>
          <w:i/>
          <w:color w:val="000000"/>
          <w:sz w:val="22"/>
          <w:szCs w:val="22"/>
        </w:rPr>
        <w:t xml:space="preserve">Stata / R code and </w:t>
      </w:r>
      <w:r w:rsidRPr="0036127B">
        <w:rPr>
          <w:i/>
          <w:color w:val="000000"/>
          <w:sz w:val="22"/>
          <w:szCs w:val="22"/>
        </w:rPr>
        <w:t>unedited Stata</w:t>
      </w:r>
      <w:r>
        <w:rPr>
          <w:i/>
          <w:color w:val="000000"/>
          <w:sz w:val="22"/>
          <w:szCs w:val="22"/>
        </w:rPr>
        <w:t xml:space="preserve"> / R </w:t>
      </w:r>
      <w:r w:rsidRPr="0036127B">
        <w:rPr>
          <w:i/>
          <w:color w:val="000000"/>
          <w:sz w:val="22"/>
          <w:szCs w:val="22"/>
        </w:rPr>
        <w:t xml:space="preserve"> output is </w:t>
      </w:r>
      <w:r w:rsidRPr="0036127B">
        <w:rPr>
          <w:b/>
          <w:i/>
          <w:color w:val="000000"/>
          <w:sz w:val="22"/>
          <w:szCs w:val="22"/>
          <w:u w:val="single"/>
        </w:rPr>
        <w:t>TOTALLY</w:t>
      </w:r>
      <w:r w:rsidRPr="0036127B">
        <w:rPr>
          <w:i/>
          <w:color w:val="000000"/>
          <w:sz w:val="22"/>
          <w:szCs w:val="22"/>
        </w:rPr>
        <w:t xml:space="preserve"> unacceptable. Instead, prepare a table of statistics gleaned from the Stata output. The table should be appropriate for inclusion in a scientific report, with all statistics rounded to a reasonable number of significant digits. (I am interested in how statistics are used to answer the scientific question.)</w:t>
      </w:r>
    </w:p>
    <w:p w:rsidR="00C27FAB" w:rsidRDefault="00C27FAB" w:rsidP="0036127B">
      <w:pPr>
        <w:autoSpaceDE w:val="0"/>
        <w:autoSpaceDN w:val="0"/>
        <w:adjustRightInd w:val="0"/>
        <w:rPr>
          <w:color w:val="000000"/>
          <w:sz w:val="22"/>
          <w:szCs w:val="22"/>
        </w:rPr>
      </w:pPr>
    </w:p>
    <w:p w:rsidR="00C27FAB" w:rsidRDefault="00C27FAB" w:rsidP="00132BA1">
      <w:pPr>
        <w:autoSpaceDE w:val="0"/>
        <w:autoSpaceDN w:val="0"/>
        <w:adjustRightInd w:val="0"/>
        <w:ind w:left="720"/>
        <w:rPr>
          <w:b/>
          <w:bCs/>
          <w:i/>
          <w:iCs/>
          <w:color w:val="000000"/>
          <w:sz w:val="22"/>
          <w:szCs w:val="22"/>
        </w:rPr>
      </w:pPr>
      <w:r>
        <w:rPr>
          <w:b/>
          <w:bCs/>
          <w:i/>
          <w:iCs/>
          <w:color w:val="000000"/>
          <w:sz w:val="22"/>
          <w:szCs w:val="22"/>
        </w:rPr>
        <w:t>In all problems requesting “statistical analyses” (either descriptive or inferential), you should present both</w:t>
      </w:r>
    </w:p>
    <w:p w:rsidR="00C27FAB" w:rsidRDefault="00C27FAB" w:rsidP="00132BA1">
      <w:pPr>
        <w:numPr>
          <w:ilvl w:val="0"/>
          <w:numId w:val="20"/>
        </w:numPr>
        <w:autoSpaceDE w:val="0"/>
        <w:autoSpaceDN w:val="0"/>
        <w:adjustRightInd w:val="0"/>
        <w:rPr>
          <w:b/>
          <w:bCs/>
          <w:i/>
          <w:iCs/>
          <w:color w:val="000000"/>
          <w:sz w:val="22"/>
          <w:szCs w:val="22"/>
        </w:rPr>
      </w:pPr>
      <w:r>
        <w:rPr>
          <w:b/>
          <w:bCs/>
          <w:i/>
          <w:iCs/>
          <w:color w:val="000000"/>
          <w:sz w:val="22"/>
          <w:szCs w:val="22"/>
          <w:u w:val="single"/>
        </w:rPr>
        <w:t>Methods:</w:t>
      </w:r>
      <w:r>
        <w:rPr>
          <w:b/>
          <w:bCs/>
          <w:i/>
          <w:iCs/>
          <w:color w:val="000000"/>
          <w:sz w:val="22"/>
          <w:szCs w:val="22"/>
        </w:rPr>
        <w:t xml:space="preserve"> A brief sentence or paragraph describing the statistical methods you used. This should be using wording suitable for a scientific journal, though it might be a little more detailed. A reader should be able to reproduce your analysis. DO NOT PROVIDE Stata OR R CODE.</w:t>
      </w:r>
    </w:p>
    <w:p w:rsidR="00C27FAB" w:rsidRDefault="00C27FAB" w:rsidP="002F0282">
      <w:pPr>
        <w:numPr>
          <w:ilvl w:val="0"/>
          <w:numId w:val="20"/>
        </w:numPr>
        <w:autoSpaceDE w:val="0"/>
        <w:autoSpaceDN w:val="0"/>
        <w:adjustRightInd w:val="0"/>
        <w:rPr>
          <w:b/>
          <w:bCs/>
          <w:i/>
          <w:iCs/>
          <w:color w:val="000000"/>
          <w:sz w:val="22"/>
          <w:szCs w:val="22"/>
        </w:rPr>
      </w:pPr>
      <w:r>
        <w:rPr>
          <w:b/>
          <w:bCs/>
          <w:i/>
          <w:iCs/>
          <w:color w:val="000000"/>
          <w:sz w:val="22"/>
          <w:szCs w:val="22"/>
          <w:u w:val="single"/>
        </w:rPr>
        <w:t>Inference</w:t>
      </w:r>
      <w:r>
        <w:rPr>
          <w:b/>
          <w:bCs/>
          <w:i/>
          <w:iCs/>
          <w:color w:val="000000"/>
          <w:sz w:val="22"/>
          <w:szCs w:val="22"/>
        </w:rPr>
        <w:t>: A paragraph providing full statistical inference in answer to the question. Please see the supplementary document relating to “Reporting Associations” for details.</w:t>
      </w:r>
    </w:p>
    <w:p w:rsidR="00C27FAB" w:rsidRPr="002F0282" w:rsidRDefault="00C27FAB" w:rsidP="00132BA1">
      <w:pPr>
        <w:autoSpaceDE w:val="0"/>
        <w:autoSpaceDN w:val="0"/>
        <w:adjustRightInd w:val="0"/>
        <w:ind w:left="1080"/>
        <w:rPr>
          <w:b/>
          <w:bCs/>
          <w:i/>
          <w:iCs/>
          <w:color w:val="000000"/>
          <w:sz w:val="22"/>
          <w:szCs w:val="22"/>
        </w:rPr>
      </w:pPr>
    </w:p>
    <w:p w:rsidR="00C27FAB" w:rsidRDefault="00C27FAB" w:rsidP="0062265F">
      <w:pPr>
        <w:autoSpaceDE w:val="0"/>
        <w:autoSpaceDN w:val="0"/>
        <w:adjustRightInd w:val="0"/>
        <w:ind w:left="720"/>
        <w:rPr>
          <w:i/>
          <w:iCs/>
          <w:color w:val="000000"/>
          <w:sz w:val="22"/>
          <w:szCs w:val="22"/>
        </w:rPr>
      </w:pPr>
      <w:r>
        <w:rPr>
          <w:i/>
          <w:iCs/>
          <w:color w:val="000000"/>
          <w:sz w:val="22"/>
          <w:szCs w:val="22"/>
        </w:rPr>
        <w:t>Keys to past homeworks from quarters that I taught Biost 517 (e.g. HW #8 from 2012) or Biost 518 (e.g., HW #1 from 2014 or HWs #1, 3 from 2008) or Biost 536 (e.g. HW #3 from 2013)  might be consulted for the presentation of inferential results. Note that the requirement to provide a paragraph describing your statistical methods was new last  year, and thus keys prior to 2014 do not give explicit examples of a separate paragraph. However, many past keys provide this information as an introductory sentence.</w:t>
      </w:r>
    </w:p>
    <w:p w:rsidR="00C27FAB" w:rsidRPr="0062265F" w:rsidRDefault="00C27FAB" w:rsidP="0062265F">
      <w:pPr>
        <w:autoSpaceDE w:val="0"/>
        <w:autoSpaceDN w:val="0"/>
        <w:adjustRightInd w:val="0"/>
        <w:ind w:left="720"/>
        <w:rPr>
          <w:i/>
          <w:iCs/>
          <w:color w:val="000000"/>
          <w:sz w:val="22"/>
          <w:szCs w:val="22"/>
        </w:rPr>
      </w:pPr>
    </w:p>
    <w:p w:rsidR="00C27FAB" w:rsidRDefault="00C27FAB" w:rsidP="00601D47">
      <w:pPr>
        <w:autoSpaceDE w:val="0"/>
        <w:autoSpaceDN w:val="0"/>
        <w:adjustRightInd w:val="0"/>
        <w:rPr>
          <w:sz w:val="22"/>
          <w:szCs w:val="22"/>
        </w:rPr>
      </w:pPr>
      <w:r w:rsidRPr="009D5804">
        <w:rPr>
          <w:sz w:val="22"/>
          <w:szCs w:val="22"/>
        </w:rPr>
        <w:t xml:space="preserve">All questions relate to associations between death from any cause and serum </w:t>
      </w:r>
      <w:r>
        <w:rPr>
          <w:sz w:val="22"/>
          <w:szCs w:val="22"/>
        </w:rPr>
        <w:t xml:space="preserve">C reactive </w:t>
      </w:r>
      <w:r w:rsidRPr="009D5804">
        <w:rPr>
          <w:sz w:val="22"/>
          <w:szCs w:val="22"/>
        </w:rPr>
        <w:t>protein (</w:t>
      </w:r>
      <w:r>
        <w:rPr>
          <w:sz w:val="22"/>
          <w:szCs w:val="22"/>
        </w:rPr>
        <w:t>CRP</w:t>
      </w:r>
      <w:r w:rsidRPr="009D5804">
        <w:rPr>
          <w:sz w:val="22"/>
          <w:szCs w:val="22"/>
        </w:rPr>
        <w:t xml:space="preserve">) levels in a population of generally healthy elderly subjects in four </w:t>
      </w:r>
      <w:smartTag w:uri="urn:schemas-microsoft-com:office:smarttags" w:element="country-region">
        <w:smartTag w:uri="urn:schemas-microsoft-com:office:smarttags" w:element="place">
          <w:r w:rsidRPr="009D5804">
            <w:rPr>
              <w:sz w:val="22"/>
              <w:szCs w:val="22"/>
            </w:rPr>
            <w:t>U.S.</w:t>
          </w:r>
        </w:smartTag>
      </w:smartTag>
      <w:r w:rsidRPr="009D5804">
        <w:rPr>
          <w:sz w:val="22"/>
          <w:szCs w:val="22"/>
        </w:rPr>
        <w:t xml:space="preserve"> communities. This homework uses the subset of information that was collected to examine </w:t>
      </w:r>
      <w:r>
        <w:rPr>
          <w:sz w:val="22"/>
          <w:szCs w:val="22"/>
        </w:rPr>
        <w:t>inflammatory biomarkers and mortality</w:t>
      </w:r>
      <w:r w:rsidRPr="009D5804">
        <w:rPr>
          <w:sz w:val="22"/>
          <w:szCs w:val="22"/>
        </w:rPr>
        <w:t xml:space="preserve">. The data can be found on the class web page (follow the link to Datasets) in the file labeled </w:t>
      </w:r>
      <w:r>
        <w:rPr>
          <w:sz w:val="22"/>
          <w:szCs w:val="22"/>
        </w:rPr>
        <w:t>inflamm</w:t>
      </w:r>
      <w:r w:rsidRPr="009D5804">
        <w:rPr>
          <w:sz w:val="22"/>
          <w:szCs w:val="22"/>
        </w:rPr>
        <w:t xml:space="preserve">.txt. Documentation is in the file </w:t>
      </w:r>
      <w:r>
        <w:rPr>
          <w:sz w:val="22"/>
          <w:szCs w:val="22"/>
        </w:rPr>
        <w:t>inflamm</w:t>
      </w:r>
      <w:r w:rsidRPr="009D5804">
        <w:rPr>
          <w:sz w:val="22"/>
          <w:szCs w:val="22"/>
        </w:rPr>
        <w:t xml:space="preserve">.pdf. The data is in free-field format, and can be read into </w:t>
      </w:r>
      <w:r>
        <w:rPr>
          <w:sz w:val="22"/>
          <w:szCs w:val="22"/>
        </w:rPr>
        <w:t xml:space="preserve">R by </w:t>
      </w:r>
    </w:p>
    <w:p w:rsidR="00C27FAB" w:rsidRDefault="00C27FAB" w:rsidP="00601D47">
      <w:pPr>
        <w:autoSpaceDE w:val="0"/>
        <w:autoSpaceDN w:val="0"/>
        <w:adjustRightInd w:val="0"/>
        <w:rPr>
          <w:sz w:val="22"/>
          <w:szCs w:val="22"/>
        </w:rPr>
      </w:pPr>
    </w:p>
    <w:p w:rsidR="00C27FAB" w:rsidRPr="00601D47" w:rsidRDefault="00C27FAB" w:rsidP="00601D47">
      <w:pPr>
        <w:autoSpaceDE w:val="0"/>
        <w:autoSpaceDN w:val="0"/>
        <w:adjustRightInd w:val="0"/>
        <w:rPr>
          <w:rFonts w:ascii="Courier New" w:hAnsi="Courier New" w:cs="Courier New"/>
        </w:rPr>
      </w:pPr>
      <w:r w:rsidRPr="00601D47">
        <w:rPr>
          <w:rFonts w:ascii="Courier New" w:hAnsi="Courier New" w:cs="Courier New"/>
        </w:rPr>
        <w:t>read.table("http://www.emersonstatistics.com/datasets/inflamm.txt",header=T)</w:t>
      </w:r>
    </w:p>
    <w:p w:rsidR="00C27FAB" w:rsidRDefault="00C27FAB" w:rsidP="00B95181">
      <w:pPr>
        <w:autoSpaceDE w:val="0"/>
        <w:autoSpaceDN w:val="0"/>
        <w:adjustRightInd w:val="0"/>
        <w:rPr>
          <w:sz w:val="22"/>
          <w:szCs w:val="22"/>
        </w:rPr>
      </w:pPr>
    </w:p>
    <w:p w:rsidR="00C27FAB" w:rsidRPr="009D5804" w:rsidRDefault="00C27FAB" w:rsidP="00B95181">
      <w:pPr>
        <w:autoSpaceDE w:val="0"/>
        <w:autoSpaceDN w:val="0"/>
        <w:adjustRightInd w:val="0"/>
        <w:rPr>
          <w:sz w:val="22"/>
          <w:szCs w:val="22"/>
        </w:rPr>
      </w:pPr>
      <w:r>
        <w:rPr>
          <w:sz w:val="22"/>
          <w:szCs w:val="22"/>
        </w:rPr>
        <w:t xml:space="preserve">It can be read into </w:t>
      </w:r>
      <w:r w:rsidRPr="009D5804">
        <w:rPr>
          <w:sz w:val="22"/>
          <w:szCs w:val="22"/>
        </w:rPr>
        <w:t xml:space="preserve">Stata using the following code in a .do file. </w:t>
      </w:r>
    </w:p>
    <w:p w:rsidR="00C27FAB" w:rsidRPr="009D5804" w:rsidRDefault="00C27FAB" w:rsidP="00261CFB">
      <w:pPr>
        <w:autoSpaceDE w:val="0"/>
        <w:autoSpaceDN w:val="0"/>
        <w:adjustRightInd w:val="0"/>
        <w:rPr>
          <w:sz w:val="22"/>
          <w:szCs w:val="22"/>
        </w:rPr>
      </w:pPr>
    </w:p>
    <w:p w:rsidR="00C27FAB" w:rsidRPr="00B95181" w:rsidRDefault="00C27FAB" w:rsidP="00B95181">
      <w:pPr>
        <w:autoSpaceDE w:val="0"/>
        <w:autoSpaceDN w:val="0"/>
        <w:adjustRightInd w:val="0"/>
        <w:rPr>
          <w:rFonts w:ascii="Courier New" w:hAnsi="Courier New" w:cs="Courier New"/>
        </w:rPr>
      </w:pPr>
      <w:r w:rsidRPr="00B95181">
        <w:rPr>
          <w:rFonts w:ascii="Courier New" w:hAnsi="Courier New" w:cs="Courier New"/>
        </w:rPr>
        <w:t xml:space="preserve">infile </w:t>
      </w:r>
      <w:r>
        <w:rPr>
          <w:rFonts w:ascii="Courier New" w:hAnsi="Courier New" w:cs="Courier New"/>
        </w:rPr>
        <w:t xml:space="preserve">id </w:t>
      </w:r>
      <w:r w:rsidRPr="00B95181">
        <w:rPr>
          <w:rFonts w:ascii="Courier New" w:hAnsi="Courier New" w:cs="Courier New"/>
        </w:rPr>
        <w:t>site age male bkrace smoker estrogen prevdis diab2 bmi ///</w:t>
      </w:r>
    </w:p>
    <w:p w:rsidR="00C27FAB" w:rsidRDefault="00C27FAB" w:rsidP="00B95181">
      <w:pPr>
        <w:autoSpaceDE w:val="0"/>
        <w:autoSpaceDN w:val="0"/>
        <w:adjustRightInd w:val="0"/>
        <w:ind w:firstLine="720"/>
        <w:rPr>
          <w:rFonts w:ascii="Courier New" w:hAnsi="Courier New" w:cs="Courier New"/>
        </w:rPr>
      </w:pPr>
      <w:r>
        <w:rPr>
          <w:rFonts w:ascii="Courier New" w:hAnsi="Courier New" w:cs="Courier New"/>
        </w:rPr>
        <w:t xml:space="preserve">systBP </w:t>
      </w:r>
      <w:r w:rsidRPr="00B95181">
        <w:rPr>
          <w:rFonts w:ascii="Courier New" w:hAnsi="Courier New" w:cs="Courier New"/>
        </w:rPr>
        <w:t xml:space="preserve">aai cholest crp fib ttodth death cvddth </w:t>
      </w:r>
      <w:r>
        <w:rPr>
          <w:rFonts w:ascii="Courier New" w:hAnsi="Courier New" w:cs="Courier New"/>
        </w:rPr>
        <w:t xml:space="preserve">                   </w:t>
      </w:r>
      <w:r w:rsidRPr="00B95181">
        <w:rPr>
          <w:rFonts w:ascii="Courier New" w:hAnsi="Courier New" w:cs="Courier New"/>
        </w:rPr>
        <w:t>///</w:t>
      </w:r>
    </w:p>
    <w:p w:rsidR="00C27FAB" w:rsidRPr="00B95181" w:rsidRDefault="00C27FAB" w:rsidP="00B95181">
      <w:pPr>
        <w:autoSpaceDE w:val="0"/>
        <w:autoSpaceDN w:val="0"/>
        <w:adjustRightInd w:val="0"/>
        <w:ind w:firstLine="720"/>
        <w:rPr>
          <w:rFonts w:ascii="Courier New" w:hAnsi="Courier New" w:cs="Courier New"/>
        </w:rPr>
      </w:pPr>
      <w:r w:rsidRPr="00B95181">
        <w:rPr>
          <w:rFonts w:ascii="Courier New" w:hAnsi="Courier New" w:cs="Courier New"/>
        </w:rPr>
        <w:t xml:space="preserve">using http://www.emersonstatistics.com/datasets/inflamm.txt </w:t>
      </w:r>
    </w:p>
    <w:p w:rsidR="00C27FAB" w:rsidRPr="009D5804" w:rsidRDefault="00C27FAB" w:rsidP="00FB663C">
      <w:pPr>
        <w:autoSpaceDE w:val="0"/>
        <w:autoSpaceDN w:val="0"/>
        <w:adjustRightInd w:val="0"/>
        <w:rPr>
          <w:rFonts w:ascii="Courier New" w:hAnsi="Courier New" w:cs="Courier New"/>
          <w:sz w:val="22"/>
          <w:szCs w:val="22"/>
        </w:rPr>
      </w:pPr>
    </w:p>
    <w:p w:rsidR="00C27FAB" w:rsidRPr="009D5804" w:rsidRDefault="00C27FAB" w:rsidP="00261CFB">
      <w:pPr>
        <w:autoSpaceDE w:val="0"/>
        <w:autoSpaceDN w:val="0"/>
        <w:adjustRightInd w:val="0"/>
        <w:spacing w:after="120"/>
        <w:rPr>
          <w:sz w:val="22"/>
          <w:szCs w:val="22"/>
        </w:rPr>
      </w:pPr>
      <w:r w:rsidRPr="009D5804">
        <w:rPr>
          <w:sz w:val="22"/>
          <w:szCs w:val="22"/>
        </w:rPr>
        <w:t>Note that the first line of the text file contains the variable names, and will thus be converted to missing values. Similarly, there is some missing data recorded as ‘NA’, and those, too, will be converted to missing values. If you do not want to see all the warning messages, you can use the “</w:t>
      </w:r>
      <w:r w:rsidRPr="009D5804">
        <w:rPr>
          <w:rFonts w:ascii="Courier New" w:hAnsi="Courier New" w:cs="Courier New"/>
          <w:sz w:val="22"/>
          <w:szCs w:val="22"/>
        </w:rPr>
        <w:t>quietly</w:t>
      </w:r>
      <w:r w:rsidRPr="009D5804">
        <w:rPr>
          <w:sz w:val="22"/>
          <w:szCs w:val="22"/>
        </w:rPr>
        <w:t>” prefix. You may want to go ahead and drop the first case using “</w:t>
      </w:r>
      <w:r w:rsidRPr="009D5804">
        <w:rPr>
          <w:rFonts w:ascii="Courier New" w:hAnsi="Courier New" w:cs="Courier New"/>
          <w:sz w:val="22"/>
          <w:szCs w:val="22"/>
        </w:rPr>
        <w:t>drop in 1</w:t>
      </w:r>
      <w:r w:rsidRPr="009D5804">
        <w:rPr>
          <w:sz w:val="22"/>
          <w:szCs w:val="22"/>
        </w:rPr>
        <w:t>”, because it is just missing values.</w:t>
      </w:r>
    </w:p>
    <w:p w:rsidR="00C27FAB" w:rsidRPr="009D5804" w:rsidRDefault="00C27FAB" w:rsidP="003F5F38">
      <w:pPr>
        <w:autoSpaceDE w:val="0"/>
        <w:autoSpaceDN w:val="0"/>
        <w:adjustRightInd w:val="0"/>
        <w:rPr>
          <w:sz w:val="22"/>
          <w:szCs w:val="22"/>
        </w:rPr>
      </w:pPr>
      <w:r w:rsidRPr="009D5804">
        <w:rPr>
          <w:sz w:val="22"/>
          <w:szCs w:val="22"/>
        </w:rPr>
        <w:t xml:space="preserve">Recommendations for risk of cardiovascular disease according to serum </w:t>
      </w:r>
      <w:r>
        <w:rPr>
          <w:sz w:val="22"/>
          <w:szCs w:val="22"/>
        </w:rPr>
        <w:t>CRP</w:t>
      </w:r>
      <w:r w:rsidRPr="009D5804">
        <w:rPr>
          <w:sz w:val="22"/>
          <w:szCs w:val="22"/>
        </w:rPr>
        <w:t xml:space="preserve"> levels are as follows (taken from the Mayo Clinic website):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00"/>
        <w:gridCol w:w="2770"/>
      </w:tblGrid>
      <w:tr w:rsidR="00C27FAB" w:rsidRPr="00D77907" w:rsidTr="00D77907">
        <w:trPr>
          <w:jc w:val="center"/>
        </w:trPr>
        <w:tc>
          <w:tcPr>
            <w:tcW w:w="0" w:type="auto"/>
          </w:tcPr>
          <w:p w:rsidR="00C27FAB" w:rsidRPr="00D77907" w:rsidRDefault="00C27FAB" w:rsidP="00D77907">
            <w:pPr>
              <w:spacing w:line="360" w:lineRule="atLeast"/>
              <w:jc w:val="center"/>
              <w:rPr>
                <w:sz w:val="22"/>
                <w:szCs w:val="22"/>
              </w:rPr>
            </w:pPr>
            <w:r w:rsidRPr="00D77907">
              <w:rPr>
                <w:sz w:val="22"/>
                <w:szCs w:val="22"/>
              </w:rPr>
              <w:t>Below 1 mg/L</w:t>
            </w:r>
          </w:p>
        </w:tc>
        <w:tc>
          <w:tcPr>
            <w:tcW w:w="0" w:type="auto"/>
          </w:tcPr>
          <w:p w:rsidR="00C27FAB" w:rsidRPr="00D77907" w:rsidRDefault="00C27FAB" w:rsidP="00D77907">
            <w:pPr>
              <w:spacing w:line="360" w:lineRule="atLeast"/>
              <w:jc w:val="center"/>
              <w:rPr>
                <w:sz w:val="22"/>
                <w:szCs w:val="22"/>
              </w:rPr>
            </w:pPr>
            <w:r w:rsidRPr="00D77907">
              <w:rPr>
                <w:sz w:val="22"/>
                <w:szCs w:val="22"/>
              </w:rPr>
              <w:t>Low risk of heart disease</w:t>
            </w:r>
          </w:p>
        </w:tc>
      </w:tr>
      <w:tr w:rsidR="00C27FAB" w:rsidRPr="00D77907" w:rsidTr="00D77907">
        <w:trPr>
          <w:jc w:val="center"/>
        </w:trPr>
        <w:tc>
          <w:tcPr>
            <w:tcW w:w="0" w:type="auto"/>
          </w:tcPr>
          <w:p w:rsidR="00C27FAB" w:rsidRPr="00D77907" w:rsidRDefault="00C27FAB" w:rsidP="00D77907">
            <w:pPr>
              <w:spacing w:line="360" w:lineRule="atLeast"/>
              <w:jc w:val="center"/>
              <w:rPr>
                <w:sz w:val="22"/>
                <w:szCs w:val="22"/>
              </w:rPr>
            </w:pPr>
            <w:r w:rsidRPr="00D77907">
              <w:rPr>
                <w:sz w:val="22"/>
                <w:szCs w:val="22"/>
              </w:rPr>
              <w:t>1 - 3 mg/L</w:t>
            </w:r>
          </w:p>
        </w:tc>
        <w:tc>
          <w:tcPr>
            <w:tcW w:w="0" w:type="auto"/>
          </w:tcPr>
          <w:p w:rsidR="00C27FAB" w:rsidRPr="00D77907" w:rsidRDefault="00C27FAB" w:rsidP="00D77907">
            <w:pPr>
              <w:spacing w:line="360" w:lineRule="atLeast"/>
              <w:jc w:val="center"/>
              <w:rPr>
                <w:sz w:val="22"/>
                <w:szCs w:val="22"/>
              </w:rPr>
            </w:pPr>
            <w:r w:rsidRPr="00D77907">
              <w:rPr>
                <w:sz w:val="22"/>
                <w:szCs w:val="22"/>
              </w:rPr>
              <w:t>Average risk of heart disease</w:t>
            </w:r>
          </w:p>
        </w:tc>
      </w:tr>
      <w:tr w:rsidR="00C27FAB" w:rsidRPr="00D77907" w:rsidTr="00D77907">
        <w:trPr>
          <w:jc w:val="center"/>
        </w:trPr>
        <w:tc>
          <w:tcPr>
            <w:tcW w:w="0" w:type="auto"/>
          </w:tcPr>
          <w:p w:rsidR="00C27FAB" w:rsidRPr="00D77907" w:rsidRDefault="00C27FAB" w:rsidP="00D77907">
            <w:pPr>
              <w:spacing w:line="360" w:lineRule="atLeast"/>
              <w:jc w:val="center"/>
              <w:rPr>
                <w:sz w:val="22"/>
                <w:szCs w:val="22"/>
              </w:rPr>
            </w:pPr>
            <w:r w:rsidRPr="00D77907">
              <w:rPr>
                <w:sz w:val="22"/>
                <w:szCs w:val="22"/>
              </w:rPr>
              <w:t>Above 3 mg/L</w:t>
            </w:r>
          </w:p>
        </w:tc>
        <w:tc>
          <w:tcPr>
            <w:tcW w:w="0" w:type="auto"/>
          </w:tcPr>
          <w:p w:rsidR="00C27FAB" w:rsidRPr="00D77907" w:rsidRDefault="00C27FAB" w:rsidP="00D77907">
            <w:pPr>
              <w:spacing w:line="360" w:lineRule="atLeast"/>
              <w:jc w:val="center"/>
              <w:rPr>
                <w:sz w:val="22"/>
                <w:szCs w:val="22"/>
              </w:rPr>
            </w:pPr>
            <w:r w:rsidRPr="00D77907">
              <w:rPr>
                <w:sz w:val="22"/>
                <w:szCs w:val="22"/>
              </w:rPr>
              <w:t>High risk of heart disease</w:t>
            </w:r>
          </w:p>
        </w:tc>
      </w:tr>
    </w:tbl>
    <w:p w:rsidR="00C27FAB" w:rsidRPr="009D5804" w:rsidRDefault="00C27FAB" w:rsidP="00261CFB">
      <w:pPr>
        <w:autoSpaceDE w:val="0"/>
        <w:autoSpaceDN w:val="0"/>
        <w:adjustRightInd w:val="0"/>
        <w:spacing w:after="120"/>
        <w:rPr>
          <w:sz w:val="22"/>
          <w:szCs w:val="22"/>
        </w:rPr>
      </w:pPr>
    </w:p>
    <w:p w:rsidR="00C27FAB" w:rsidRDefault="00C27FAB" w:rsidP="00C55091">
      <w:pPr>
        <w:numPr>
          <w:ilvl w:val="0"/>
          <w:numId w:val="19"/>
        </w:numPr>
        <w:autoSpaceDE w:val="0"/>
        <w:autoSpaceDN w:val="0"/>
        <w:adjustRightInd w:val="0"/>
        <w:spacing w:after="120"/>
        <w:rPr>
          <w:sz w:val="22"/>
          <w:szCs w:val="22"/>
        </w:rPr>
      </w:pPr>
      <w:r w:rsidRPr="009D5804">
        <w:rPr>
          <w:sz w:val="22"/>
          <w:szCs w:val="22"/>
        </w:rPr>
        <w:t>The observations of time to death in this data are subject to (right) censoring. Nevertheless, problems 2 – 6 ask you to dichotomize the time to d</w:t>
      </w:r>
      <w:r>
        <w:rPr>
          <w:sz w:val="22"/>
          <w:szCs w:val="22"/>
        </w:rPr>
        <w:t>eath according to death within 4</w:t>
      </w:r>
      <w:r w:rsidRPr="009D5804">
        <w:rPr>
          <w:sz w:val="22"/>
          <w:szCs w:val="22"/>
        </w:rPr>
        <w:t xml:space="preserve"> years of study en</w:t>
      </w:r>
      <w:r>
        <w:rPr>
          <w:sz w:val="22"/>
          <w:szCs w:val="22"/>
        </w:rPr>
        <w:t>rolment or death after 4</w:t>
      </w:r>
      <w:r w:rsidRPr="009D5804">
        <w:rPr>
          <w:sz w:val="22"/>
          <w:szCs w:val="22"/>
        </w:rPr>
        <w:t xml:space="preserve"> years. Why is this valid? Provide descriptive statistics that support your answer.</w:t>
      </w:r>
    </w:p>
    <w:p w:rsidR="00C27FAB" w:rsidRDefault="00C27FAB" w:rsidP="00BD3FB4">
      <w:pPr>
        <w:autoSpaceDE w:val="0"/>
        <w:autoSpaceDN w:val="0"/>
        <w:adjustRightInd w:val="0"/>
        <w:spacing w:after="120"/>
        <w:ind w:left="720"/>
        <w:rPr>
          <w:sz w:val="22"/>
          <w:szCs w:val="22"/>
          <w:lang w:eastAsia="zh-CN"/>
        </w:rPr>
      </w:pPr>
      <w:r>
        <w:rPr>
          <w:sz w:val="22"/>
          <w:szCs w:val="22"/>
        </w:rPr>
        <w:t>Answer:</w:t>
      </w:r>
      <w:r>
        <w:rPr>
          <w:sz w:val="22"/>
          <w:szCs w:val="22"/>
          <w:lang w:eastAsia="zh-CN"/>
        </w:rPr>
        <w:t xml:space="preserve"> Following is the descriptive statistics of observation time for the censored patients.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22"/>
        <w:gridCol w:w="1468"/>
        <w:gridCol w:w="1477"/>
        <w:gridCol w:w="1453"/>
        <w:gridCol w:w="1468"/>
        <w:gridCol w:w="1468"/>
      </w:tblGrid>
      <w:tr w:rsidR="00C27FAB" w:rsidRPr="00D77907" w:rsidTr="00D77907">
        <w:tc>
          <w:tcPr>
            <w:tcW w:w="1596" w:type="dxa"/>
            <w:vAlign w:val="bottom"/>
          </w:tcPr>
          <w:p w:rsidR="00C27FAB" w:rsidRPr="00D77907" w:rsidRDefault="00C27FAB" w:rsidP="00D77907">
            <w:pPr>
              <w:autoSpaceDE w:val="0"/>
              <w:autoSpaceDN w:val="0"/>
              <w:adjustRightInd w:val="0"/>
              <w:spacing w:after="120"/>
              <w:jc w:val="center"/>
              <w:rPr>
                <w:sz w:val="22"/>
                <w:szCs w:val="22"/>
              </w:rPr>
            </w:pPr>
          </w:p>
        </w:tc>
        <w:tc>
          <w:tcPr>
            <w:tcW w:w="1596" w:type="dxa"/>
            <w:vAlign w:val="bottom"/>
          </w:tcPr>
          <w:p w:rsidR="00C27FAB" w:rsidRPr="00D77907" w:rsidRDefault="00C27FAB" w:rsidP="00D77907">
            <w:pPr>
              <w:autoSpaceDE w:val="0"/>
              <w:autoSpaceDN w:val="0"/>
              <w:adjustRightInd w:val="0"/>
              <w:spacing w:after="120"/>
              <w:jc w:val="center"/>
              <w:rPr>
                <w:sz w:val="22"/>
                <w:szCs w:val="22"/>
              </w:rPr>
            </w:pPr>
            <w:r w:rsidRPr="00D77907">
              <w:rPr>
                <w:sz w:val="22"/>
                <w:szCs w:val="22"/>
              </w:rPr>
              <w:t>N</w:t>
            </w:r>
          </w:p>
        </w:tc>
        <w:tc>
          <w:tcPr>
            <w:tcW w:w="1596" w:type="dxa"/>
            <w:vAlign w:val="bottom"/>
          </w:tcPr>
          <w:p w:rsidR="00C27FAB" w:rsidRPr="00D77907" w:rsidRDefault="00C27FAB" w:rsidP="00D77907">
            <w:pPr>
              <w:autoSpaceDE w:val="0"/>
              <w:autoSpaceDN w:val="0"/>
              <w:adjustRightInd w:val="0"/>
              <w:spacing w:after="120"/>
              <w:jc w:val="center"/>
              <w:rPr>
                <w:sz w:val="22"/>
                <w:szCs w:val="22"/>
              </w:rPr>
            </w:pPr>
            <w:r w:rsidRPr="00D77907">
              <w:rPr>
                <w:sz w:val="22"/>
                <w:szCs w:val="22"/>
              </w:rPr>
              <w:t>Mean</w:t>
            </w:r>
          </w:p>
        </w:tc>
        <w:tc>
          <w:tcPr>
            <w:tcW w:w="1596" w:type="dxa"/>
            <w:vAlign w:val="bottom"/>
          </w:tcPr>
          <w:p w:rsidR="00C27FAB" w:rsidRPr="00D77907" w:rsidRDefault="00C27FAB" w:rsidP="00D77907">
            <w:pPr>
              <w:autoSpaceDE w:val="0"/>
              <w:autoSpaceDN w:val="0"/>
              <w:adjustRightInd w:val="0"/>
              <w:spacing w:after="120"/>
              <w:jc w:val="center"/>
              <w:rPr>
                <w:sz w:val="22"/>
                <w:szCs w:val="22"/>
              </w:rPr>
            </w:pPr>
            <w:r w:rsidRPr="00D77907">
              <w:rPr>
                <w:sz w:val="22"/>
                <w:szCs w:val="22"/>
              </w:rPr>
              <w:t>Std</w:t>
            </w:r>
          </w:p>
        </w:tc>
        <w:tc>
          <w:tcPr>
            <w:tcW w:w="1596" w:type="dxa"/>
            <w:vAlign w:val="bottom"/>
          </w:tcPr>
          <w:p w:rsidR="00C27FAB" w:rsidRPr="00D77907" w:rsidRDefault="00C27FAB" w:rsidP="00D77907">
            <w:pPr>
              <w:autoSpaceDE w:val="0"/>
              <w:autoSpaceDN w:val="0"/>
              <w:adjustRightInd w:val="0"/>
              <w:spacing w:after="120"/>
              <w:jc w:val="center"/>
              <w:rPr>
                <w:sz w:val="22"/>
                <w:szCs w:val="22"/>
              </w:rPr>
            </w:pPr>
            <w:r w:rsidRPr="00D77907">
              <w:rPr>
                <w:sz w:val="22"/>
                <w:szCs w:val="22"/>
              </w:rPr>
              <w:t>Min</w:t>
            </w:r>
          </w:p>
        </w:tc>
        <w:tc>
          <w:tcPr>
            <w:tcW w:w="1596" w:type="dxa"/>
            <w:vAlign w:val="bottom"/>
          </w:tcPr>
          <w:p w:rsidR="00C27FAB" w:rsidRPr="00D77907" w:rsidRDefault="00C27FAB" w:rsidP="00D77907">
            <w:pPr>
              <w:autoSpaceDE w:val="0"/>
              <w:autoSpaceDN w:val="0"/>
              <w:adjustRightInd w:val="0"/>
              <w:spacing w:after="120"/>
              <w:jc w:val="center"/>
              <w:rPr>
                <w:sz w:val="22"/>
                <w:szCs w:val="22"/>
              </w:rPr>
            </w:pPr>
            <w:r w:rsidRPr="00D77907">
              <w:rPr>
                <w:sz w:val="22"/>
                <w:szCs w:val="22"/>
              </w:rPr>
              <w:t>Max</w:t>
            </w:r>
          </w:p>
        </w:tc>
      </w:tr>
      <w:tr w:rsidR="00C27FAB" w:rsidRPr="00D77907" w:rsidTr="00D77907">
        <w:tc>
          <w:tcPr>
            <w:tcW w:w="1596" w:type="dxa"/>
            <w:vAlign w:val="bottom"/>
          </w:tcPr>
          <w:p w:rsidR="00C27FAB" w:rsidRPr="00D77907" w:rsidRDefault="00C27FAB" w:rsidP="00D77907">
            <w:pPr>
              <w:autoSpaceDE w:val="0"/>
              <w:autoSpaceDN w:val="0"/>
              <w:adjustRightInd w:val="0"/>
              <w:spacing w:after="120"/>
              <w:jc w:val="center"/>
              <w:rPr>
                <w:sz w:val="22"/>
                <w:szCs w:val="22"/>
                <w:lang w:eastAsia="zh-CN"/>
              </w:rPr>
            </w:pPr>
            <w:r w:rsidRPr="00D77907">
              <w:rPr>
                <w:sz w:val="22"/>
                <w:szCs w:val="22"/>
                <w:lang w:eastAsia="zh-CN"/>
              </w:rPr>
              <w:t>Censored time</w:t>
            </w:r>
          </w:p>
        </w:tc>
        <w:tc>
          <w:tcPr>
            <w:tcW w:w="1596" w:type="dxa"/>
            <w:vAlign w:val="bottom"/>
          </w:tcPr>
          <w:p w:rsidR="00C27FAB" w:rsidRPr="00D77907" w:rsidRDefault="00C27FAB" w:rsidP="00D77907">
            <w:pPr>
              <w:autoSpaceDE w:val="0"/>
              <w:autoSpaceDN w:val="0"/>
              <w:adjustRightInd w:val="0"/>
              <w:spacing w:after="120"/>
              <w:jc w:val="center"/>
              <w:rPr>
                <w:sz w:val="22"/>
                <w:szCs w:val="22"/>
              </w:rPr>
            </w:pPr>
            <w:r w:rsidRPr="00D77907">
              <w:rPr>
                <w:sz w:val="22"/>
                <w:szCs w:val="22"/>
              </w:rPr>
              <w:t>3879</w:t>
            </w:r>
          </w:p>
        </w:tc>
        <w:tc>
          <w:tcPr>
            <w:tcW w:w="1596" w:type="dxa"/>
            <w:vAlign w:val="bottom"/>
          </w:tcPr>
          <w:p w:rsidR="00C27FAB" w:rsidRPr="00D77907" w:rsidRDefault="00C27FAB" w:rsidP="00D77907">
            <w:pPr>
              <w:autoSpaceDE w:val="0"/>
              <w:autoSpaceDN w:val="0"/>
              <w:adjustRightInd w:val="0"/>
              <w:spacing w:after="120"/>
              <w:jc w:val="center"/>
              <w:rPr>
                <w:sz w:val="22"/>
                <w:szCs w:val="22"/>
              </w:rPr>
            </w:pPr>
            <w:r w:rsidRPr="00D77907">
              <w:rPr>
                <w:sz w:val="22"/>
                <w:szCs w:val="22"/>
              </w:rPr>
              <w:t>2603</w:t>
            </w:r>
          </w:p>
        </w:tc>
        <w:tc>
          <w:tcPr>
            <w:tcW w:w="1596" w:type="dxa"/>
            <w:vAlign w:val="bottom"/>
          </w:tcPr>
          <w:p w:rsidR="00C27FAB" w:rsidRPr="00D77907" w:rsidRDefault="00C27FAB" w:rsidP="00D77907">
            <w:pPr>
              <w:autoSpaceDE w:val="0"/>
              <w:autoSpaceDN w:val="0"/>
              <w:adjustRightInd w:val="0"/>
              <w:spacing w:after="120"/>
              <w:jc w:val="center"/>
              <w:rPr>
                <w:sz w:val="22"/>
                <w:szCs w:val="22"/>
              </w:rPr>
            </w:pPr>
            <w:r w:rsidRPr="00D77907">
              <w:rPr>
                <w:sz w:val="22"/>
                <w:szCs w:val="22"/>
              </w:rPr>
              <w:t>414</w:t>
            </w:r>
          </w:p>
        </w:tc>
        <w:tc>
          <w:tcPr>
            <w:tcW w:w="1596" w:type="dxa"/>
            <w:vAlign w:val="bottom"/>
          </w:tcPr>
          <w:p w:rsidR="00C27FAB" w:rsidRPr="00D77907" w:rsidRDefault="00C27FAB" w:rsidP="00D77907">
            <w:pPr>
              <w:autoSpaceDE w:val="0"/>
              <w:autoSpaceDN w:val="0"/>
              <w:adjustRightInd w:val="0"/>
              <w:spacing w:after="120"/>
              <w:jc w:val="center"/>
              <w:rPr>
                <w:sz w:val="22"/>
                <w:szCs w:val="22"/>
              </w:rPr>
            </w:pPr>
            <w:r w:rsidRPr="00D77907">
              <w:rPr>
                <w:sz w:val="22"/>
                <w:szCs w:val="22"/>
              </w:rPr>
              <w:t>1480</w:t>
            </w:r>
          </w:p>
        </w:tc>
        <w:tc>
          <w:tcPr>
            <w:tcW w:w="1596" w:type="dxa"/>
            <w:vAlign w:val="bottom"/>
          </w:tcPr>
          <w:p w:rsidR="00C27FAB" w:rsidRPr="00D77907" w:rsidRDefault="00C27FAB" w:rsidP="00D77907">
            <w:pPr>
              <w:autoSpaceDE w:val="0"/>
              <w:autoSpaceDN w:val="0"/>
              <w:adjustRightInd w:val="0"/>
              <w:spacing w:after="120"/>
              <w:jc w:val="center"/>
              <w:rPr>
                <w:sz w:val="22"/>
                <w:szCs w:val="22"/>
              </w:rPr>
            </w:pPr>
            <w:r w:rsidRPr="00D77907">
              <w:rPr>
                <w:sz w:val="22"/>
                <w:szCs w:val="22"/>
              </w:rPr>
              <w:t>2942</w:t>
            </w:r>
          </w:p>
        </w:tc>
      </w:tr>
    </w:tbl>
    <w:p w:rsidR="00C27FAB" w:rsidRDefault="00C27FAB" w:rsidP="00BD3FB4">
      <w:pPr>
        <w:autoSpaceDE w:val="0"/>
        <w:autoSpaceDN w:val="0"/>
        <w:adjustRightInd w:val="0"/>
        <w:spacing w:after="120"/>
        <w:ind w:left="720"/>
        <w:rPr>
          <w:sz w:val="22"/>
          <w:szCs w:val="22"/>
        </w:rPr>
      </w:pPr>
      <w:r>
        <w:rPr>
          <w:sz w:val="22"/>
          <w:szCs w:val="22"/>
          <w:lang w:eastAsia="zh-CN"/>
        </w:rPr>
        <w:t xml:space="preserve">As shown in the table above, the first censored subject occurs on </w:t>
      </w:r>
      <w:r>
        <w:rPr>
          <w:sz w:val="22"/>
          <w:szCs w:val="22"/>
        </w:rPr>
        <w:t xml:space="preserve">1480 days </w:t>
      </w:r>
      <w:r>
        <w:rPr>
          <w:sz w:val="22"/>
          <w:szCs w:val="22"/>
          <w:lang w:eastAsia="zh-CN"/>
        </w:rPr>
        <w:t>(equal to</w:t>
      </w:r>
      <w:r>
        <w:rPr>
          <w:sz w:val="22"/>
          <w:szCs w:val="22"/>
        </w:rPr>
        <w:t xml:space="preserve"> 4.05 years</w:t>
      </w:r>
      <w:r>
        <w:rPr>
          <w:sz w:val="22"/>
          <w:szCs w:val="22"/>
          <w:lang w:eastAsia="zh-CN"/>
        </w:rPr>
        <w:t>)</w:t>
      </w:r>
      <w:r>
        <w:rPr>
          <w:sz w:val="22"/>
          <w:szCs w:val="22"/>
        </w:rPr>
        <w:t>.  Therefore, dichotomizing the data according to death within or after 4 years is valid.</w:t>
      </w:r>
    </w:p>
    <w:p w:rsidR="00C27FAB" w:rsidRDefault="00C27FAB" w:rsidP="003F5F38">
      <w:pPr>
        <w:numPr>
          <w:ilvl w:val="0"/>
          <w:numId w:val="19"/>
        </w:numPr>
        <w:autoSpaceDE w:val="0"/>
        <w:autoSpaceDN w:val="0"/>
        <w:adjustRightInd w:val="0"/>
        <w:spacing w:after="120"/>
        <w:rPr>
          <w:sz w:val="22"/>
          <w:szCs w:val="22"/>
        </w:rPr>
      </w:pPr>
      <w:r w:rsidRPr="009D5804">
        <w:rPr>
          <w:sz w:val="22"/>
          <w:szCs w:val="22"/>
        </w:rPr>
        <w:t xml:space="preserve">Provide a suitable descriptive statistical analysis for selected variables in this dataset as might be presented in Table 1 of a manuscript exploring the association between serum </w:t>
      </w:r>
      <w:r>
        <w:rPr>
          <w:sz w:val="22"/>
          <w:szCs w:val="22"/>
        </w:rPr>
        <w:t>CRP and 4</w:t>
      </w:r>
      <w:r w:rsidRPr="009D5804">
        <w:rPr>
          <w:sz w:val="22"/>
          <w:szCs w:val="22"/>
        </w:rPr>
        <w:t xml:space="preserve"> year all-cause mortality in the medical literature. In </w:t>
      </w:r>
      <w:r>
        <w:rPr>
          <w:sz w:val="22"/>
          <w:szCs w:val="22"/>
        </w:rPr>
        <w:t>addition</w:t>
      </w:r>
      <w:r w:rsidRPr="009D5804">
        <w:rPr>
          <w:sz w:val="22"/>
          <w:szCs w:val="22"/>
        </w:rPr>
        <w:t xml:space="preserve"> to the two variables of primary interest, you may restrict attention to age, sex, </w:t>
      </w:r>
      <w:r>
        <w:rPr>
          <w:sz w:val="22"/>
          <w:szCs w:val="22"/>
        </w:rPr>
        <w:t>BMI</w:t>
      </w:r>
      <w:r w:rsidRPr="009D5804">
        <w:rPr>
          <w:sz w:val="22"/>
          <w:szCs w:val="22"/>
        </w:rPr>
        <w:t xml:space="preserve">, smoking history, </w:t>
      </w:r>
      <w:r>
        <w:rPr>
          <w:sz w:val="22"/>
          <w:szCs w:val="22"/>
        </w:rPr>
        <w:t xml:space="preserve">cholesterol, </w:t>
      </w:r>
      <w:r w:rsidRPr="009D5804">
        <w:rPr>
          <w:sz w:val="22"/>
          <w:szCs w:val="22"/>
        </w:rPr>
        <w:t>and prior history of cardiovascular disease.</w:t>
      </w:r>
    </w:p>
    <w:p w:rsidR="00C27FAB" w:rsidRDefault="00C27FAB" w:rsidP="00DD051B">
      <w:pPr>
        <w:autoSpaceDE w:val="0"/>
        <w:autoSpaceDN w:val="0"/>
        <w:adjustRightInd w:val="0"/>
        <w:spacing w:after="120"/>
        <w:ind w:left="720"/>
        <w:rPr>
          <w:sz w:val="22"/>
          <w:szCs w:val="22"/>
          <w:lang w:eastAsia="zh-CN"/>
        </w:rPr>
      </w:pPr>
      <w:r>
        <w:rPr>
          <w:sz w:val="22"/>
          <w:szCs w:val="22"/>
          <w:lang w:eastAsia="zh-CN"/>
        </w:rPr>
        <w:t>Methods:</w:t>
      </w:r>
      <w:r w:rsidRPr="00720DD7">
        <w:t xml:space="preserve"> </w:t>
      </w:r>
      <w:r>
        <w:rPr>
          <w:lang w:eastAsia="zh-CN"/>
        </w:rPr>
        <w:t xml:space="preserve"> </w:t>
      </w:r>
      <w:r>
        <w:rPr>
          <w:sz w:val="22"/>
          <w:szCs w:val="22"/>
          <w:lang w:eastAsia="zh-CN"/>
        </w:rPr>
        <w:t xml:space="preserve">Patients are divided into three </w:t>
      </w:r>
      <w:r w:rsidRPr="00720DD7">
        <w:rPr>
          <w:sz w:val="22"/>
          <w:szCs w:val="22"/>
          <w:lang w:eastAsia="zh-CN"/>
        </w:rPr>
        <w:t xml:space="preserve">groups </w:t>
      </w:r>
      <w:r>
        <w:rPr>
          <w:sz w:val="22"/>
          <w:szCs w:val="22"/>
          <w:lang w:eastAsia="zh-CN"/>
        </w:rPr>
        <w:t>based on their serum CRP levels</w:t>
      </w:r>
      <w:r w:rsidRPr="00720DD7">
        <w:rPr>
          <w:sz w:val="22"/>
          <w:szCs w:val="22"/>
          <w:lang w:eastAsia="zh-CN"/>
        </w:rPr>
        <w:t xml:space="preserve"> (less than or equal to 1</w:t>
      </w:r>
      <w:r>
        <w:rPr>
          <w:sz w:val="22"/>
          <w:szCs w:val="22"/>
          <w:lang w:eastAsia="zh-CN"/>
        </w:rPr>
        <w:t>mg/L, between 1and 3 mg/L</w:t>
      </w:r>
      <w:r w:rsidRPr="00720DD7">
        <w:rPr>
          <w:sz w:val="22"/>
          <w:szCs w:val="22"/>
          <w:lang w:eastAsia="zh-CN"/>
        </w:rPr>
        <w:t xml:space="preserve">, </w:t>
      </w:r>
      <w:r>
        <w:rPr>
          <w:sz w:val="22"/>
          <w:szCs w:val="22"/>
          <w:lang w:eastAsia="zh-CN"/>
        </w:rPr>
        <w:t>and greater than or equal to 3 mg/</w:t>
      </w:r>
      <w:r w:rsidRPr="00720DD7">
        <w:rPr>
          <w:sz w:val="22"/>
          <w:szCs w:val="22"/>
          <w:lang w:eastAsia="zh-CN"/>
        </w:rPr>
        <w:t>L)</w:t>
      </w:r>
      <w:r>
        <w:rPr>
          <w:sz w:val="22"/>
          <w:szCs w:val="22"/>
          <w:lang w:eastAsia="zh-CN"/>
        </w:rPr>
        <w:t xml:space="preserve">. </w:t>
      </w:r>
      <w:r w:rsidRPr="00720DD7">
        <w:rPr>
          <w:sz w:val="22"/>
          <w:szCs w:val="22"/>
          <w:lang w:eastAsia="zh-CN"/>
        </w:rPr>
        <w:t xml:space="preserve"> Descriptive statistics are presented </w:t>
      </w:r>
      <w:r>
        <w:rPr>
          <w:sz w:val="22"/>
          <w:szCs w:val="22"/>
          <w:lang w:eastAsia="zh-CN"/>
        </w:rPr>
        <w:t>in the table below of</w:t>
      </w:r>
      <w:r w:rsidRPr="00720DD7">
        <w:rPr>
          <w:sz w:val="22"/>
          <w:szCs w:val="22"/>
          <w:lang w:eastAsia="zh-CN"/>
        </w:rPr>
        <w:t xml:space="preserve"> each group</w:t>
      </w:r>
      <w:r>
        <w:rPr>
          <w:sz w:val="22"/>
          <w:szCs w:val="22"/>
          <w:lang w:eastAsia="zh-CN"/>
        </w:rPr>
        <w:t xml:space="preserve"> as well as </w:t>
      </w:r>
      <w:r w:rsidRPr="00720DD7">
        <w:rPr>
          <w:sz w:val="22"/>
          <w:szCs w:val="22"/>
          <w:lang w:eastAsia="zh-CN"/>
        </w:rPr>
        <w:t>the entire sample.</w:t>
      </w:r>
      <w:r>
        <w:rPr>
          <w:sz w:val="22"/>
          <w:szCs w:val="22"/>
          <w:lang w:eastAsia="zh-CN"/>
        </w:rPr>
        <w:t xml:space="preserve"> Fo</w:t>
      </w:r>
      <w:r w:rsidRPr="00720DD7">
        <w:rPr>
          <w:sz w:val="22"/>
          <w:szCs w:val="22"/>
          <w:lang w:eastAsia="zh-CN"/>
        </w:rPr>
        <w:t xml:space="preserve">r continuous </w:t>
      </w:r>
      <w:r>
        <w:rPr>
          <w:sz w:val="22"/>
          <w:szCs w:val="22"/>
          <w:lang w:eastAsia="zh-CN"/>
        </w:rPr>
        <w:t>variables (age, BMI and cholesterol level</w:t>
      </w:r>
      <w:r w:rsidRPr="00720DD7">
        <w:rPr>
          <w:sz w:val="22"/>
          <w:szCs w:val="22"/>
          <w:lang w:eastAsia="zh-CN"/>
        </w:rPr>
        <w:t>)</w:t>
      </w:r>
      <w:r>
        <w:rPr>
          <w:sz w:val="22"/>
          <w:szCs w:val="22"/>
          <w:lang w:eastAsia="zh-CN"/>
        </w:rPr>
        <w:t xml:space="preserve">, the mean, standard deviation and the data range are included. For binary variables (sex, smoking status, </w:t>
      </w:r>
      <w:r w:rsidRPr="00720DD7">
        <w:rPr>
          <w:sz w:val="22"/>
          <w:szCs w:val="22"/>
          <w:lang w:eastAsia="zh-CN"/>
        </w:rPr>
        <w:t xml:space="preserve">prior history of </w:t>
      </w:r>
      <w:r>
        <w:rPr>
          <w:sz w:val="22"/>
          <w:szCs w:val="22"/>
          <w:lang w:eastAsia="zh-CN"/>
        </w:rPr>
        <w:t xml:space="preserve">CVD and </w:t>
      </w:r>
      <w:r>
        <w:rPr>
          <w:sz w:val="22"/>
          <w:szCs w:val="22"/>
        </w:rPr>
        <w:t>4</w:t>
      </w:r>
      <w:r w:rsidRPr="009D5804">
        <w:rPr>
          <w:sz w:val="22"/>
          <w:szCs w:val="22"/>
        </w:rPr>
        <w:t xml:space="preserve"> year all-cause mortality</w:t>
      </w:r>
      <w:r w:rsidRPr="00720DD7">
        <w:rPr>
          <w:sz w:val="22"/>
          <w:szCs w:val="22"/>
          <w:lang w:eastAsia="zh-CN"/>
        </w:rPr>
        <w:t>)</w:t>
      </w:r>
      <w:r>
        <w:rPr>
          <w:sz w:val="22"/>
          <w:szCs w:val="22"/>
          <w:lang w:eastAsia="zh-CN"/>
        </w:rPr>
        <w:t>, the data is pr</w:t>
      </w:r>
      <w:r w:rsidRPr="00720DD7">
        <w:rPr>
          <w:sz w:val="22"/>
          <w:szCs w:val="22"/>
          <w:lang w:eastAsia="zh-CN"/>
        </w:rPr>
        <w:t>esent</w:t>
      </w:r>
      <w:r>
        <w:rPr>
          <w:sz w:val="22"/>
          <w:szCs w:val="22"/>
          <w:lang w:eastAsia="zh-CN"/>
        </w:rPr>
        <w:t>ed in</w:t>
      </w:r>
      <w:r w:rsidRPr="00720DD7">
        <w:rPr>
          <w:sz w:val="22"/>
          <w:szCs w:val="22"/>
          <w:lang w:eastAsia="zh-CN"/>
        </w:rPr>
        <w:t xml:space="preserve"> percentages.  </w:t>
      </w:r>
    </w:p>
    <w:p w:rsidR="00C27FAB" w:rsidRDefault="00C27FAB" w:rsidP="00DD051B">
      <w:pPr>
        <w:autoSpaceDE w:val="0"/>
        <w:autoSpaceDN w:val="0"/>
        <w:adjustRightInd w:val="0"/>
        <w:spacing w:after="120"/>
        <w:ind w:left="720"/>
        <w:rPr>
          <w:sz w:val="22"/>
          <w:szCs w:val="22"/>
          <w:lang w:eastAsia="zh-CN"/>
        </w:rPr>
      </w:pPr>
      <w:r>
        <w:rPr>
          <w:sz w:val="22"/>
          <w:szCs w:val="22"/>
          <w:lang w:eastAsia="zh-CN"/>
        </w:rPr>
        <w:t xml:space="preserve">Results: This set of data includes a total of 5000 subjects, but there are 67 subjects are missing data on their CRP levels and they are omitted in the data analysis.  The rest of the subjects (n=4933) are divided into three </w:t>
      </w:r>
      <w:r w:rsidRPr="00720DD7">
        <w:rPr>
          <w:sz w:val="22"/>
          <w:szCs w:val="22"/>
          <w:lang w:eastAsia="zh-CN"/>
        </w:rPr>
        <w:t xml:space="preserve">groups </w:t>
      </w:r>
      <w:r>
        <w:rPr>
          <w:sz w:val="22"/>
          <w:szCs w:val="22"/>
          <w:lang w:eastAsia="zh-CN"/>
        </w:rPr>
        <w:t>based on their serum CRP levels</w:t>
      </w:r>
      <w:r w:rsidRPr="00720DD7">
        <w:rPr>
          <w:sz w:val="22"/>
          <w:szCs w:val="22"/>
          <w:lang w:eastAsia="zh-CN"/>
        </w:rPr>
        <w:t xml:space="preserve"> (less than or equal to 1</w:t>
      </w:r>
      <w:r>
        <w:rPr>
          <w:sz w:val="22"/>
          <w:szCs w:val="22"/>
          <w:lang w:eastAsia="zh-CN"/>
        </w:rPr>
        <w:t>mg/L, between 1and 3 mg/L</w:t>
      </w:r>
      <w:r w:rsidRPr="00720DD7">
        <w:rPr>
          <w:sz w:val="22"/>
          <w:szCs w:val="22"/>
          <w:lang w:eastAsia="zh-CN"/>
        </w:rPr>
        <w:t xml:space="preserve">, </w:t>
      </w:r>
      <w:r>
        <w:rPr>
          <w:sz w:val="22"/>
          <w:szCs w:val="22"/>
          <w:lang w:eastAsia="zh-CN"/>
        </w:rPr>
        <w:t>and greater than or equal to 3 mg/</w:t>
      </w:r>
      <w:r w:rsidRPr="00720DD7">
        <w:rPr>
          <w:sz w:val="22"/>
          <w:szCs w:val="22"/>
          <w:lang w:eastAsia="zh-CN"/>
        </w:rPr>
        <w:t>L)</w:t>
      </w:r>
      <w:r>
        <w:rPr>
          <w:sz w:val="22"/>
          <w:szCs w:val="22"/>
          <w:lang w:eastAsia="zh-CN"/>
        </w:rPr>
        <w:t>.</w:t>
      </w:r>
      <w:r w:rsidRPr="00777477">
        <w:rPr>
          <w:sz w:val="22"/>
          <w:szCs w:val="22"/>
          <w:lang w:eastAsia="zh-CN"/>
        </w:rPr>
        <w:t xml:space="preserve"> </w:t>
      </w:r>
      <w:r>
        <w:rPr>
          <w:sz w:val="22"/>
          <w:szCs w:val="22"/>
          <w:lang w:eastAsia="zh-CN"/>
        </w:rPr>
        <w:t xml:space="preserve">  There are 13 </w:t>
      </w:r>
      <w:r w:rsidRPr="00777477">
        <w:rPr>
          <w:sz w:val="22"/>
          <w:szCs w:val="22"/>
          <w:lang w:eastAsia="zh-CN"/>
        </w:rPr>
        <w:t xml:space="preserve">subjects </w:t>
      </w:r>
      <w:r>
        <w:rPr>
          <w:sz w:val="22"/>
          <w:szCs w:val="22"/>
          <w:lang w:eastAsia="zh-CN"/>
        </w:rPr>
        <w:t xml:space="preserve">who </w:t>
      </w:r>
      <w:r w:rsidRPr="00777477">
        <w:rPr>
          <w:sz w:val="22"/>
          <w:szCs w:val="22"/>
          <w:lang w:eastAsia="zh-CN"/>
        </w:rPr>
        <w:t xml:space="preserve">are missing data on </w:t>
      </w:r>
      <w:r>
        <w:rPr>
          <w:sz w:val="22"/>
          <w:szCs w:val="22"/>
          <w:lang w:eastAsia="zh-CN"/>
        </w:rPr>
        <w:t xml:space="preserve">their BMI; 3 </w:t>
      </w:r>
      <w:r w:rsidRPr="00777477">
        <w:rPr>
          <w:sz w:val="22"/>
          <w:szCs w:val="22"/>
          <w:lang w:eastAsia="zh-CN"/>
        </w:rPr>
        <w:t xml:space="preserve">subjects </w:t>
      </w:r>
      <w:r>
        <w:rPr>
          <w:sz w:val="22"/>
          <w:szCs w:val="22"/>
          <w:lang w:eastAsia="zh-CN"/>
        </w:rPr>
        <w:t xml:space="preserve">who </w:t>
      </w:r>
      <w:r w:rsidRPr="00777477">
        <w:rPr>
          <w:sz w:val="22"/>
          <w:szCs w:val="22"/>
          <w:lang w:eastAsia="zh-CN"/>
        </w:rPr>
        <w:t xml:space="preserve">are missing data on </w:t>
      </w:r>
      <w:r>
        <w:rPr>
          <w:sz w:val="22"/>
          <w:szCs w:val="22"/>
          <w:lang w:eastAsia="zh-CN"/>
        </w:rPr>
        <w:t xml:space="preserve">their cholesterol level; 6 </w:t>
      </w:r>
      <w:r w:rsidRPr="00777477">
        <w:rPr>
          <w:sz w:val="22"/>
          <w:szCs w:val="22"/>
          <w:lang w:eastAsia="zh-CN"/>
        </w:rPr>
        <w:t xml:space="preserve">subjects </w:t>
      </w:r>
      <w:r>
        <w:rPr>
          <w:sz w:val="22"/>
          <w:szCs w:val="22"/>
          <w:lang w:eastAsia="zh-CN"/>
        </w:rPr>
        <w:t xml:space="preserve">who </w:t>
      </w:r>
      <w:r w:rsidRPr="00777477">
        <w:rPr>
          <w:sz w:val="22"/>
          <w:szCs w:val="22"/>
          <w:lang w:eastAsia="zh-CN"/>
        </w:rPr>
        <w:t xml:space="preserve">are missing data on </w:t>
      </w:r>
      <w:r>
        <w:rPr>
          <w:sz w:val="22"/>
          <w:szCs w:val="22"/>
          <w:lang w:eastAsia="zh-CN"/>
        </w:rPr>
        <w:t xml:space="preserve">their smoking status. But they are not of the main interest of this study, so these subjects are still included. </w:t>
      </w:r>
    </w:p>
    <w:p w:rsidR="00C27FAB" w:rsidRDefault="00C27FAB" w:rsidP="00DD051B">
      <w:pPr>
        <w:autoSpaceDE w:val="0"/>
        <w:autoSpaceDN w:val="0"/>
        <w:adjustRightInd w:val="0"/>
        <w:spacing w:after="120"/>
        <w:ind w:left="720"/>
        <w:rPr>
          <w:sz w:val="22"/>
          <w:szCs w:val="22"/>
          <w:lang w:eastAsia="zh-CN"/>
        </w:rPr>
      </w:pPr>
      <w:r>
        <w:rPr>
          <w:sz w:val="22"/>
          <w:szCs w:val="22"/>
          <w:lang w:eastAsia="zh-CN"/>
        </w:rPr>
        <w:t xml:space="preserve">The </w:t>
      </w:r>
      <w:r w:rsidRPr="00777477">
        <w:rPr>
          <w:sz w:val="22"/>
          <w:szCs w:val="22"/>
          <w:lang w:eastAsia="zh-CN"/>
        </w:rPr>
        <w:t xml:space="preserve">descriptive statistics within these groups </w:t>
      </w:r>
      <w:r>
        <w:rPr>
          <w:sz w:val="22"/>
          <w:szCs w:val="22"/>
          <w:lang w:eastAsia="zh-CN"/>
        </w:rPr>
        <w:t xml:space="preserve">are demonstrated in the </w:t>
      </w:r>
      <w:r w:rsidRPr="00777477">
        <w:rPr>
          <w:sz w:val="22"/>
          <w:szCs w:val="22"/>
          <w:lang w:eastAsia="zh-CN"/>
        </w:rPr>
        <w:t>table</w:t>
      </w:r>
      <w:r>
        <w:rPr>
          <w:sz w:val="22"/>
          <w:szCs w:val="22"/>
          <w:lang w:eastAsia="zh-CN"/>
        </w:rPr>
        <w:t xml:space="preserve"> below</w:t>
      </w:r>
      <w:r w:rsidRPr="00777477">
        <w:rPr>
          <w:sz w:val="22"/>
          <w:szCs w:val="22"/>
          <w:lang w:eastAsia="zh-CN"/>
        </w:rPr>
        <w:t xml:space="preserve">. </w:t>
      </w:r>
      <w:r>
        <w:rPr>
          <w:sz w:val="22"/>
          <w:szCs w:val="22"/>
          <w:lang w:eastAsia="zh-CN"/>
        </w:rPr>
        <w:t>There are n</w:t>
      </w:r>
      <w:r w:rsidRPr="00777477">
        <w:rPr>
          <w:sz w:val="22"/>
          <w:szCs w:val="22"/>
          <w:lang w:eastAsia="zh-CN"/>
        </w:rPr>
        <w:t xml:space="preserve">o </w:t>
      </w:r>
      <w:r>
        <w:rPr>
          <w:sz w:val="22"/>
          <w:szCs w:val="22"/>
          <w:lang w:eastAsia="zh-CN"/>
        </w:rPr>
        <w:t xml:space="preserve">obvious differences </w:t>
      </w:r>
      <w:r w:rsidRPr="00777477">
        <w:rPr>
          <w:sz w:val="22"/>
          <w:szCs w:val="22"/>
          <w:lang w:eastAsia="zh-CN"/>
        </w:rPr>
        <w:t xml:space="preserve">across groups in </w:t>
      </w:r>
      <w:r>
        <w:rPr>
          <w:sz w:val="22"/>
          <w:szCs w:val="22"/>
          <w:lang w:eastAsia="zh-CN"/>
        </w:rPr>
        <w:t xml:space="preserve">sex, </w:t>
      </w:r>
      <w:r w:rsidRPr="00777477">
        <w:rPr>
          <w:sz w:val="22"/>
          <w:szCs w:val="22"/>
          <w:lang w:eastAsia="zh-CN"/>
        </w:rPr>
        <w:t xml:space="preserve">age, </w:t>
      </w:r>
      <w:r>
        <w:rPr>
          <w:sz w:val="22"/>
          <w:szCs w:val="22"/>
          <w:lang w:eastAsia="zh-CN"/>
        </w:rPr>
        <w:t xml:space="preserve">BMI and cholesterol level. However, in the group with high level of CRP (≥ 3mg/l), there are higher percentage of subjects with smoking status (15.7%) and </w:t>
      </w:r>
      <w:r w:rsidRPr="00777477">
        <w:rPr>
          <w:sz w:val="22"/>
          <w:szCs w:val="22"/>
          <w:lang w:eastAsia="zh-CN"/>
        </w:rPr>
        <w:t>prior cardiovascular disease</w:t>
      </w:r>
      <w:r>
        <w:rPr>
          <w:sz w:val="22"/>
          <w:szCs w:val="22"/>
          <w:lang w:eastAsia="zh-CN"/>
        </w:rPr>
        <w:t xml:space="preserve"> (27.2%) compared to other two groups</w:t>
      </w:r>
      <w:r w:rsidRPr="00777477">
        <w:rPr>
          <w:sz w:val="22"/>
          <w:szCs w:val="22"/>
          <w:lang w:eastAsia="zh-CN"/>
        </w:rPr>
        <w:t xml:space="preserve">. </w:t>
      </w:r>
      <w:r>
        <w:rPr>
          <w:sz w:val="22"/>
          <w:szCs w:val="22"/>
          <w:lang w:eastAsia="zh-CN"/>
        </w:rPr>
        <w:t xml:space="preserve"> The group of s</w:t>
      </w:r>
      <w:r w:rsidRPr="00777477">
        <w:rPr>
          <w:sz w:val="22"/>
          <w:szCs w:val="22"/>
          <w:lang w:eastAsia="zh-CN"/>
        </w:rPr>
        <w:t xml:space="preserve">ubjects with </w:t>
      </w:r>
      <w:r>
        <w:rPr>
          <w:sz w:val="22"/>
          <w:szCs w:val="22"/>
          <w:lang w:eastAsia="zh-CN"/>
        </w:rPr>
        <w:t>serum CRP level greater than or equal to 3mg/l</w:t>
      </w:r>
      <w:r w:rsidRPr="00777477">
        <w:rPr>
          <w:sz w:val="22"/>
          <w:szCs w:val="22"/>
          <w:lang w:eastAsia="zh-CN"/>
        </w:rPr>
        <w:t xml:space="preserve"> appeared t</w:t>
      </w:r>
      <w:r>
        <w:rPr>
          <w:sz w:val="22"/>
          <w:szCs w:val="22"/>
          <w:lang w:eastAsia="zh-CN"/>
        </w:rPr>
        <w:t>o have a higher mortality rate (13.9%)</w:t>
      </w:r>
      <w:r w:rsidRPr="00777477">
        <w:rPr>
          <w:sz w:val="22"/>
          <w:szCs w:val="22"/>
          <w:lang w:eastAsia="zh-CN"/>
        </w:rPr>
        <w:t xml:space="preserve"> </w:t>
      </w:r>
      <w:r>
        <w:rPr>
          <w:sz w:val="22"/>
          <w:szCs w:val="22"/>
          <w:lang w:eastAsia="zh-CN"/>
        </w:rPr>
        <w:t xml:space="preserve">compared to other two groups (6.6% for the group with CRP ≤ </w:t>
      </w:r>
      <w:r w:rsidRPr="00720DD7">
        <w:rPr>
          <w:sz w:val="22"/>
          <w:szCs w:val="22"/>
          <w:lang w:eastAsia="zh-CN"/>
        </w:rPr>
        <w:t>1</w:t>
      </w:r>
      <w:r>
        <w:rPr>
          <w:sz w:val="22"/>
          <w:szCs w:val="22"/>
          <w:lang w:eastAsia="zh-CN"/>
        </w:rPr>
        <w:t>mg/L and 8.6% for the group with CRP level between 1and 3 mg/L).</w:t>
      </w:r>
    </w:p>
    <w:p w:rsidR="00C27FAB" w:rsidRDefault="00C27FAB" w:rsidP="00DD051B">
      <w:pPr>
        <w:autoSpaceDE w:val="0"/>
        <w:autoSpaceDN w:val="0"/>
        <w:adjustRightInd w:val="0"/>
        <w:spacing w:after="120"/>
        <w:ind w:left="720"/>
        <w:rPr>
          <w:sz w:val="22"/>
          <w:szCs w:val="22"/>
          <w:lang w:eastAsia="zh-CN"/>
        </w:rPr>
      </w:pPr>
    </w:p>
    <w:p w:rsidR="00C27FAB" w:rsidRDefault="00C27FAB" w:rsidP="00DD051B">
      <w:pPr>
        <w:autoSpaceDE w:val="0"/>
        <w:autoSpaceDN w:val="0"/>
        <w:adjustRightInd w:val="0"/>
        <w:spacing w:after="120"/>
        <w:ind w:left="720"/>
        <w:rPr>
          <w:sz w:val="22"/>
          <w:szCs w:val="22"/>
          <w:lang w:eastAsia="zh-CN"/>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90"/>
        <w:gridCol w:w="1780"/>
        <w:gridCol w:w="1713"/>
        <w:gridCol w:w="1749"/>
        <w:gridCol w:w="1776"/>
      </w:tblGrid>
      <w:tr w:rsidR="00C27FAB" w:rsidRPr="00D77907" w:rsidTr="00D77907">
        <w:tc>
          <w:tcPr>
            <w:tcW w:w="2090" w:type="dxa"/>
          </w:tcPr>
          <w:p w:rsidR="00C27FAB" w:rsidRPr="00D77907" w:rsidRDefault="00C27FAB" w:rsidP="00D77907">
            <w:pPr>
              <w:autoSpaceDE w:val="0"/>
              <w:autoSpaceDN w:val="0"/>
              <w:adjustRightInd w:val="0"/>
              <w:spacing w:after="120"/>
              <w:rPr>
                <w:sz w:val="22"/>
                <w:szCs w:val="22"/>
              </w:rPr>
            </w:pPr>
          </w:p>
        </w:tc>
        <w:tc>
          <w:tcPr>
            <w:tcW w:w="7018" w:type="dxa"/>
            <w:gridSpan w:val="4"/>
          </w:tcPr>
          <w:p w:rsidR="00C27FAB" w:rsidRPr="00D77907" w:rsidRDefault="00C27FAB" w:rsidP="00D77907">
            <w:pPr>
              <w:autoSpaceDE w:val="0"/>
              <w:autoSpaceDN w:val="0"/>
              <w:adjustRightInd w:val="0"/>
              <w:spacing w:after="120"/>
              <w:jc w:val="center"/>
              <w:rPr>
                <w:sz w:val="22"/>
                <w:szCs w:val="22"/>
              </w:rPr>
            </w:pPr>
            <w:r w:rsidRPr="00D77907">
              <w:rPr>
                <w:sz w:val="22"/>
                <w:szCs w:val="22"/>
              </w:rPr>
              <w:t>Blood C reactive protein</w:t>
            </w:r>
          </w:p>
        </w:tc>
      </w:tr>
      <w:tr w:rsidR="00C27FAB" w:rsidRPr="00D77907" w:rsidTr="00D77907">
        <w:tc>
          <w:tcPr>
            <w:tcW w:w="2090" w:type="dxa"/>
          </w:tcPr>
          <w:p w:rsidR="00C27FAB" w:rsidRPr="00D77907" w:rsidRDefault="00C27FAB" w:rsidP="00D77907">
            <w:pPr>
              <w:autoSpaceDE w:val="0"/>
              <w:autoSpaceDN w:val="0"/>
              <w:adjustRightInd w:val="0"/>
              <w:spacing w:after="120"/>
              <w:rPr>
                <w:sz w:val="22"/>
                <w:szCs w:val="22"/>
              </w:rPr>
            </w:pPr>
          </w:p>
        </w:tc>
        <w:tc>
          <w:tcPr>
            <w:tcW w:w="1780" w:type="dxa"/>
          </w:tcPr>
          <w:p w:rsidR="00C27FAB" w:rsidRPr="00D77907" w:rsidRDefault="00C27FAB" w:rsidP="00D77907">
            <w:pPr>
              <w:autoSpaceDE w:val="0"/>
              <w:autoSpaceDN w:val="0"/>
              <w:adjustRightInd w:val="0"/>
              <w:spacing w:after="120"/>
              <w:jc w:val="center"/>
              <w:rPr>
                <w:sz w:val="22"/>
                <w:szCs w:val="22"/>
              </w:rPr>
            </w:pPr>
            <w:r w:rsidRPr="00D77907">
              <w:rPr>
                <w:sz w:val="22"/>
                <w:szCs w:val="22"/>
              </w:rPr>
              <w:t>≤1(mg/l)</w:t>
            </w:r>
          </w:p>
          <w:p w:rsidR="00C27FAB" w:rsidRPr="00D77907" w:rsidRDefault="00C27FAB" w:rsidP="00D77907">
            <w:pPr>
              <w:autoSpaceDE w:val="0"/>
              <w:autoSpaceDN w:val="0"/>
              <w:adjustRightInd w:val="0"/>
              <w:spacing w:after="120"/>
              <w:jc w:val="center"/>
              <w:rPr>
                <w:sz w:val="22"/>
                <w:szCs w:val="22"/>
              </w:rPr>
            </w:pPr>
            <w:r w:rsidRPr="00D77907">
              <w:rPr>
                <w:sz w:val="22"/>
                <w:szCs w:val="22"/>
              </w:rPr>
              <w:t>(n=</w:t>
            </w:r>
            <w:r w:rsidRPr="00D77907">
              <w:rPr>
                <w:sz w:val="22"/>
                <w:szCs w:val="22"/>
                <w:lang w:eastAsia="zh-CN"/>
              </w:rPr>
              <w:t>1969</w:t>
            </w:r>
            <w:r w:rsidRPr="00D77907">
              <w:rPr>
                <w:sz w:val="22"/>
                <w:szCs w:val="22"/>
              </w:rPr>
              <w:t>)</w:t>
            </w:r>
          </w:p>
        </w:tc>
        <w:tc>
          <w:tcPr>
            <w:tcW w:w="1713" w:type="dxa"/>
          </w:tcPr>
          <w:p w:rsidR="00C27FAB" w:rsidRPr="00D77907" w:rsidRDefault="00C27FAB" w:rsidP="00D77907">
            <w:pPr>
              <w:autoSpaceDE w:val="0"/>
              <w:autoSpaceDN w:val="0"/>
              <w:adjustRightInd w:val="0"/>
              <w:spacing w:after="120"/>
              <w:jc w:val="center"/>
              <w:rPr>
                <w:sz w:val="22"/>
                <w:szCs w:val="22"/>
              </w:rPr>
            </w:pPr>
            <w:r w:rsidRPr="00D77907">
              <w:rPr>
                <w:sz w:val="22"/>
                <w:szCs w:val="22"/>
              </w:rPr>
              <w:t>1-3(mg/l)</w:t>
            </w:r>
          </w:p>
          <w:p w:rsidR="00C27FAB" w:rsidRPr="00D77907" w:rsidRDefault="00C27FAB" w:rsidP="00D77907">
            <w:pPr>
              <w:autoSpaceDE w:val="0"/>
              <w:autoSpaceDN w:val="0"/>
              <w:adjustRightInd w:val="0"/>
              <w:spacing w:after="120"/>
              <w:jc w:val="center"/>
              <w:rPr>
                <w:sz w:val="22"/>
                <w:szCs w:val="22"/>
              </w:rPr>
            </w:pPr>
            <w:r w:rsidRPr="00D77907">
              <w:rPr>
                <w:sz w:val="22"/>
                <w:szCs w:val="22"/>
              </w:rPr>
              <w:t>(n=</w:t>
            </w:r>
            <w:r w:rsidRPr="00D77907">
              <w:rPr>
                <w:sz w:val="22"/>
                <w:szCs w:val="22"/>
                <w:lang w:eastAsia="zh-CN"/>
              </w:rPr>
              <w:t>1088</w:t>
            </w:r>
            <w:r w:rsidRPr="00D77907">
              <w:rPr>
                <w:sz w:val="22"/>
                <w:szCs w:val="22"/>
              </w:rPr>
              <w:t>)</w:t>
            </w:r>
          </w:p>
        </w:tc>
        <w:tc>
          <w:tcPr>
            <w:tcW w:w="1749" w:type="dxa"/>
          </w:tcPr>
          <w:p w:rsidR="00C27FAB" w:rsidRPr="00D77907" w:rsidRDefault="00C27FAB" w:rsidP="00D77907">
            <w:pPr>
              <w:autoSpaceDE w:val="0"/>
              <w:autoSpaceDN w:val="0"/>
              <w:adjustRightInd w:val="0"/>
              <w:spacing w:after="120"/>
              <w:jc w:val="center"/>
              <w:rPr>
                <w:sz w:val="22"/>
                <w:szCs w:val="22"/>
              </w:rPr>
            </w:pPr>
            <w:r w:rsidRPr="00D77907">
              <w:rPr>
                <w:sz w:val="22"/>
                <w:szCs w:val="22"/>
              </w:rPr>
              <w:t>≥3(mg/l)</w:t>
            </w:r>
          </w:p>
          <w:p w:rsidR="00C27FAB" w:rsidRPr="00D77907" w:rsidRDefault="00C27FAB" w:rsidP="00D77907">
            <w:pPr>
              <w:autoSpaceDE w:val="0"/>
              <w:autoSpaceDN w:val="0"/>
              <w:adjustRightInd w:val="0"/>
              <w:spacing w:after="120"/>
              <w:jc w:val="center"/>
              <w:rPr>
                <w:sz w:val="22"/>
                <w:szCs w:val="22"/>
              </w:rPr>
            </w:pPr>
            <w:r w:rsidRPr="00D77907">
              <w:rPr>
                <w:sz w:val="22"/>
                <w:szCs w:val="22"/>
              </w:rPr>
              <w:t>(n=1876)</w:t>
            </w:r>
          </w:p>
        </w:tc>
        <w:tc>
          <w:tcPr>
            <w:tcW w:w="1776" w:type="dxa"/>
          </w:tcPr>
          <w:p w:rsidR="00C27FAB" w:rsidRPr="00D77907" w:rsidRDefault="00C27FAB" w:rsidP="00D77907">
            <w:pPr>
              <w:autoSpaceDE w:val="0"/>
              <w:autoSpaceDN w:val="0"/>
              <w:adjustRightInd w:val="0"/>
              <w:spacing w:after="120"/>
              <w:jc w:val="center"/>
              <w:rPr>
                <w:sz w:val="22"/>
                <w:szCs w:val="22"/>
              </w:rPr>
            </w:pPr>
            <w:r w:rsidRPr="00D77907">
              <w:rPr>
                <w:sz w:val="22"/>
                <w:szCs w:val="22"/>
              </w:rPr>
              <w:t>Total</w:t>
            </w:r>
          </w:p>
          <w:p w:rsidR="00C27FAB" w:rsidRPr="00D77907" w:rsidRDefault="00C27FAB" w:rsidP="00D77907">
            <w:pPr>
              <w:autoSpaceDE w:val="0"/>
              <w:autoSpaceDN w:val="0"/>
              <w:adjustRightInd w:val="0"/>
              <w:spacing w:after="120"/>
              <w:jc w:val="center"/>
              <w:rPr>
                <w:sz w:val="22"/>
                <w:szCs w:val="22"/>
              </w:rPr>
            </w:pPr>
            <w:r w:rsidRPr="00D77907">
              <w:rPr>
                <w:sz w:val="22"/>
                <w:szCs w:val="22"/>
              </w:rPr>
              <w:t>(n=4933)</w:t>
            </w:r>
          </w:p>
        </w:tc>
      </w:tr>
      <w:tr w:rsidR="00C27FAB" w:rsidRPr="00D77907" w:rsidTr="00D77907">
        <w:tc>
          <w:tcPr>
            <w:tcW w:w="2090" w:type="dxa"/>
          </w:tcPr>
          <w:p w:rsidR="00C27FAB" w:rsidRPr="00D77907" w:rsidRDefault="00C27FAB" w:rsidP="00D77907">
            <w:pPr>
              <w:autoSpaceDE w:val="0"/>
              <w:autoSpaceDN w:val="0"/>
              <w:adjustRightInd w:val="0"/>
              <w:spacing w:after="120"/>
              <w:rPr>
                <w:sz w:val="22"/>
                <w:szCs w:val="22"/>
              </w:rPr>
            </w:pPr>
            <w:r w:rsidRPr="00D77907">
              <w:rPr>
                <w:sz w:val="22"/>
                <w:szCs w:val="22"/>
              </w:rPr>
              <w:t>Male(%)</w:t>
            </w:r>
          </w:p>
        </w:tc>
        <w:tc>
          <w:tcPr>
            <w:tcW w:w="1780" w:type="dxa"/>
          </w:tcPr>
          <w:p w:rsidR="00C27FAB" w:rsidRPr="00D77907" w:rsidRDefault="00C27FAB" w:rsidP="00D77907">
            <w:pPr>
              <w:autoSpaceDE w:val="0"/>
              <w:autoSpaceDN w:val="0"/>
              <w:adjustRightInd w:val="0"/>
              <w:spacing w:after="120"/>
              <w:jc w:val="center"/>
              <w:rPr>
                <w:sz w:val="22"/>
                <w:szCs w:val="22"/>
                <w:lang w:eastAsia="zh-CN"/>
              </w:rPr>
            </w:pPr>
            <w:r w:rsidRPr="00D77907">
              <w:rPr>
                <w:sz w:val="22"/>
                <w:szCs w:val="22"/>
                <w:lang w:eastAsia="zh-CN"/>
              </w:rPr>
              <w:t>44.8%</w:t>
            </w:r>
          </w:p>
        </w:tc>
        <w:tc>
          <w:tcPr>
            <w:tcW w:w="1713" w:type="dxa"/>
          </w:tcPr>
          <w:p w:rsidR="00C27FAB" w:rsidRPr="00D77907" w:rsidRDefault="00C27FAB" w:rsidP="00D77907">
            <w:pPr>
              <w:autoSpaceDE w:val="0"/>
              <w:autoSpaceDN w:val="0"/>
              <w:adjustRightInd w:val="0"/>
              <w:spacing w:after="120"/>
              <w:jc w:val="center"/>
              <w:rPr>
                <w:sz w:val="22"/>
                <w:szCs w:val="22"/>
                <w:lang w:eastAsia="zh-CN"/>
              </w:rPr>
            </w:pPr>
            <w:r w:rsidRPr="00D77907">
              <w:rPr>
                <w:sz w:val="22"/>
                <w:szCs w:val="22"/>
                <w:lang w:eastAsia="zh-CN"/>
              </w:rPr>
              <w:t>44.4%</w:t>
            </w:r>
          </w:p>
        </w:tc>
        <w:tc>
          <w:tcPr>
            <w:tcW w:w="1749" w:type="dxa"/>
          </w:tcPr>
          <w:p w:rsidR="00C27FAB" w:rsidRPr="00D77907" w:rsidRDefault="00C27FAB" w:rsidP="00D77907">
            <w:pPr>
              <w:autoSpaceDE w:val="0"/>
              <w:autoSpaceDN w:val="0"/>
              <w:adjustRightInd w:val="0"/>
              <w:spacing w:after="120"/>
              <w:jc w:val="center"/>
              <w:rPr>
                <w:sz w:val="22"/>
                <w:szCs w:val="22"/>
                <w:lang w:eastAsia="zh-CN"/>
              </w:rPr>
            </w:pPr>
            <w:r w:rsidRPr="00D77907">
              <w:rPr>
                <w:sz w:val="22"/>
                <w:szCs w:val="22"/>
                <w:lang w:eastAsia="zh-CN"/>
              </w:rPr>
              <w:t>37.7%</w:t>
            </w:r>
          </w:p>
        </w:tc>
        <w:tc>
          <w:tcPr>
            <w:tcW w:w="1776" w:type="dxa"/>
          </w:tcPr>
          <w:p w:rsidR="00C27FAB" w:rsidRPr="00D77907" w:rsidRDefault="00C27FAB" w:rsidP="00D77907">
            <w:pPr>
              <w:autoSpaceDE w:val="0"/>
              <w:autoSpaceDN w:val="0"/>
              <w:adjustRightInd w:val="0"/>
              <w:spacing w:after="120"/>
              <w:jc w:val="center"/>
              <w:rPr>
                <w:sz w:val="22"/>
                <w:szCs w:val="22"/>
                <w:lang w:eastAsia="zh-CN"/>
              </w:rPr>
            </w:pPr>
            <w:r w:rsidRPr="00D77907">
              <w:rPr>
                <w:sz w:val="22"/>
                <w:szCs w:val="22"/>
                <w:lang w:eastAsia="zh-CN"/>
              </w:rPr>
              <w:t>42.0%</w:t>
            </w:r>
          </w:p>
        </w:tc>
      </w:tr>
      <w:tr w:rsidR="00C27FAB" w:rsidRPr="00D77907" w:rsidTr="00D77907">
        <w:tc>
          <w:tcPr>
            <w:tcW w:w="2090" w:type="dxa"/>
          </w:tcPr>
          <w:p w:rsidR="00C27FAB" w:rsidRPr="00D77907" w:rsidRDefault="00C27FAB" w:rsidP="00D77907">
            <w:pPr>
              <w:autoSpaceDE w:val="0"/>
              <w:autoSpaceDN w:val="0"/>
              <w:adjustRightInd w:val="0"/>
              <w:spacing w:after="120"/>
              <w:rPr>
                <w:sz w:val="22"/>
                <w:szCs w:val="22"/>
              </w:rPr>
            </w:pPr>
            <w:r w:rsidRPr="00D77907">
              <w:rPr>
                <w:sz w:val="22"/>
                <w:szCs w:val="22"/>
              </w:rPr>
              <w:t>Age(years)</w:t>
            </w:r>
          </w:p>
        </w:tc>
        <w:tc>
          <w:tcPr>
            <w:tcW w:w="1780" w:type="dxa"/>
          </w:tcPr>
          <w:p w:rsidR="00C27FAB" w:rsidRPr="00D77907" w:rsidRDefault="00C27FAB" w:rsidP="00D77907">
            <w:pPr>
              <w:autoSpaceDE w:val="0"/>
              <w:autoSpaceDN w:val="0"/>
              <w:adjustRightInd w:val="0"/>
              <w:spacing w:after="120"/>
              <w:jc w:val="center"/>
              <w:rPr>
                <w:sz w:val="22"/>
                <w:szCs w:val="22"/>
                <w:lang w:eastAsia="zh-CN"/>
              </w:rPr>
            </w:pPr>
            <w:r w:rsidRPr="00D77907">
              <w:rPr>
                <w:sz w:val="22"/>
                <w:szCs w:val="22"/>
                <w:lang w:eastAsia="zh-CN"/>
              </w:rPr>
              <w:t>73.1</w:t>
            </w:r>
          </w:p>
          <w:p w:rsidR="00C27FAB" w:rsidRPr="00D77907" w:rsidRDefault="00C27FAB" w:rsidP="00D77907">
            <w:pPr>
              <w:autoSpaceDE w:val="0"/>
              <w:autoSpaceDN w:val="0"/>
              <w:adjustRightInd w:val="0"/>
              <w:spacing w:after="120"/>
              <w:jc w:val="center"/>
              <w:rPr>
                <w:sz w:val="22"/>
                <w:szCs w:val="22"/>
                <w:lang w:eastAsia="zh-CN"/>
              </w:rPr>
            </w:pPr>
            <w:r w:rsidRPr="00D77907">
              <w:rPr>
                <w:sz w:val="22"/>
                <w:szCs w:val="22"/>
                <w:lang w:eastAsia="zh-CN"/>
              </w:rPr>
              <w:t>(5.7, 65-98)</w:t>
            </w:r>
          </w:p>
        </w:tc>
        <w:tc>
          <w:tcPr>
            <w:tcW w:w="1713" w:type="dxa"/>
          </w:tcPr>
          <w:p w:rsidR="00C27FAB" w:rsidRPr="00D77907" w:rsidRDefault="00C27FAB" w:rsidP="00D77907">
            <w:pPr>
              <w:autoSpaceDE w:val="0"/>
              <w:autoSpaceDN w:val="0"/>
              <w:adjustRightInd w:val="0"/>
              <w:spacing w:after="120"/>
              <w:jc w:val="center"/>
              <w:rPr>
                <w:sz w:val="22"/>
                <w:szCs w:val="22"/>
                <w:lang w:eastAsia="zh-CN"/>
              </w:rPr>
            </w:pPr>
            <w:r w:rsidRPr="00D77907">
              <w:rPr>
                <w:sz w:val="22"/>
                <w:szCs w:val="22"/>
                <w:lang w:eastAsia="zh-CN"/>
              </w:rPr>
              <w:t>72.5</w:t>
            </w:r>
          </w:p>
          <w:p w:rsidR="00C27FAB" w:rsidRPr="00D77907" w:rsidRDefault="00C27FAB" w:rsidP="00D77907">
            <w:pPr>
              <w:autoSpaceDE w:val="0"/>
              <w:autoSpaceDN w:val="0"/>
              <w:adjustRightInd w:val="0"/>
              <w:spacing w:after="120"/>
              <w:jc w:val="center"/>
              <w:rPr>
                <w:sz w:val="22"/>
                <w:szCs w:val="22"/>
                <w:lang w:eastAsia="zh-CN"/>
              </w:rPr>
            </w:pPr>
            <w:r w:rsidRPr="00D77907">
              <w:rPr>
                <w:sz w:val="22"/>
                <w:szCs w:val="22"/>
                <w:lang w:eastAsia="zh-CN"/>
              </w:rPr>
              <w:t>(5.4, 65-100)</w:t>
            </w:r>
          </w:p>
        </w:tc>
        <w:tc>
          <w:tcPr>
            <w:tcW w:w="1749" w:type="dxa"/>
          </w:tcPr>
          <w:p w:rsidR="00C27FAB" w:rsidRPr="00D77907" w:rsidRDefault="00C27FAB" w:rsidP="00D77907">
            <w:pPr>
              <w:autoSpaceDE w:val="0"/>
              <w:autoSpaceDN w:val="0"/>
              <w:adjustRightInd w:val="0"/>
              <w:spacing w:after="120"/>
              <w:jc w:val="center"/>
              <w:rPr>
                <w:sz w:val="22"/>
                <w:szCs w:val="22"/>
                <w:lang w:eastAsia="zh-CN"/>
              </w:rPr>
            </w:pPr>
            <w:r w:rsidRPr="00D77907">
              <w:rPr>
                <w:sz w:val="22"/>
                <w:szCs w:val="22"/>
                <w:lang w:eastAsia="zh-CN"/>
              </w:rPr>
              <w:t>72.6</w:t>
            </w:r>
          </w:p>
          <w:p w:rsidR="00C27FAB" w:rsidRPr="00D77907" w:rsidRDefault="00C27FAB" w:rsidP="00D77907">
            <w:pPr>
              <w:autoSpaceDE w:val="0"/>
              <w:autoSpaceDN w:val="0"/>
              <w:adjustRightInd w:val="0"/>
              <w:spacing w:after="120"/>
              <w:jc w:val="center"/>
              <w:rPr>
                <w:sz w:val="22"/>
                <w:szCs w:val="22"/>
                <w:lang w:eastAsia="zh-CN"/>
              </w:rPr>
            </w:pPr>
            <w:r w:rsidRPr="00D77907">
              <w:rPr>
                <w:sz w:val="22"/>
                <w:szCs w:val="22"/>
                <w:lang w:eastAsia="zh-CN"/>
              </w:rPr>
              <w:t>(5.5, 65-93)</w:t>
            </w:r>
          </w:p>
        </w:tc>
        <w:tc>
          <w:tcPr>
            <w:tcW w:w="1776" w:type="dxa"/>
          </w:tcPr>
          <w:p w:rsidR="00C27FAB" w:rsidRPr="00D77907" w:rsidRDefault="00C27FAB" w:rsidP="00D77907">
            <w:pPr>
              <w:autoSpaceDE w:val="0"/>
              <w:autoSpaceDN w:val="0"/>
              <w:adjustRightInd w:val="0"/>
              <w:spacing w:after="120"/>
              <w:jc w:val="center"/>
              <w:rPr>
                <w:sz w:val="22"/>
                <w:szCs w:val="22"/>
                <w:lang w:eastAsia="zh-CN"/>
              </w:rPr>
            </w:pPr>
            <w:r w:rsidRPr="00D77907">
              <w:rPr>
                <w:sz w:val="22"/>
                <w:szCs w:val="22"/>
                <w:lang w:eastAsia="zh-CN"/>
              </w:rPr>
              <w:t>72.8</w:t>
            </w:r>
          </w:p>
          <w:p w:rsidR="00C27FAB" w:rsidRPr="00D77907" w:rsidRDefault="00C27FAB" w:rsidP="00D77907">
            <w:pPr>
              <w:autoSpaceDE w:val="0"/>
              <w:autoSpaceDN w:val="0"/>
              <w:adjustRightInd w:val="0"/>
              <w:spacing w:after="120"/>
              <w:jc w:val="center"/>
              <w:rPr>
                <w:sz w:val="22"/>
                <w:szCs w:val="22"/>
                <w:lang w:eastAsia="zh-CN"/>
              </w:rPr>
            </w:pPr>
            <w:r w:rsidRPr="00D77907">
              <w:rPr>
                <w:sz w:val="22"/>
                <w:szCs w:val="22"/>
                <w:lang w:eastAsia="zh-CN"/>
              </w:rPr>
              <w:t>(5.6, 65-100)</w:t>
            </w:r>
          </w:p>
        </w:tc>
      </w:tr>
      <w:tr w:rsidR="00C27FAB" w:rsidRPr="00D77907" w:rsidTr="00D77907">
        <w:tc>
          <w:tcPr>
            <w:tcW w:w="2090" w:type="dxa"/>
          </w:tcPr>
          <w:p w:rsidR="00C27FAB" w:rsidRPr="00D77907" w:rsidRDefault="00C27FAB" w:rsidP="00D77907">
            <w:pPr>
              <w:autoSpaceDE w:val="0"/>
              <w:autoSpaceDN w:val="0"/>
              <w:adjustRightInd w:val="0"/>
              <w:spacing w:after="120"/>
              <w:rPr>
                <w:sz w:val="22"/>
                <w:szCs w:val="22"/>
              </w:rPr>
            </w:pPr>
            <w:r w:rsidRPr="00D77907">
              <w:rPr>
                <w:sz w:val="22"/>
                <w:szCs w:val="22"/>
              </w:rPr>
              <w:t xml:space="preserve">BMI </w:t>
            </w:r>
          </w:p>
        </w:tc>
        <w:tc>
          <w:tcPr>
            <w:tcW w:w="1780" w:type="dxa"/>
          </w:tcPr>
          <w:p w:rsidR="00C27FAB" w:rsidRPr="00D77907" w:rsidRDefault="00C27FAB" w:rsidP="00D77907">
            <w:pPr>
              <w:autoSpaceDE w:val="0"/>
              <w:autoSpaceDN w:val="0"/>
              <w:adjustRightInd w:val="0"/>
              <w:spacing w:after="120"/>
              <w:jc w:val="center"/>
              <w:rPr>
                <w:sz w:val="22"/>
                <w:szCs w:val="22"/>
                <w:lang w:eastAsia="zh-CN"/>
              </w:rPr>
            </w:pPr>
            <w:r w:rsidRPr="00D77907">
              <w:rPr>
                <w:sz w:val="22"/>
                <w:szCs w:val="22"/>
                <w:lang w:eastAsia="zh-CN"/>
              </w:rPr>
              <w:t>25.1</w:t>
            </w:r>
          </w:p>
          <w:p w:rsidR="00C27FAB" w:rsidRPr="00D77907" w:rsidRDefault="00C27FAB" w:rsidP="00D77907">
            <w:pPr>
              <w:autoSpaceDE w:val="0"/>
              <w:autoSpaceDN w:val="0"/>
              <w:adjustRightInd w:val="0"/>
              <w:spacing w:after="120"/>
              <w:jc w:val="center"/>
              <w:rPr>
                <w:sz w:val="22"/>
                <w:szCs w:val="22"/>
                <w:lang w:eastAsia="zh-CN"/>
              </w:rPr>
            </w:pPr>
            <w:r w:rsidRPr="00D77907">
              <w:rPr>
                <w:sz w:val="22"/>
                <w:szCs w:val="22"/>
                <w:lang w:eastAsia="zh-CN"/>
              </w:rPr>
              <w:t>(3.8, 14.7-43.2)</w:t>
            </w:r>
          </w:p>
        </w:tc>
        <w:tc>
          <w:tcPr>
            <w:tcW w:w="1713" w:type="dxa"/>
          </w:tcPr>
          <w:p w:rsidR="00C27FAB" w:rsidRPr="00D77907" w:rsidRDefault="00C27FAB" w:rsidP="00D77907">
            <w:pPr>
              <w:autoSpaceDE w:val="0"/>
              <w:autoSpaceDN w:val="0"/>
              <w:adjustRightInd w:val="0"/>
              <w:spacing w:after="120"/>
              <w:jc w:val="center"/>
              <w:rPr>
                <w:sz w:val="22"/>
                <w:szCs w:val="22"/>
                <w:lang w:eastAsia="zh-CN"/>
              </w:rPr>
            </w:pPr>
            <w:r w:rsidRPr="00D77907">
              <w:rPr>
                <w:sz w:val="22"/>
                <w:szCs w:val="22"/>
                <w:lang w:eastAsia="zh-CN"/>
              </w:rPr>
              <w:t>26.9</w:t>
            </w:r>
          </w:p>
          <w:p w:rsidR="00C27FAB" w:rsidRPr="00D77907" w:rsidRDefault="00C27FAB" w:rsidP="00D77907">
            <w:pPr>
              <w:autoSpaceDE w:val="0"/>
              <w:autoSpaceDN w:val="0"/>
              <w:adjustRightInd w:val="0"/>
              <w:spacing w:after="120"/>
              <w:jc w:val="center"/>
              <w:rPr>
                <w:sz w:val="22"/>
                <w:szCs w:val="22"/>
                <w:lang w:eastAsia="zh-CN"/>
              </w:rPr>
            </w:pPr>
            <w:r w:rsidRPr="00D77907">
              <w:rPr>
                <w:sz w:val="22"/>
                <w:szCs w:val="22"/>
                <w:lang w:eastAsia="zh-CN"/>
              </w:rPr>
              <w:t>(4.5, 15.1-53.2)</w:t>
            </w:r>
          </w:p>
        </w:tc>
        <w:tc>
          <w:tcPr>
            <w:tcW w:w="1749" w:type="dxa"/>
          </w:tcPr>
          <w:p w:rsidR="00C27FAB" w:rsidRPr="00D77907" w:rsidRDefault="00C27FAB" w:rsidP="00D77907">
            <w:pPr>
              <w:autoSpaceDE w:val="0"/>
              <w:autoSpaceDN w:val="0"/>
              <w:adjustRightInd w:val="0"/>
              <w:spacing w:after="120"/>
              <w:jc w:val="center"/>
              <w:rPr>
                <w:sz w:val="22"/>
                <w:szCs w:val="22"/>
                <w:lang w:eastAsia="zh-CN"/>
              </w:rPr>
            </w:pPr>
            <w:r w:rsidRPr="00D77907">
              <w:rPr>
                <w:sz w:val="22"/>
                <w:szCs w:val="22"/>
                <w:lang w:eastAsia="zh-CN"/>
              </w:rPr>
              <w:t>28.1</w:t>
            </w:r>
          </w:p>
          <w:p w:rsidR="00C27FAB" w:rsidRPr="00D77907" w:rsidRDefault="00C27FAB" w:rsidP="00D77907">
            <w:pPr>
              <w:autoSpaceDE w:val="0"/>
              <w:autoSpaceDN w:val="0"/>
              <w:adjustRightInd w:val="0"/>
              <w:spacing w:after="120"/>
              <w:jc w:val="center"/>
              <w:rPr>
                <w:sz w:val="22"/>
                <w:szCs w:val="22"/>
                <w:lang w:eastAsia="zh-CN"/>
              </w:rPr>
            </w:pPr>
            <w:r w:rsidRPr="00D77907">
              <w:rPr>
                <w:sz w:val="22"/>
                <w:szCs w:val="22"/>
                <w:lang w:eastAsia="zh-CN"/>
              </w:rPr>
              <w:t>(5.2, 15.3-58.8)</w:t>
            </w:r>
          </w:p>
        </w:tc>
        <w:tc>
          <w:tcPr>
            <w:tcW w:w="1776" w:type="dxa"/>
          </w:tcPr>
          <w:p w:rsidR="00C27FAB" w:rsidRPr="00D77907" w:rsidRDefault="00C27FAB" w:rsidP="00D77907">
            <w:pPr>
              <w:autoSpaceDE w:val="0"/>
              <w:autoSpaceDN w:val="0"/>
              <w:adjustRightInd w:val="0"/>
              <w:spacing w:after="120"/>
              <w:jc w:val="center"/>
              <w:rPr>
                <w:sz w:val="22"/>
                <w:szCs w:val="22"/>
                <w:lang w:eastAsia="zh-CN"/>
              </w:rPr>
            </w:pPr>
            <w:r w:rsidRPr="00D77907">
              <w:rPr>
                <w:sz w:val="22"/>
                <w:szCs w:val="22"/>
                <w:lang w:eastAsia="zh-CN"/>
              </w:rPr>
              <w:t>26.7</w:t>
            </w:r>
          </w:p>
          <w:p w:rsidR="00C27FAB" w:rsidRPr="00D77907" w:rsidRDefault="00C27FAB" w:rsidP="00D77907">
            <w:pPr>
              <w:autoSpaceDE w:val="0"/>
              <w:autoSpaceDN w:val="0"/>
              <w:adjustRightInd w:val="0"/>
              <w:spacing w:after="120"/>
              <w:jc w:val="center"/>
              <w:rPr>
                <w:sz w:val="22"/>
                <w:szCs w:val="22"/>
                <w:lang w:eastAsia="zh-CN"/>
              </w:rPr>
            </w:pPr>
            <w:r w:rsidRPr="00D77907">
              <w:rPr>
                <w:sz w:val="22"/>
                <w:szCs w:val="22"/>
                <w:lang w:eastAsia="zh-CN"/>
              </w:rPr>
              <w:t>(4.7, 14.7-58.8)</w:t>
            </w:r>
          </w:p>
        </w:tc>
      </w:tr>
      <w:tr w:rsidR="00C27FAB" w:rsidRPr="00D77907" w:rsidTr="00D77907">
        <w:tc>
          <w:tcPr>
            <w:tcW w:w="2090" w:type="dxa"/>
          </w:tcPr>
          <w:p w:rsidR="00C27FAB" w:rsidRPr="00D77907" w:rsidRDefault="00C27FAB" w:rsidP="00D77907">
            <w:pPr>
              <w:autoSpaceDE w:val="0"/>
              <w:autoSpaceDN w:val="0"/>
              <w:adjustRightInd w:val="0"/>
              <w:spacing w:after="120"/>
              <w:rPr>
                <w:sz w:val="22"/>
                <w:szCs w:val="22"/>
              </w:rPr>
            </w:pPr>
            <w:r w:rsidRPr="00D77907">
              <w:rPr>
                <w:sz w:val="22"/>
                <w:szCs w:val="22"/>
              </w:rPr>
              <w:t>Cholesterol (mg/dl)</w:t>
            </w:r>
          </w:p>
        </w:tc>
        <w:tc>
          <w:tcPr>
            <w:tcW w:w="1780" w:type="dxa"/>
          </w:tcPr>
          <w:p w:rsidR="00C27FAB" w:rsidRPr="00D77907" w:rsidRDefault="00C27FAB" w:rsidP="00D77907">
            <w:pPr>
              <w:autoSpaceDE w:val="0"/>
              <w:autoSpaceDN w:val="0"/>
              <w:adjustRightInd w:val="0"/>
              <w:spacing w:after="120"/>
              <w:jc w:val="center"/>
              <w:rPr>
                <w:sz w:val="22"/>
                <w:szCs w:val="22"/>
                <w:lang w:eastAsia="zh-CN"/>
              </w:rPr>
            </w:pPr>
            <w:r w:rsidRPr="00D77907">
              <w:rPr>
                <w:sz w:val="22"/>
                <w:szCs w:val="22"/>
                <w:lang w:eastAsia="zh-CN"/>
              </w:rPr>
              <w:t>210.3</w:t>
            </w:r>
          </w:p>
          <w:p w:rsidR="00C27FAB" w:rsidRPr="00D77907" w:rsidRDefault="00C27FAB" w:rsidP="00D77907">
            <w:pPr>
              <w:autoSpaceDE w:val="0"/>
              <w:autoSpaceDN w:val="0"/>
              <w:adjustRightInd w:val="0"/>
              <w:spacing w:after="120"/>
              <w:jc w:val="center"/>
              <w:rPr>
                <w:sz w:val="22"/>
                <w:szCs w:val="22"/>
                <w:lang w:eastAsia="zh-CN"/>
              </w:rPr>
            </w:pPr>
            <w:r w:rsidRPr="00D77907">
              <w:rPr>
                <w:sz w:val="22"/>
                <w:szCs w:val="22"/>
                <w:lang w:eastAsia="zh-CN"/>
              </w:rPr>
              <w:t>(38.0, 73-407)</w:t>
            </w:r>
          </w:p>
        </w:tc>
        <w:tc>
          <w:tcPr>
            <w:tcW w:w="1713" w:type="dxa"/>
          </w:tcPr>
          <w:p w:rsidR="00C27FAB" w:rsidRPr="00D77907" w:rsidRDefault="00C27FAB" w:rsidP="00D77907">
            <w:pPr>
              <w:autoSpaceDE w:val="0"/>
              <w:autoSpaceDN w:val="0"/>
              <w:adjustRightInd w:val="0"/>
              <w:spacing w:after="120"/>
              <w:jc w:val="center"/>
              <w:rPr>
                <w:sz w:val="22"/>
                <w:szCs w:val="22"/>
                <w:lang w:eastAsia="zh-CN"/>
              </w:rPr>
            </w:pPr>
            <w:r w:rsidRPr="00D77907">
              <w:rPr>
                <w:sz w:val="22"/>
                <w:szCs w:val="22"/>
                <w:lang w:eastAsia="zh-CN"/>
              </w:rPr>
              <w:t>213.9</w:t>
            </w:r>
          </w:p>
          <w:p w:rsidR="00C27FAB" w:rsidRPr="00D77907" w:rsidRDefault="00C27FAB" w:rsidP="00D77907">
            <w:pPr>
              <w:autoSpaceDE w:val="0"/>
              <w:autoSpaceDN w:val="0"/>
              <w:adjustRightInd w:val="0"/>
              <w:spacing w:after="120"/>
              <w:jc w:val="center"/>
              <w:rPr>
                <w:sz w:val="22"/>
                <w:szCs w:val="22"/>
                <w:lang w:eastAsia="zh-CN"/>
              </w:rPr>
            </w:pPr>
            <w:r w:rsidRPr="00D77907">
              <w:rPr>
                <w:sz w:val="22"/>
                <w:szCs w:val="22"/>
                <w:lang w:eastAsia="zh-CN"/>
              </w:rPr>
              <w:t>(40.4, 78-354)</w:t>
            </w:r>
          </w:p>
        </w:tc>
        <w:tc>
          <w:tcPr>
            <w:tcW w:w="1749" w:type="dxa"/>
          </w:tcPr>
          <w:p w:rsidR="00C27FAB" w:rsidRPr="00D77907" w:rsidRDefault="00C27FAB" w:rsidP="00D77907">
            <w:pPr>
              <w:autoSpaceDE w:val="0"/>
              <w:autoSpaceDN w:val="0"/>
              <w:adjustRightInd w:val="0"/>
              <w:spacing w:after="120"/>
              <w:jc w:val="center"/>
              <w:rPr>
                <w:sz w:val="22"/>
                <w:szCs w:val="22"/>
                <w:lang w:eastAsia="zh-CN"/>
              </w:rPr>
            </w:pPr>
            <w:r w:rsidRPr="00D77907">
              <w:rPr>
                <w:sz w:val="22"/>
                <w:szCs w:val="22"/>
                <w:lang w:eastAsia="zh-CN"/>
              </w:rPr>
              <w:t>211.8</w:t>
            </w:r>
          </w:p>
          <w:p w:rsidR="00C27FAB" w:rsidRPr="00D77907" w:rsidRDefault="00C27FAB" w:rsidP="00D77907">
            <w:pPr>
              <w:autoSpaceDE w:val="0"/>
              <w:autoSpaceDN w:val="0"/>
              <w:adjustRightInd w:val="0"/>
              <w:spacing w:after="120"/>
              <w:jc w:val="center"/>
              <w:rPr>
                <w:sz w:val="22"/>
                <w:szCs w:val="22"/>
              </w:rPr>
            </w:pPr>
            <w:r w:rsidRPr="00D77907">
              <w:rPr>
                <w:sz w:val="22"/>
                <w:szCs w:val="22"/>
                <w:lang w:eastAsia="zh-CN"/>
              </w:rPr>
              <w:t>(39.7, 96- 430)</w:t>
            </w:r>
          </w:p>
        </w:tc>
        <w:tc>
          <w:tcPr>
            <w:tcW w:w="1776" w:type="dxa"/>
          </w:tcPr>
          <w:p w:rsidR="00C27FAB" w:rsidRPr="00D77907" w:rsidRDefault="00C27FAB" w:rsidP="00D77907">
            <w:pPr>
              <w:autoSpaceDE w:val="0"/>
              <w:autoSpaceDN w:val="0"/>
              <w:adjustRightInd w:val="0"/>
              <w:spacing w:after="120"/>
              <w:jc w:val="center"/>
              <w:rPr>
                <w:sz w:val="22"/>
                <w:szCs w:val="22"/>
                <w:lang w:eastAsia="zh-CN"/>
              </w:rPr>
            </w:pPr>
            <w:r w:rsidRPr="00D77907">
              <w:rPr>
                <w:sz w:val="22"/>
                <w:szCs w:val="22"/>
                <w:lang w:eastAsia="zh-CN"/>
              </w:rPr>
              <w:t>211.7</w:t>
            </w:r>
          </w:p>
          <w:p w:rsidR="00C27FAB" w:rsidRPr="00D77907" w:rsidRDefault="00C27FAB" w:rsidP="00D77907">
            <w:pPr>
              <w:autoSpaceDE w:val="0"/>
              <w:autoSpaceDN w:val="0"/>
              <w:adjustRightInd w:val="0"/>
              <w:spacing w:after="120"/>
              <w:jc w:val="center"/>
              <w:rPr>
                <w:sz w:val="22"/>
                <w:szCs w:val="22"/>
                <w:lang w:eastAsia="zh-CN"/>
              </w:rPr>
            </w:pPr>
            <w:r w:rsidRPr="00D77907">
              <w:rPr>
                <w:sz w:val="22"/>
                <w:szCs w:val="22"/>
                <w:lang w:eastAsia="zh-CN"/>
              </w:rPr>
              <w:t>(39.2, 73-430)</w:t>
            </w:r>
          </w:p>
        </w:tc>
      </w:tr>
      <w:tr w:rsidR="00C27FAB" w:rsidRPr="00D77907" w:rsidTr="00D77907">
        <w:tc>
          <w:tcPr>
            <w:tcW w:w="2090" w:type="dxa"/>
          </w:tcPr>
          <w:p w:rsidR="00C27FAB" w:rsidRPr="00D77907" w:rsidRDefault="00C27FAB" w:rsidP="00D77907">
            <w:pPr>
              <w:autoSpaceDE w:val="0"/>
              <w:autoSpaceDN w:val="0"/>
              <w:adjustRightInd w:val="0"/>
              <w:spacing w:after="120"/>
              <w:rPr>
                <w:sz w:val="22"/>
                <w:szCs w:val="22"/>
              </w:rPr>
            </w:pPr>
            <w:r w:rsidRPr="00D77907">
              <w:rPr>
                <w:sz w:val="22"/>
                <w:szCs w:val="22"/>
              </w:rPr>
              <w:t>Smoking (%)</w:t>
            </w:r>
          </w:p>
        </w:tc>
        <w:tc>
          <w:tcPr>
            <w:tcW w:w="1780" w:type="dxa"/>
          </w:tcPr>
          <w:p w:rsidR="00C27FAB" w:rsidRPr="00D77907" w:rsidRDefault="00C27FAB" w:rsidP="00D77907">
            <w:pPr>
              <w:autoSpaceDE w:val="0"/>
              <w:autoSpaceDN w:val="0"/>
              <w:adjustRightInd w:val="0"/>
              <w:spacing w:after="120"/>
              <w:jc w:val="center"/>
              <w:rPr>
                <w:sz w:val="22"/>
                <w:szCs w:val="22"/>
                <w:lang w:eastAsia="zh-CN"/>
              </w:rPr>
            </w:pPr>
            <w:r w:rsidRPr="00D77907">
              <w:rPr>
                <w:sz w:val="22"/>
                <w:szCs w:val="22"/>
                <w:lang w:eastAsia="zh-CN"/>
              </w:rPr>
              <w:t>9.3%</w:t>
            </w:r>
          </w:p>
        </w:tc>
        <w:tc>
          <w:tcPr>
            <w:tcW w:w="1713" w:type="dxa"/>
          </w:tcPr>
          <w:p w:rsidR="00C27FAB" w:rsidRPr="00D77907" w:rsidRDefault="00C27FAB" w:rsidP="00D77907">
            <w:pPr>
              <w:autoSpaceDE w:val="0"/>
              <w:autoSpaceDN w:val="0"/>
              <w:adjustRightInd w:val="0"/>
              <w:spacing w:after="120"/>
              <w:jc w:val="center"/>
              <w:rPr>
                <w:sz w:val="22"/>
                <w:szCs w:val="22"/>
                <w:lang w:eastAsia="zh-CN"/>
              </w:rPr>
            </w:pPr>
            <w:r w:rsidRPr="00D77907">
              <w:rPr>
                <w:sz w:val="22"/>
                <w:szCs w:val="22"/>
                <w:lang w:eastAsia="zh-CN"/>
              </w:rPr>
              <w:t>11.3%</w:t>
            </w:r>
          </w:p>
        </w:tc>
        <w:tc>
          <w:tcPr>
            <w:tcW w:w="1749" w:type="dxa"/>
          </w:tcPr>
          <w:p w:rsidR="00C27FAB" w:rsidRPr="00D77907" w:rsidRDefault="00C27FAB" w:rsidP="00D77907">
            <w:pPr>
              <w:autoSpaceDE w:val="0"/>
              <w:autoSpaceDN w:val="0"/>
              <w:adjustRightInd w:val="0"/>
              <w:spacing w:after="120"/>
              <w:jc w:val="center"/>
              <w:rPr>
                <w:sz w:val="22"/>
                <w:szCs w:val="22"/>
                <w:lang w:eastAsia="zh-CN"/>
              </w:rPr>
            </w:pPr>
            <w:r w:rsidRPr="00D77907">
              <w:rPr>
                <w:sz w:val="22"/>
                <w:szCs w:val="22"/>
                <w:lang w:eastAsia="zh-CN"/>
              </w:rPr>
              <w:t>15.7%</w:t>
            </w:r>
          </w:p>
        </w:tc>
        <w:tc>
          <w:tcPr>
            <w:tcW w:w="1776" w:type="dxa"/>
          </w:tcPr>
          <w:p w:rsidR="00C27FAB" w:rsidRPr="00D77907" w:rsidRDefault="00C27FAB" w:rsidP="00D77907">
            <w:pPr>
              <w:autoSpaceDE w:val="0"/>
              <w:autoSpaceDN w:val="0"/>
              <w:adjustRightInd w:val="0"/>
              <w:spacing w:after="120"/>
              <w:jc w:val="center"/>
              <w:rPr>
                <w:sz w:val="22"/>
                <w:szCs w:val="22"/>
                <w:lang w:eastAsia="zh-CN"/>
              </w:rPr>
            </w:pPr>
            <w:r w:rsidRPr="00D77907">
              <w:rPr>
                <w:sz w:val="22"/>
                <w:szCs w:val="22"/>
                <w:lang w:eastAsia="zh-CN"/>
              </w:rPr>
              <w:t>12.2%</w:t>
            </w:r>
          </w:p>
        </w:tc>
      </w:tr>
      <w:tr w:rsidR="00C27FAB" w:rsidRPr="00D77907" w:rsidTr="00D77907">
        <w:tc>
          <w:tcPr>
            <w:tcW w:w="2090" w:type="dxa"/>
          </w:tcPr>
          <w:p w:rsidR="00C27FAB" w:rsidRPr="00D77907" w:rsidRDefault="00C27FAB" w:rsidP="00D77907">
            <w:pPr>
              <w:autoSpaceDE w:val="0"/>
              <w:autoSpaceDN w:val="0"/>
              <w:adjustRightInd w:val="0"/>
              <w:spacing w:after="120"/>
              <w:rPr>
                <w:sz w:val="22"/>
                <w:szCs w:val="22"/>
              </w:rPr>
            </w:pPr>
            <w:r w:rsidRPr="00D77907">
              <w:rPr>
                <w:sz w:val="22"/>
                <w:szCs w:val="22"/>
              </w:rPr>
              <w:t>Prior CVD (%)</w:t>
            </w:r>
          </w:p>
        </w:tc>
        <w:tc>
          <w:tcPr>
            <w:tcW w:w="1780" w:type="dxa"/>
          </w:tcPr>
          <w:p w:rsidR="00C27FAB" w:rsidRPr="00D77907" w:rsidRDefault="00C27FAB" w:rsidP="00D77907">
            <w:pPr>
              <w:autoSpaceDE w:val="0"/>
              <w:autoSpaceDN w:val="0"/>
              <w:adjustRightInd w:val="0"/>
              <w:spacing w:after="120"/>
              <w:jc w:val="center"/>
              <w:rPr>
                <w:sz w:val="22"/>
                <w:szCs w:val="22"/>
                <w:lang w:eastAsia="zh-CN"/>
              </w:rPr>
            </w:pPr>
            <w:r w:rsidRPr="00D77907">
              <w:rPr>
                <w:sz w:val="22"/>
                <w:szCs w:val="22"/>
                <w:lang w:eastAsia="zh-CN"/>
              </w:rPr>
              <w:t>18.9%</w:t>
            </w:r>
          </w:p>
        </w:tc>
        <w:tc>
          <w:tcPr>
            <w:tcW w:w="1713" w:type="dxa"/>
          </w:tcPr>
          <w:p w:rsidR="00C27FAB" w:rsidRPr="00D77907" w:rsidRDefault="00C27FAB" w:rsidP="00D77907">
            <w:pPr>
              <w:autoSpaceDE w:val="0"/>
              <w:autoSpaceDN w:val="0"/>
              <w:adjustRightInd w:val="0"/>
              <w:spacing w:after="120"/>
              <w:jc w:val="center"/>
              <w:rPr>
                <w:sz w:val="22"/>
                <w:szCs w:val="22"/>
                <w:lang w:eastAsia="zh-CN"/>
              </w:rPr>
            </w:pPr>
            <w:r w:rsidRPr="00D77907">
              <w:rPr>
                <w:sz w:val="22"/>
                <w:szCs w:val="22"/>
                <w:lang w:eastAsia="zh-CN"/>
              </w:rPr>
              <w:t>22.7%</w:t>
            </w:r>
          </w:p>
        </w:tc>
        <w:tc>
          <w:tcPr>
            <w:tcW w:w="1749" w:type="dxa"/>
          </w:tcPr>
          <w:p w:rsidR="00C27FAB" w:rsidRPr="00D77907" w:rsidRDefault="00C27FAB" w:rsidP="00D77907">
            <w:pPr>
              <w:autoSpaceDE w:val="0"/>
              <w:autoSpaceDN w:val="0"/>
              <w:adjustRightInd w:val="0"/>
              <w:spacing w:after="120"/>
              <w:jc w:val="center"/>
              <w:rPr>
                <w:sz w:val="22"/>
                <w:szCs w:val="22"/>
                <w:lang w:eastAsia="zh-CN"/>
              </w:rPr>
            </w:pPr>
            <w:r w:rsidRPr="00D77907">
              <w:rPr>
                <w:sz w:val="22"/>
                <w:szCs w:val="22"/>
                <w:lang w:eastAsia="zh-CN"/>
              </w:rPr>
              <w:t>27.2%</w:t>
            </w:r>
          </w:p>
        </w:tc>
        <w:tc>
          <w:tcPr>
            <w:tcW w:w="1776" w:type="dxa"/>
          </w:tcPr>
          <w:p w:rsidR="00C27FAB" w:rsidRPr="00D77907" w:rsidRDefault="00C27FAB" w:rsidP="00D77907">
            <w:pPr>
              <w:autoSpaceDE w:val="0"/>
              <w:autoSpaceDN w:val="0"/>
              <w:adjustRightInd w:val="0"/>
              <w:spacing w:after="120"/>
              <w:jc w:val="center"/>
              <w:rPr>
                <w:sz w:val="22"/>
                <w:szCs w:val="22"/>
                <w:lang w:eastAsia="zh-CN"/>
              </w:rPr>
            </w:pPr>
            <w:r w:rsidRPr="00D77907">
              <w:rPr>
                <w:sz w:val="22"/>
                <w:szCs w:val="22"/>
                <w:lang w:eastAsia="zh-CN"/>
              </w:rPr>
              <w:t>22.9%</w:t>
            </w:r>
          </w:p>
        </w:tc>
      </w:tr>
      <w:tr w:rsidR="00C27FAB" w:rsidRPr="00D77907" w:rsidTr="00D77907">
        <w:tc>
          <w:tcPr>
            <w:tcW w:w="2090" w:type="dxa"/>
          </w:tcPr>
          <w:p w:rsidR="00C27FAB" w:rsidRPr="00D77907" w:rsidRDefault="00C27FAB" w:rsidP="00D77907">
            <w:pPr>
              <w:autoSpaceDE w:val="0"/>
              <w:autoSpaceDN w:val="0"/>
              <w:adjustRightInd w:val="0"/>
              <w:spacing w:after="120"/>
              <w:rPr>
                <w:sz w:val="22"/>
                <w:szCs w:val="22"/>
              </w:rPr>
            </w:pPr>
            <w:r w:rsidRPr="00D77907">
              <w:rPr>
                <w:sz w:val="22"/>
                <w:szCs w:val="22"/>
              </w:rPr>
              <w:t>Death with 4 years</w:t>
            </w:r>
          </w:p>
        </w:tc>
        <w:tc>
          <w:tcPr>
            <w:tcW w:w="1780" w:type="dxa"/>
          </w:tcPr>
          <w:p w:rsidR="00C27FAB" w:rsidRPr="00D77907" w:rsidRDefault="00C27FAB" w:rsidP="00D77907">
            <w:pPr>
              <w:autoSpaceDE w:val="0"/>
              <w:autoSpaceDN w:val="0"/>
              <w:adjustRightInd w:val="0"/>
              <w:spacing w:after="120"/>
              <w:jc w:val="center"/>
              <w:rPr>
                <w:sz w:val="22"/>
                <w:szCs w:val="22"/>
                <w:lang w:eastAsia="zh-CN"/>
              </w:rPr>
            </w:pPr>
            <w:r w:rsidRPr="00D77907">
              <w:rPr>
                <w:sz w:val="22"/>
                <w:szCs w:val="22"/>
                <w:lang w:eastAsia="zh-CN"/>
              </w:rPr>
              <w:t>6.6%</w:t>
            </w:r>
          </w:p>
        </w:tc>
        <w:tc>
          <w:tcPr>
            <w:tcW w:w="1713" w:type="dxa"/>
          </w:tcPr>
          <w:p w:rsidR="00C27FAB" w:rsidRPr="00D77907" w:rsidRDefault="00C27FAB" w:rsidP="00D77907">
            <w:pPr>
              <w:autoSpaceDE w:val="0"/>
              <w:autoSpaceDN w:val="0"/>
              <w:adjustRightInd w:val="0"/>
              <w:spacing w:after="120"/>
              <w:jc w:val="center"/>
              <w:rPr>
                <w:sz w:val="22"/>
                <w:szCs w:val="22"/>
                <w:lang w:eastAsia="zh-CN"/>
              </w:rPr>
            </w:pPr>
            <w:r w:rsidRPr="00D77907">
              <w:rPr>
                <w:sz w:val="22"/>
                <w:szCs w:val="22"/>
                <w:lang w:eastAsia="zh-CN"/>
              </w:rPr>
              <w:t>8.6%</w:t>
            </w:r>
          </w:p>
        </w:tc>
        <w:tc>
          <w:tcPr>
            <w:tcW w:w="1749" w:type="dxa"/>
          </w:tcPr>
          <w:p w:rsidR="00C27FAB" w:rsidRPr="00D77907" w:rsidRDefault="00C27FAB" w:rsidP="00D77907">
            <w:pPr>
              <w:autoSpaceDE w:val="0"/>
              <w:autoSpaceDN w:val="0"/>
              <w:adjustRightInd w:val="0"/>
              <w:spacing w:after="120"/>
              <w:jc w:val="center"/>
              <w:rPr>
                <w:sz w:val="22"/>
                <w:szCs w:val="22"/>
                <w:lang w:eastAsia="zh-CN"/>
              </w:rPr>
            </w:pPr>
            <w:r w:rsidRPr="00D77907">
              <w:rPr>
                <w:sz w:val="22"/>
                <w:szCs w:val="22"/>
                <w:lang w:eastAsia="zh-CN"/>
              </w:rPr>
              <w:t>13.9%</w:t>
            </w:r>
          </w:p>
        </w:tc>
        <w:tc>
          <w:tcPr>
            <w:tcW w:w="1776" w:type="dxa"/>
          </w:tcPr>
          <w:p w:rsidR="00C27FAB" w:rsidRPr="00D77907" w:rsidRDefault="00C27FAB" w:rsidP="00D77907">
            <w:pPr>
              <w:autoSpaceDE w:val="0"/>
              <w:autoSpaceDN w:val="0"/>
              <w:adjustRightInd w:val="0"/>
              <w:spacing w:after="120"/>
              <w:jc w:val="center"/>
              <w:rPr>
                <w:sz w:val="22"/>
                <w:szCs w:val="22"/>
                <w:lang w:eastAsia="zh-CN"/>
              </w:rPr>
            </w:pPr>
            <w:r w:rsidRPr="00D77907">
              <w:rPr>
                <w:sz w:val="22"/>
                <w:szCs w:val="22"/>
                <w:lang w:eastAsia="zh-CN"/>
              </w:rPr>
              <w:t>9.8%</w:t>
            </w:r>
          </w:p>
        </w:tc>
      </w:tr>
    </w:tbl>
    <w:p w:rsidR="00C27FAB" w:rsidRPr="009D5804" w:rsidRDefault="00C27FAB" w:rsidP="00E47DDF">
      <w:pPr>
        <w:autoSpaceDE w:val="0"/>
        <w:autoSpaceDN w:val="0"/>
        <w:adjustRightInd w:val="0"/>
        <w:spacing w:after="120"/>
        <w:ind w:left="720"/>
        <w:rPr>
          <w:sz w:val="22"/>
          <w:szCs w:val="22"/>
        </w:rPr>
      </w:pPr>
    </w:p>
    <w:p w:rsidR="00C27FAB" w:rsidRDefault="00C27FAB" w:rsidP="003F5F38">
      <w:pPr>
        <w:numPr>
          <w:ilvl w:val="0"/>
          <w:numId w:val="19"/>
        </w:numPr>
        <w:autoSpaceDE w:val="0"/>
        <w:autoSpaceDN w:val="0"/>
        <w:adjustRightInd w:val="0"/>
        <w:spacing w:after="120"/>
        <w:rPr>
          <w:sz w:val="22"/>
          <w:szCs w:val="22"/>
        </w:rPr>
      </w:pPr>
      <w:r w:rsidRPr="009D5804">
        <w:rPr>
          <w:sz w:val="22"/>
          <w:szCs w:val="22"/>
        </w:rPr>
        <w:t xml:space="preserve">Perform a statistical analysis evaluating an association between serum </w:t>
      </w:r>
      <w:r>
        <w:rPr>
          <w:sz w:val="22"/>
          <w:szCs w:val="22"/>
        </w:rPr>
        <w:t>CRP and 4</w:t>
      </w:r>
      <w:r w:rsidRPr="009D5804">
        <w:rPr>
          <w:sz w:val="22"/>
          <w:szCs w:val="22"/>
        </w:rPr>
        <w:t xml:space="preserve"> year all-cause mortality by comparing mean </w:t>
      </w:r>
      <w:r>
        <w:rPr>
          <w:sz w:val="22"/>
          <w:szCs w:val="22"/>
        </w:rPr>
        <w:t>CRP</w:t>
      </w:r>
      <w:r w:rsidRPr="009D5804">
        <w:rPr>
          <w:sz w:val="22"/>
          <w:szCs w:val="22"/>
        </w:rPr>
        <w:t xml:space="preserve"> values across groups defined by vital status at </w:t>
      </w:r>
      <w:r>
        <w:rPr>
          <w:sz w:val="22"/>
          <w:szCs w:val="22"/>
        </w:rPr>
        <w:t>4</w:t>
      </w:r>
      <w:r w:rsidRPr="009D5804">
        <w:rPr>
          <w:sz w:val="22"/>
          <w:szCs w:val="22"/>
        </w:rPr>
        <w:t xml:space="preserve"> years.</w:t>
      </w:r>
    </w:p>
    <w:p w:rsidR="00C27FAB" w:rsidRDefault="00C27FAB" w:rsidP="00E10369">
      <w:pPr>
        <w:autoSpaceDE w:val="0"/>
        <w:autoSpaceDN w:val="0"/>
        <w:adjustRightInd w:val="0"/>
        <w:spacing w:after="120"/>
        <w:ind w:left="720"/>
        <w:rPr>
          <w:sz w:val="22"/>
          <w:szCs w:val="22"/>
          <w:lang w:eastAsia="zh-CN"/>
        </w:rPr>
      </w:pPr>
      <w:r>
        <w:rPr>
          <w:sz w:val="22"/>
          <w:szCs w:val="22"/>
          <w:lang w:eastAsia="zh-CN"/>
        </w:rPr>
        <w:t xml:space="preserve">Methods: A t test (with the assumption of </w:t>
      </w:r>
      <w:r w:rsidRPr="008241EA">
        <w:rPr>
          <w:sz w:val="22"/>
          <w:szCs w:val="22"/>
          <w:lang w:eastAsia="zh-CN"/>
        </w:rPr>
        <w:t>unequal varianc</w:t>
      </w:r>
      <w:r>
        <w:rPr>
          <w:sz w:val="22"/>
          <w:szCs w:val="22"/>
          <w:lang w:eastAsia="zh-CN"/>
        </w:rPr>
        <w:t>es) was performed to compare mean serum CRP</w:t>
      </w:r>
      <w:r w:rsidRPr="008241EA">
        <w:rPr>
          <w:sz w:val="22"/>
          <w:szCs w:val="22"/>
          <w:lang w:eastAsia="zh-CN"/>
        </w:rPr>
        <w:t xml:space="preserve"> levels be</w:t>
      </w:r>
      <w:r>
        <w:rPr>
          <w:sz w:val="22"/>
          <w:szCs w:val="22"/>
          <w:lang w:eastAsia="zh-CN"/>
        </w:rPr>
        <w:t>tween subjects who died within 4</w:t>
      </w:r>
      <w:r w:rsidRPr="008241EA">
        <w:rPr>
          <w:sz w:val="22"/>
          <w:szCs w:val="22"/>
          <w:lang w:eastAsia="zh-CN"/>
        </w:rPr>
        <w:t xml:space="preserve"> years and those who survived </w:t>
      </w:r>
      <w:r>
        <w:rPr>
          <w:sz w:val="22"/>
          <w:szCs w:val="22"/>
          <w:lang w:eastAsia="zh-CN"/>
        </w:rPr>
        <w:t>after 4</w:t>
      </w:r>
      <w:r w:rsidRPr="008241EA">
        <w:rPr>
          <w:sz w:val="22"/>
          <w:szCs w:val="22"/>
          <w:lang w:eastAsia="zh-CN"/>
        </w:rPr>
        <w:t xml:space="preserve"> years.</w:t>
      </w:r>
      <w:r>
        <w:rPr>
          <w:sz w:val="22"/>
          <w:szCs w:val="22"/>
          <w:lang w:eastAsia="zh-CN"/>
        </w:rPr>
        <w:t xml:space="preserve"> </w:t>
      </w:r>
      <w:r w:rsidRPr="00D243B4">
        <w:rPr>
          <w:sz w:val="22"/>
          <w:szCs w:val="22"/>
          <w:lang w:eastAsia="zh-CN"/>
        </w:rPr>
        <w:t xml:space="preserve">95% confidence intervals for the difference in population means were </w:t>
      </w:r>
      <w:r>
        <w:rPr>
          <w:sz w:val="22"/>
          <w:szCs w:val="22"/>
          <w:lang w:eastAsia="zh-CN"/>
        </w:rPr>
        <w:t xml:space="preserve">estimated </w:t>
      </w:r>
      <w:r w:rsidRPr="00D243B4">
        <w:rPr>
          <w:sz w:val="22"/>
          <w:szCs w:val="22"/>
          <w:lang w:eastAsia="zh-CN"/>
        </w:rPr>
        <w:t xml:space="preserve">based on </w:t>
      </w:r>
      <w:r>
        <w:rPr>
          <w:sz w:val="22"/>
          <w:szCs w:val="22"/>
          <w:lang w:eastAsia="zh-CN"/>
        </w:rPr>
        <w:t>the same assumption.</w:t>
      </w:r>
    </w:p>
    <w:p w:rsidR="00C27FAB" w:rsidRDefault="00C27FAB" w:rsidP="00F628AF">
      <w:pPr>
        <w:autoSpaceDE w:val="0"/>
        <w:autoSpaceDN w:val="0"/>
        <w:adjustRightInd w:val="0"/>
        <w:spacing w:after="120"/>
        <w:ind w:left="720"/>
        <w:rPr>
          <w:sz w:val="22"/>
          <w:szCs w:val="22"/>
          <w:lang w:eastAsia="zh-CN"/>
        </w:rPr>
      </w:pPr>
      <w:r>
        <w:rPr>
          <w:sz w:val="22"/>
          <w:szCs w:val="22"/>
          <w:lang w:eastAsia="zh-CN"/>
        </w:rPr>
        <w:t>Results: For the subjects who survived at least 4</w:t>
      </w:r>
      <w:r w:rsidRPr="008241EA">
        <w:rPr>
          <w:sz w:val="22"/>
          <w:szCs w:val="22"/>
          <w:lang w:eastAsia="zh-CN"/>
        </w:rPr>
        <w:t xml:space="preserve"> year</w:t>
      </w:r>
      <w:r>
        <w:rPr>
          <w:sz w:val="22"/>
          <w:szCs w:val="22"/>
          <w:lang w:eastAsia="zh-CN"/>
        </w:rPr>
        <w:t>s after study enrollment (n=4449), the mean serum CRP is 3.4 mg/L.  For the subjects who died within 4</w:t>
      </w:r>
      <w:r w:rsidRPr="008241EA">
        <w:rPr>
          <w:sz w:val="22"/>
          <w:szCs w:val="22"/>
          <w:lang w:eastAsia="zh-CN"/>
        </w:rPr>
        <w:t xml:space="preserve"> years</w:t>
      </w:r>
      <w:r>
        <w:rPr>
          <w:sz w:val="22"/>
          <w:szCs w:val="22"/>
          <w:lang w:eastAsia="zh-CN"/>
        </w:rPr>
        <w:t xml:space="preserve"> (n=484), the mean serum CPR is 5.4 mg/L</w:t>
      </w:r>
      <w:r w:rsidRPr="008241EA">
        <w:rPr>
          <w:sz w:val="22"/>
          <w:szCs w:val="22"/>
          <w:lang w:eastAsia="zh-CN"/>
        </w:rPr>
        <w:t xml:space="preserve">. </w:t>
      </w:r>
      <w:r>
        <w:rPr>
          <w:sz w:val="22"/>
          <w:szCs w:val="22"/>
          <w:lang w:eastAsia="zh-CN"/>
        </w:rPr>
        <w:t xml:space="preserve">On average, the serum CRP level of the subjects who died with 4 years is 2.0 mg/l higher than that of the subjects who died after 4 years.  </w:t>
      </w:r>
      <w:r w:rsidRPr="00731E43">
        <w:rPr>
          <w:sz w:val="22"/>
          <w:szCs w:val="22"/>
          <w:lang w:eastAsia="zh-CN"/>
        </w:rPr>
        <w:t>With 95% confidence, this observed result would not be unusual if the true</w:t>
      </w:r>
      <w:r>
        <w:rPr>
          <w:sz w:val="22"/>
          <w:szCs w:val="22"/>
          <w:lang w:eastAsia="zh-CN"/>
        </w:rPr>
        <w:t xml:space="preserve"> mean serum CRP level of the subjects who died within 4 years is higher by 1.2 to 2.7mg/l than that of the subjects who died after 4 years. T</w:t>
      </w:r>
      <w:r w:rsidRPr="008241EA">
        <w:rPr>
          <w:sz w:val="22"/>
          <w:szCs w:val="22"/>
          <w:lang w:eastAsia="zh-CN"/>
        </w:rPr>
        <w:t>his observation is statistically significant at a 0.05 level of s</w:t>
      </w:r>
      <w:r>
        <w:rPr>
          <w:sz w:val="22"/>
          <w:szCs w:val="22"/>
          <w:lang w:eastAsia="zh-CN"/>
        </w:rPr>
        <w:t xml:space="preserve">ignificance based on a t test (two-sided P&lt; 0.0001).  Therefore, </w:t>
      </w:r>
      <w:r w:rsidRPr="008241EA">
        <w:rPr>
          <w:sz w:val="22"/>
          <w:szCs w:val="22"/>
          <w:lang w:eastAsia="zh-CN"/>
        </w:rPr>
        <w:t xml:space="preserve">we can reject the null hypothesis </w:t>
      </w:r>
      <w:r>
        <w:rPr>
          <w:sz w:val="22"/>
          <w:szCs w:val="22"/>
          <w:lang w:eastAsia="zh-CN"/>
        </w:rPr>
        <w:t>that the mean serum CRP</w:t>
      </w:r>
      <w:r w:rsidRPr="008241EA">
        <w:rPr>
          <w:sz w:val="22"/>
          <w:szCs w:val="22"/>
          <w:lang w:eastAsia="zh-CN"/>
        </w:rPr>
        <w:t xml:space="preserve"> levels are not different </w:t>
      </w:r>
      <w:r>
        <w:rPr>
          <w:sz w:val="22"/>
          <w:szCs w:val="22"/>
          <w:lang w:eastAsia="zh-CN"/>
        </w:rPr>
        <w:t>between the subjects who died within 4 years and the subjects who died after 4 years with high confidence.  We conclude that the death of the subjects within 4</w:t>
      </w:r>
      <w:r w:rsidRPr="008241EA">
        <w:rPr>
          <w:sz w:val="22"/>
          <w:szCs w:val="22"/>
          <w:lang w:eastAsia="zh-CN"/>
        </w:rPr>
        <w:t xml:space="preserve"> years </w:t>
      </w:r>
      <w:r>
        <w:rPr>
          <w:sz w:val="22"/>
          <w:szCs w:val="22"/>
          <w:lang w:eastAsia="zh-CN"/>
        </w:rPr>
        <w:t xml:space="preserve">of study enrollment </w:t>
      </w:r>
      <w:r w:rsidRPr="008241EA">
        <w:rPr>
          <w:sz w:val="22"/>
          <w:szCs w:val="22"/>
          <w:lang w:eastAsia="zh-CN"/>
        </w:rPr>
        <w:t xml:space="preserve">is associated with </w:t>
      </w:r>
      <w:r>
        <w:rPr>
          <w:sz w:val="22"/>
          <w:szCs w:val="22"/>
          <w:lang w:eastAsia="zh-CN"/>
        </w:rPr>
        <w:t>high</w:t>
      </w:r>
      <w:r w:rsidRPr="008241EA">
        <w:rPr>
          <w:sz w:val="22"/>
          <w:szCs w:val="22"/>
          <w:lang w:eastAsia="zh-CN"/>
        </w:rPr>
        <w:t xml:space="preserve"> </w:t>
      </w:r>
      <w:r>
        <w:rPr>
          <w:sz w:val="22"/>
          <w:szCs w:val="22"/>
          <w:lang w:eastAsia="zh-CN"/>
        </w:rPr>
        <w:t>mean serum CRP level</w:t>
      </w:r>
      <w:r w:rsidRPr="008241EA">
        <w:rPr>
          <w:sz w:val="22"/>
          <w:szCs w:val="22"/>
          <w:lang w:eastAsia="zh-CN"/>
        </w:rPr>
        <w:t xml:space="preserve">. </w:t>
      </w:r>
      <w:r>
        <w:rPr>
          <w:sz w:val="22"/>
          <w:szCs w:val="22"/>
          <w:lang w:eastAsia="zh-CN"/>
        </w:rPr>
        <w:t xml:space="preserve">  </w:t>
      </w:r>
    </w:p>
    <w:p w:rsidR="00C27FAB" w:rsidRDefault="00C27FAB" w:rsidP="00F628AF">
      <w:pPr>
        <w:numPr>
          <w:ilvl w:val="0"/>
          <w:numId w:val="19"/>
        </w:numPr>
        <w:autoSpaceDE w:val="0"/>
        <w:autoSpaceDN w:val="0"/>
        <w:adjustRightInd w:val="0"/>
        <w:spacing w:after="120"/>
        <w:rPr>
          <w:sz w:val="22"/>
          <w:szCs w:val="22"/>
        </w:rPr>
      </w:pPr>
      <w:r w:rsidRPr="009D5804">
        <w:rPr>
          <w:sz w:val="22"/>
          <w:szCs w:val="22"/>
        </w:rPr>
        <w:t xml:space="preserve">Perform a statistical analysis evaluating an association between serum </w:t>
      </w:r>
      <w:r>
        <w:rPr>
          <w:sz w:val="22"/>
          <w:szCs w:val="22"/>
        </w:rPr>
        <w:t>CRP and 4</w:t>
      </w:r>
      <w:r w:rsidRPr="009D5804">
        <w:rPr>
          <w:sz w:val="22"/>
          <w:szCs w:val="22"/>
        </w:rPr>
        <w:t xml:space="preserve"> year all-cause mortality by comparing geometric mean </w:t>
      </w:r>
      <w:r>
        <w:rPr>
          <w:sz w:val="22"/>
          <w:szCs w:val="22"/>
        </w:rPr>
        <w:t>CRP</w:t>
      </w:r>
      <w:r w:rsidRPr="009D5804">
        <w:rPr>
          <w:sz w:val="22"/>
          <w:szCs w:val="22"/>
        </w:rPr>
        <w:t xml:space="preserve"> values across groups defined by vital status at </w:t>
      </w:r>
      <w:r>
        <w:rPr>
          <w:sz w:val="22"/>
          <w:szCs w:val="22"/>
        </w:rPr>
        <w:t>4</w:t>
      </w:r>
      <w:r w:rsidRPr="009D5804">
        <w:rPr>
          <w:sz w:val="22"/>
          <w:szCs w:val="22"/>
        </w:rPr>
        <w:t xml:space="preserve"> years.</w:t>
      </w:r>
      <w:r>
        <w:rPr>
          <w:sz w:val="22"/>
          <w:szCs w:val="22"/>
        </w:rPr>
        <w:t xml:space="preserve"> (Note that there are some measurements of CRP that are reported as zeroes. Make clear how you handle these measurements.)</w:t>
      </w:r>
    </w:p>
    <w:p w:rsidR="00C27FAB" w:rsidRDefault="00C27FAB" w:rsidP="006E6BAB">
      <w:pPr>
        <w:autoSpaceDE w:val="0"/>
        <w:autoSpaceDN w:val="0"/>
        <w:adjustRightInd w:val="0"/>
        <w:spacing w:after="120"/>
        <w:ind w:left="720"/>
        <w:rPr>
          <w:sz w:val="22"/>
          <w:szCs w:val="22"/>
          <w:lang w:eastAsia="zh-CN"/>
        </w:rPr>
      </w:pPr>
      <w:commentRangeStart w:id="0"/>
      <w:r>
        <w:rPr>
          <w:sz w:val="22"/>
          <w:szCs w:val="22"/>
          <w:lang w:eastAsia="zh-CN"/>
        </w:rPr>
        <w:t xml:space="preserve">Methods: </w:t>
      </w:r>
      <w:commentRangeEnd w:id="0"/>
      <w:r>
        <w:rPr>
          <w:rStyle w:val="CommentReference"/>
        </w:rPr>
        <w:commentReference w:id="0"/>
      </w:r>
      <w:r>
        <w:rPr>
          <w:sz w:val="22"/>
          <w:szCs w:val="22"/>
          <w:lang w:eastAsia="zh-CN"/>
        </w:rPr>
        <w:t xml:space="preserve">A t test (with the assumption of </w:t>
      </w:r>
      <w:r w:rsidRPr="008241EA">
        <w:rPr>
          <w:sz w:val="22"/>
          <w:szCs w:val="22"/>
          <w:lang w:eastAsia="zh-CN"/>
        </w:rPr>
        <w:t>unequal varianc</w:t>
      </w:r>
      <w:r>
        <w:rPr>
          <w:sz w:val="22"/>
          <w:szCs w:val="22"/>
          <w:lang w:eastAsia="zh-CN"/>
        </w:rPr>
        <w:t>es) was performed to compare geometric mean serum CRP</w:t>
      </w:r>
      <w:r w:rsidRPr="008241EA">
        <w:rPr>
          <w:sz w:val="22"/>
          <w:szCs w:val="22"/>
          <w:lang w:eastAsia="zh-CN"/>
        </w:rPr>
        <w:t xml:space="preserve"> levels be</w:t>
      </w:r>
      <w:r>
        <w:rPr>
          <w:sz w:val="22"/>
          <w:szCs w:val="22"/>
          <w:lang w:eastAsia="zh-CN"/>
        </w:rPr>
        <w:t>tween subjects who died within 4</w:t>
      </w:r>
      <w:r w:rsidRPr="008241EA">
        <w:rPr>
          <w:sz w:val="22"/>
          <w:szCs w:val="22"/>
          <w:lang w:eastAsia="zh-CN"/>
        </w:rPr>
        <w:t xml:space="preserve"> years and those who survived </w:t>
      </w:r>
      <w:r>
        <w:rPr>
          <w:sz w:val="22"/>
          <w:szCs w:val="22"/>
          <w:lang w:eastAsia="zh-CN"/>
        </w:rPr>
        <w:t>after 4</w:t>
      </w:r>
      <w:r w:rsidRPr="008241EA">
        <w:rPr>
          <w:sz w:val="22"/>
          <w:szCs w:val="22"/>
          <w:lang w:eastAsia="zh-CN"/>
        </w:rPr>
        <w:t xml:space="preserve"> years.</w:t>
      </w:r>
      <w:r>
        <w:rPr>
          <w:sz w:val="22"/>
          <w:szCs w:val="22"/>
          <w:lang w:eastAsia="zh-CN"/>
        </w:rPr>
        <w:t xml:space="preserve">  The subjects with the serum CRP level equal to 0 mg/L have been changed to 0.5mg/L (half of the detection limit in this study).  </w:t>
      </w:r>
      <w:r w:rsidRPr="00D243B4">
        <w:rPr>
          <w:sz w:val="22"/>
          <w:szCs w:val="22"/>
          <w:lang w:eastAsia="zh-CN"/>
        </w:rPr>
        <w:t xml:space="preserve">95% confidence intervals for the </w:t>
      </w:r>
      <w:commentRangeStart w:id="1"/>
      <w:r w:rsidRPr="00D243B4">
        <w:rPr>
          <w:sz w:val="22"/>
          <w:szCs w:val="22"/>
          <w:lang w:eastAsia="zh-CN"/>
        </w:rPr>
        <w:t xml:space="preserve">difference in population </w:t>
      </w:r>
      <w:r>
        <w:rPr>
          <w:sz w:val="22"/>
          <w:szCs w:val="22"/>
          <w:lang w:eastAsia="zh-CN"/>
        </w:rPr>
        <w:t xml:space="preserve">geometric </w:t>
      </w:r>
      <w:r w:rsidRPr="00D243B4">
        <w:rPr>
          <w:sz w:val="22"/>
          <w:szCs w:val="22"/>
          <w:lang w:eastAsia="zh-CN"/>
        </w:rPr>
        <w:t xml:space="preserve">means </w:t>
      </w:r>
      <w:commentRangeEnd w:id="1"/>
      <w:r>
        <w:rPr>
          <w:rStyle w:val="CommentReference"/>
        </w:rPr>
        <w:commentReference w:id="1"/>
      </w:r>
      <w:r w:rsidRPr="00D243B4">
        <w:rPr>
          <w:sz w:val="22"/>
          <w:szCs w:val="22"/>
          <w:lang w:eastAsia="zh-CN"/>
        </w:rPr>
        <w:t xml:space="preserve">were </w:t>
      </w:r>
      <w:r>
        <w:rPr>
          <w:sz w:val="22"/>
          <w:szCs w:val="22"/>
          <w:lang w:eastAsia="zh-CN"/>
        </w:rPr>
        <w:t xml:space="preserve">estimated </w:t>
      </w:r>
      <w:r w:rsidRPr="00D243B4">
        <w:rPr>
          <w:sz w:val="22"/>
          <w:szCs w:val="22"/>
          <w:lang w:eastAsia="zh-CN"/>
        </w:rPr>
        <w:t xml:space="preserve">based on </w:t>
      </w:r>
      <w:r>
        <w:rPr>
          <w:sz w:val="22"/>
          <w:szCs w:val="22"/>
          <w:lang w:eastAsia="zh-CN"/>
        </w:rPr>
        <w:t xml:space="preserve">the same assumption and then </w:t>
      </w:r>
      <w:r w:rsidRPr="00F55257">
        <w:rPr>
          <w:sz w:val="22"/>
          <w:szCs w:val="22"/>
          <w:lang w:eastAsia="zh-CN"/>
        </w:rPr>
        <w:t>exponentiated</w:t>
      </w:r>
      <w:r>
        <w:rPr>
          <w:sz w:val="22"/>
          <w:szCs w:val="22"/>
          <w:lang w:eastAsia="zh-CN"/>
        </w:rPr>
        <w:t xml:space="preserve"> to obtain inference.</w:t>
      </w:r>
    </w:p>
    <w:p w:rsidR="00C27FAB" w:rsidRDefault="00C27FAB" w:rsidP="00E10369">
      <w:pPr>
        <w:autoSpaceDE w:val="0"/>
        <w:autoSpaceDN w:val="0"/>
        <w:adjustRightInd w:val="0"/>
        <w:spacing w:after="120"/>
        <w:ind w:left="720"/>
        <w:rPr>
          <w:sz w:val="22"/>
          <w:szCs w:val="22"/>
          <w:lang w:eastAsia="zh-CN"/>
        </w:rPr>
      </w:pPr>
      <w:r>
        <w:rPr>
          <w:sz w:val="22"/>
          <w:szCs w:val="22"/>
          <w:lang w:eastAsia="zh-CN"/>
        </w:rPr>
        <w:t xml:space="preserve"> </w:t>
      </w:r>
    </w:p>
    <w:p w:rsidR="00C27FAB" w:rsidRDefault="00C27FAB" w:rsidP="00E10369">
      <w:pPr>
        <w:autoSpaceDE w:val="0"/>
        <w:autoSpaceDN w:val="0"/>
        <w:adjustRightInd w:val="0"/>
        <w:spacing w:after="120"/>
        <w:ind w:left="720"/>
        <w:rPr>
          <w:sz w:val="22"/>
          <w:szCs w:val="22"/>
          <w:lang w:eastAsia="zh-CN"/>
        </w:rPr>
      </w:pPr>
      <w:r w:rsidRPr="00F55257">
        <w:rPr>
          <w:sz w:val="22"/>
          <w:szCs w:val="22"/>
          <w:lang w:eastAsia="zh-CN"/>
        </w:rPr>
        <w:t xml:space="preserve">Results: </w:t>
      </w:r>
      <w:r>
        <w:rPr>
          <w:sz w:val="22"/>
          <w:szCs w:val="22"/>
          <w:lang w:eastAsia="zh-CN"/>
        </w:rPr>
        <w:t>There are a total of 428 subjects with the serum CRP reading of 0mg/L.  In order to log transfer the data, these values have been replaced by 0.5mg/L (half of the detection limit in this study).  For the subjects who survived at least 4</w:t>
      </w:r>
      <w:r w:rsidRPr="008241EA">
        <w:rPr>
          <w:sz w:val="22"/>
          <w:szCs w:val="22"/>
          <w:lang w:eastAsia="zh-CN"/>
        </w:rPr>
        <w:t xml:space="preserve"> year</w:t>
      </w:r>
      <w:r>
        <w:rPr>
          <w:sz w:val="22"/>
          <w:szCs w:val="22"/>
          <w:lang w:eastAsia="zh-CN"/>
        </w:rPr>
        <w:t>s after study enrollment (n=4449), the geometric mean serum CRP is 2.03 mg/L.  For the subjects who died within 4</w:t>
      </w:r>
      <w:r w:rsidRPr="008241EA">
        <w:rPr>
          <w:sz w:val="22"/>
          <w:szCs w:val="22"/>
          <w:lang w:eastAsia="zh-CN"/>
        </w:rPr>
        <w:t xml:space="preserve"> years</w:t>
      </w:r>
      <w:r>
        <w:rPr>
          <w:sz w:val="22"/>
          <w:szCs w:val="22"/>
          <w:lang w:eastAsia="zh-CN"/>
        </w:rPr>
        <w:t xml:space="preserve"> (n=484), the mean serum CPR is 2.97 mg/L</w:t>
      </w:r>
      <w:r w:rsidRPr="008241EA">
        <w:rPr>
          <w:sz w:val="22"/>
          <w:szCs w:val="22"/>
          <w:lang w:eastAsia="zh-CN"/>
        </w:rPr>
        <w:t xml:space="preserve">. </w:t>
      </w:r>
      <w:r w:rsidRPr="00416645">
        <w:rPr>
          <w:sz w:val="22"/>
          <w:szCs w:val="22"/>
          <w:lang w:eastAsia="zh-CN"/>
        </w:rPr>
        <w:t xml:space="preserve">On average, the geometric mean serum CRP level for subjects who died within 4 years is 46.4% higher than that of subjects who survived at least 4 years of enrollment. </w:t>
      </w:r>
      <w:commentRangeStart w:id="2"/>
      <w:r w:rsidRPr="00416645">
        <w:rPr>
          <w:sz w:val="22"/>
          <w:szCs w:val="22"/>
          <w:lang w:eastAsia="zh-CN"/>
        </w:rPr>
        <w:t>With 95% confidence</w:t>
      </w:r>
      <w:commentRangeEnd w:id="2"/>
      <w:r>
        <w:rPr>
          <w:rStyle w:val="CommentReference"/>
        </w:rPr>
        <w:commentReference w:id="2"/>
      </w:r>
      <w:r w:rsidRPr="00416645">
        <w:rPr>
          <w:sz w:val="22"/>
          <w:szCs w:val="22"/>
          <w:lang w:eastAsia="zh-CN"/>
        </w:rPr>
        <w:t>, the observed data would not be unusual if the true geometric mean CRP level for subject</w:t>
      </w:r>
      <w:r>
        <w:rPr>
          <w:sz w:val="22"/>
          <w:szCs w:val="22"/>
          <w:lang w:eastAsia="zh-CN"/>
        </w:rPr>
        <w:t>s who died within 4 years is 33.2% to</w:t>
      </w:r>
      <w:r w:rsidRPr="00416645">
        <w:rPr>
          <w:sz w:val="22"/>
          <w:szCs w:val="22"/>
          <w:lang w:eastAsia="zh-CN"/>
        </w:rPr>
        <w:t xml:space="preserve"> 60.9% higher than </w:t>
      </w:r>
      <w:r>
        <w:rPr>
          <w:sz w:val="22"/>
          <w:szCs w:val="22"/>
          <w:lang w:eastAsia="zh-CN"/>
        </w:rPr>
        <w:t>that of subjects who survived at least</w:t>
      </w:r>
      <w:r w:rsidRPr="00416645">
        <w:rPr>
          <w:sz w:val="22"/>
          <w:szCs w:val="22"/>
          <w:lang w:eastAsia="zh-CN"/>
        </w:rPr>
        <w:t xml:space="preserve"> 4 years. </w:t>
      </w:r>
      <w:r>
        <w:rPr>
          <w:sz w:val="22"/>
          <w:szCs w:val="22"/>
          <w:lang w:eastAsia="zh-CN"/>
        </w:rPr>
        <w:t>T</w:t>
      </w:r>
      <w:r w:rsidRPr="008241EA">
        <w:rPr>
          <w:sz w:val="22"/>
          <w:szCs w:val="22"/>
          <w:lang w:eastAsia="zh-CN"/>
        </w:rPr>
        <w:t>his observation is statistically significant at a 0.05 level of s</w:t>
      </w:r>
      <w:r>
        <w:rPr>
          <w:sz w:val="22"/>
          <w:szCs w:val="22"/>
          <w:lang w:eastAsia="zh-CN"/>
        </w:rPr>
        <w:t>ignificance based on a t test (two-sided P&lt; 0.0001).  Therefore, with high confidence</w:t>
      </w:r>
      <w:r w:rsidRPr="008241EA">
        <w:rPr>
          <w:sz w:val="22"/>
          <w:szCs w:val="22"/>
          <w:lang w:eastAsia="zh-CN"/>
        </w:rPr>
        <w:t xml:space="preserve"> we can reject the null hypothesis </w:t>
      </w:r>
      <w:r>
        <w:rPr>
          <w:sz w:val="22"/>
          <w:szCs w:val="22"/>
          <w:lang w:eastAsia="zh-CN"/>
        </w:rPr>
        <w:t>that the geometric mean serum CRP</w:t>
      </w:r>
      <w:r w:rsidRPr="008241EA">
        <w:rPr>
          <w:sz w:val="22"/>
          <w:szCs w:val="22"/>
          <w:lang w:eastAsia="zh-CN"/>
        </w:rPr>
        <w:t xml:space="preserve"> levels are not different </w:t>
      </w:r>
      <w:r>
        <w:rPr>
          <w:sz w:val="22"/>
          <w:szCs w:val="22"/>
          <w:lang w:eastAsia="zh-CN"/>
        </w:rPr>
        <w:t>between the subjects who died within 4 years and the subjects who died after 4 years.  We conclude that the death of the subjects within 4</w:t>
      </w:r>
      <w:r w:rsidRPr="008241EA">
        <w:rPr>
          <w:sz w:val="22"/>
          <w:szCs w:val="22"/>
          <w:lang w:eastAsia="zh-CN"/>
        </w:rPr>
        <w:t xml:space="preserve"> years </w:t>
      </w:r>
      <w:r>
        <w:rPr>
          <w:sz w:val="22"/>
          <w:szCs w:val="22"/>
          <w:lang w:eastAsia="zh-CN"/>
        </w:rPr>
        <w:t xml:space="preserve">of study enrollment </w:t>
      </w:r>
      <w:r w:rsidRPr="008241EA">
        <w:rPr>
          <w:sz w:val="22"/>
          <w:szCs w:val="22"/>
          <w:lang w:eastAsia="zh-CN"/>
        </w:rPr>
        <w:t xml:space="preserve">is associated with </w:t>
      </w:r>
      <w:r>
        <w:rPr>
          <w:sz w:val="22"/>
          <w:szCs w:val="22"/>
          <w:lang w:eastAsia="zh-CN"/>
        </w:rPr>
        <w:t>high geometric mean serum CRP level</w:t>
      </w:r>
      <w:r w:rsidRPr="008241EA">
        <w:rPr>
          <w:sz w:val="22"/>
          <w:szCs w:val="22"/>
          <w:lang w:eastAsia="zh-CN"/>
        </w:rPr>
        <w:t xml:space="preserve">. </w:t>
      </w:r>
      <w:r>
        <w:rPr>
          <w:sz w:val="22"/>
          <w:szCs w:val="22"/>
          <w:lang w:eastAsia="zh-CN"/>
        </w:rPr>
        <w:t xml:space="preserve">  </w:t>
      </w:r>
    </w:p>
    <w:p w:rsidR="00C27FAB" w:rsidRDefault="00C27FAB" w:rsidP="00E10369">
      <w:pPr>
        <w:autoSpaceDE w:val="0"/>
        <w:autoSpaceDN w:val="0"/>
        <w:adjustRightInd w:val="0"/>
        <w:spacing w:after="120"/>
        <w:ind w:left="720"/>
        <w:rPr>
          <w:sz w:val="22"/>
          <w:szCs w:val="22"/>
          <w:lang w:eastAsia="zh-CN"/>
        </w:rPr>
      </w:pPr>
    </w:p>
    <w:p w:rsidR="00C27FAB" w:rsidRDefault="00C27FAB" w:rsidP="00E10369">
      <w:pPr>
        <w:numPr>
          <w:ilvl w:val="0"/>
          <w:numId w:val="19"/>
        </w:numPr>
        <w:autoSpaceDE w:val="0"/>
        <w:autoSpaceDN w:val="0"/>
        <w:adjustRightInd w:val="0"/>
        <w:spacing w:after="120"/>
        <w:rPr>
          <w:sz w:val="22"/>
          <w:szCs w:val="22"/>
        </w:rPr>
      </w:pPr>
      <w:r w:rsidRPr="009D5804">
        <w:rPr>
          <w:sz w:val="22"/>
          <w:szCs w:val="22"/>
        </w:rPr>
        <w:t xml:space="preserve">Perform a statistical analysis evaluating an association between serum </w:t>
      </w:r>
      <w:r>
        <w:rPr>
          <w:sz w:val="22"/>
          <w:szCs w:val="22"/>
        </w:rPr>
        <w:t>CRP</w:t>
      </w:r>
      <w:r w:rsidRPr="009D5804">
        <w:rPr>
          <w:sz w:val="22"/>
          <w:szCs w:val="22"/>
        </w:rPr>
        <w:t xml:space="preserve"> and </w:t>
      </w:r>
      <w:r>
        <w:rPr>
          <w:sz w:val="22"/>
          <w:szCs w:val="22"/>
        </w:rPr>
        <w:t>4</w:t>
      </w:r>
      <w:r w:rsidRPr="009D5804">
        <w:rPr>
          <w:sz w:val="22"/>
          <w:szCs w:val="22"/>
        </w:rPr>
        <w:t xml:space="preserve"> year all-cause mortality by comparing the probability of death within </w:t>
      </w:r>
      <w:r>
        <w:rPr>
          <w:sz w:val="22"/>
          <w:szCs w:val="22"/>
        </w:rPr>
        <w:t>4</w:t>
      </w:r>
      <w:r w:rsidRPr="009D5804">
        <w:rPr>
          <w:sz w:val="22"/>
          <w:szCs w:val="22"/>
        </w:rPr>
        <w:t xml:space="preserve"> years across groups defined by whether the subjects have high serum </w:t>
      </w:r>
      <w:r>
        <w:rPr>
          <w:sz w:val="22"/>
          <w:szCs w:val="22"/>
        </w:rPr>
        <w:t>CRP</w:t>
      </w:r>
      <w:r w:rsidRPr="009D5804">
        <w:rPr>
          <w:sz w:val="22"/>
          <w:szCs w:val="22"/>
        </w:rPr>
        <w:t xml:space="preserve"> (“high” = </w:t>
      </w:r>
      <w:r>
        <w:rPr>
          <w:sz w:val="22"/>
          <w:szCs w:val="22"/>
        </w:rPr>
        <w:t>CRP</w:t>
      </w:r>
      <w:r w:rsidRPr="009D5804">
        <w:rPr>
          <w:sz w:val="22"/>
          <w:szCs w:val="22"/>
        </w:rPr>
        <w:t xml:space="preserve"> </w:t>
      </w:r>
      <w:r w:rsidRPr="003F5F38">
        <w:rPr>
          <w:sz w:val="22"/>
          <w:szCs w:val="22"/>
        </w:rPr>
        <w:t>&gt;</w:t>
      </w:r>
      <w:r w:rsidRPr="009D5804">
        <w:rPr>
          <w:sz w:val="22"/>
          <w:szCs w:val="22"/>
        </w:rPr>
        <w:t xml:space="preserve"> </w:t>
      </w:r>
      <w:r>
        <w:rPr>
          <w:sz w:val="22"/>
          <w:szCs w:val="22"/>
        </w:rPr>
        <w:t>3 mg/</w:t>
      </w:r>
      <w:r w:rsidRPr="009D5804">
        <w:rPr>
          <w:sz w:val="22"/>
          <w:szCs w:val="22"/>
        </w:rPr>
        <w:t>L).</w:t>
      </w:r>
    </w:p>
    <w:p w:rsidR="00C27FAB" w:rsidRDefault="00C27FAB" w:rsidP="00E10369">
      <w:pPr>
        <w:autoSpaceDE w:val="0"/>
        <w:autoSpaceDN w:val="0"/>
        <w:adjustRightInd w:val="0"/>
        <w:spacing w:after="120"/>
        <w:ind w:left="720"/>
        <w:rPr>
          <w:sz w:val="22"/>
          <w:szCs w:val="22"/>
          <w:lang w:eastAsia="zh-CN"/>
        </w:rPr>
      </w:pPr>
      <w:r>
        <w:rPr>
          <w:sz w:val="22"/>
          <w:szCs w:val="22"/>
          <w:lang w:eastAsia="zh-CN"/>
        </w:rPr>
        <w:t>Method: The subjects dying within 4</w:t>
      </w:r>
      <w:r w:rsidRPr="00F55257">
        <w:rPr>
          <w:sz w:val="22"/>
          <w:szCs w:val="22"/>
          <w:lang w:eastAsia="zh-CN"/>
        </w:rPr>
        <w:t xml:space="preserve"> years of study enrollment </w:t>
      </w:r>
      <w:r>
        <w:rPr>
          <w:sz w:val="22"/>
          <w:szCs w:val="22"/>
          <w:lang w:eastAsia="zh-CN"/>
        </w:rPr>
        <w:t>were divided into two group based on their serum CRP level (</w:t>
      </w:r>
      <w:r w:rsidRPr="00720DD7">
        <w:rPr>
          <w:sz w:val="22"/>
          <w:szCs w:val="22"/>
          <w:lang w:eastAsia="zh-CN"/>
        </w:rPr>
        <w:t xml:space="preserve">less than </w:t>
      </w:r>
      <w:r>
        <w:rPr>
          <w:sz w:val="22"/>
          <w:szCs w:val="22"/>
          <w:lang w:eastAsia="zh-CN"/>
        </w:rPr>
        <w:t>3mg/L; greater than or equal to 3 mg/</w:t>
      </w:r>
      <w:r w:rsidRPr="00720DD7">
        <w:rPr>
          <w:sz w:val="22"/>
          <w:szCs w:val="22"/>
          <w:lang w:eastAsia="zh-CN"/>
        </w:rPr>
        <w:t>L</w:t>
      </w:r>
      <w:r>
        <w:rPr>
          <w:sz w:val="22"/>
          <w:szCs w:val="22"/>
          <w:lang w:eastAsia="zh-CN"/>
        </w:rPr>
        <w:t>).  The probability of death was</w:t>
      </w:r>
      <w:r w:rsidRPr="00F55257">
        <w:rPr>
          <w:sz w:val="22"/>
          <w:szCs w:val="22"/>
          <w:lang w:eastAsia="zh-CN"/>
        </w:rPr>
        <w:t xml:space="preserve"> compared </w:t>
      </w:r>
      <w:r>
        <w:rPr>
          <w:sz w:val="22"/>
          <w:szCs w:val="22"/>
          <w:lang w:eastAsia="zh-CN"/>
        </w:rPr>
        <w:t xml:space="preserve">between groups </w:t>
      </w:r>
      <w:r w:rsidRPr="00F55257">
        <w:rPr>
          <w:sz w:val="22"/>
          <w:szCs w:val="22"/>
          <w:lang w:eastAsia="zh-CN"/>
        </w:rPr>
        <w:t>using Pearson’s chi squared test for independence. 95% confidence intervals fo</w:t>
      </w:r>
      <w:r>
        <w:rPr>
          <w:sz w:val="22"/>
          <w:szCs w:val="22"/>
          <w:lang w:eastAsia="zh-CN"/>
        </w:rPr>
        <w:t>r the difference between groups in population were also estimated.</w:t>
      </w:r>
    </w:p>
    <w:p w:rsidR="00C27FAB" w:rsidRDefault="00C27FAB" w:rsidP="00731E43">
      <w:pPr>
        <w:autoSpaceDE w:val="0"/>
        <w:autoSpaceDN w:val="0"/>
        <w:adjustRightInd w:val="0"/>
        <w:spacing w:after="120"/>
        <w:ind w:left="720"/>
        <w:rPr>
          <w:sz w:val="22"/>
          <w:szCs w:val="22"/>
          <w:lang w:eastAsia="zh-CN"/>
        </w:rPr>
      </w:pPr>
      <w:r w:rsidRPr="00F55257">
        <w:rPr>
          <w:sz w:val="22"/>
          <w:szCs w:val="22"/>
          <w:lang w:eastAsia="zh-CN"/>
        </w:rPr>
        <w:t xml:space="preserve">Results: </w:t>
      </w:r>
      <w:r>
        <w:rPr>
          <w:sz w:val="22"/>
          <w:szCs w:val="22"/>
          <w:lang w:eastAsia="zh-CN"/>
        </w:rPr>
        <w:t>For the group whose serum CRP level was less than or equal to 3 mg/L(n=3758), 8.0</w:t>
      </w:r>
      <w:r w:rsidRPr="00F55257">
        <w:rPr>
          <w:sz w:val="22"/>
          <w:szCs w:val="22"/>
          <w:lang w:eastAsia="zh-CN"/>
        </w:rPr>
        <w:t xml:space="preserve">% </w:t>
      </w:r>
      <w:r>
        <w:rPr>
          <w:sz w:val="22"/>
          <w:szCs w:val="22"/>
          <w:lang w:eastAsia="zh-CN"/>
        </w:rPr>
        <w:t>of the subjects died within 4 years of study enrollment.  For the group whose serum CRP level was greater than 3 mg/l (n=1175), 15.6</w:t>
      </w:r>
      <w:r w:rsidRPr="00F55257">
        <w:rPr>
          <w:sz w:val="22"/>
          <w:szCs w:val="22"/>
          <w:lang w:eastAsia="zh-CN"/>
        </w:rPr>
        <w:t xml:space="preserve">% </w:t>
      </w:r>
      <w:r>
        <w:rPr>
          <w:sz w:val="22"/>
          <w:szCs w:val="22"/>
          <w:lang w:eastAsia="zh-CN"/>
        </w:rPr>
        <w:t xml:space="preserve">of the subjects died within 4 years.  On average, the survival probability of the group with high CRP level is lower by 7.6% compared to the group with low CRP level. </w:t>
      </w:r>
      <w:r w:rsidRPr="00731E43">
        <w:rPr>
          <w:sz w:val="22"/>
          <w:szCs w:val="22"/>
          <w:lang w:eastAsia="zh-CN"/>
        </w:rPr>
        <w:t>With 95% confidence, this observed result would not be unusual if the true</w:t>
      </w:r>
      <w:r>
        <w:rPr>
          <w:sz w:val="22"/>
          <w:szCs w:val="22"/>
          <w:lang w:eastAsia="zh-CN"/>
        </w:rPr>
        <w:t xml:space="preserve"> survival probability of the group with CRP level greater than 3mg/L is lower by 5.3% to 9.8% than the group with CRP level less or equal to 3mg/l.  This observation is </w:t>
      </w:r>
      <w:r w:rsidRPr="00F55257">
        <w:rPr>
          <w:sz w:val="22"/>
          <w:szCs w:val="22"/>
          <w:lang w:eastAsia="zh-CN"/>
        </w:rPr>
        <w:t>st</w:t>
      </w:r>
      <w:r>
        <w:rPr>
          <w:sz w:val="22"/>
          <w:szCs w:val="22"/>
          <w:lang w:eastAsia="zh-CN"/>
        </w:rPr>
        <w:t xml:space="preserve">atistically significant </w:t>
      </w:r>
      <w:r w:rsidRPr="008241EA">
        <w:rPr>
          <w:sz w:val="22"/>
          <w:szCs w:val="22"/>
          <w:lang w:eastAsia="zh-CN"/>
        </w:rPr>
        <w:t>at a 0.05 level of s</w:t>
      </w:r>
      <w:r>
        <w:rPr>
          <w:sz w:val="22"/>
          <w:szCs w:val="22"/>
          <w:lang w:eastAsia="zh-CN"/>
        </w:rPr>
        <w:t>ignificance based on a chi squared test (two-sided P&lt; 0.0001).  In summary, we can</w:t>
      </w:r>
      <w:r w:rsidRPr="00F55257">
        <w:rPr>
          <w:sz w:val="22"/>
          <w:szCs w:val="22"/>
          <w:lang w:eastAsia="zh-CN"/>
        </w:rPr>
        <w:t xml:space="preserve"> reject the null hypothesis</w:t>
      </w:r>
      <w:r>
        <w:rPr>
          <w:sz w:val="22"/>
          <w:szCs w:val="22"/>
          <w:lang w:eastAsia="zh-CN"/>
        </w:rPr>
        <w:t xml:space="preserve"> with high confidence and conclude that </w:t>
      </w:r>
      <w:r w:rsidRPr="00F55257">
        <w:rPr>
          <w:sz w:val="22"/>
          <w:szCs w:val="22"/>
          <w:lang w:eastAsia="zh-CN"/>
        </w:rPr>
        <w:t xml:space="preserve">the survival probabilities </w:t>
      </w:r>
      <w:r>
        <w:rPr>
          <w:sz w:val="22"/>
          <w:szCs w:val="22"/>
          <w:lang w:eastAsia="zh-CN"/>
        </w:rPr>
        <w:t xml:space="preserve">within 4 years of study enrollment </w:t>
      </w:r>
      <w:r w:rsidRPr="00F55257">
        <w:rPr>
          <w:sz w:val="22"/>
          <w:szCs w:val="22"/>
          <w:lang w:eastAsia="zh-CN"/>
        </w:rPr>
        <w:t xml:space="preserve">are </w:t>
      </w:r>
      <w:r>
        <w:rPr>
          <w:sz w:val="22"/>
          <w:szCs w:val="22"/>
          <w:lang w:eastAsia="zh-CN"/>
        </w:rPr>
        <w:t>associated with serum CRP levels.</w:t>
      </w:r>
    </w:p>
    <w:p w:rsidR="00C27FAB" w:rsidRDefault="00C27FAB" w:rsidP="00E10369">
      <w:pPr>
        <w:autoSpaceDE w:val="0"/>
        <w:autoSpaceDN w:val="0"/>
        <w:adjustRightInd w:val="0"/>
        <w:spacing w:after="120"/>
        <w:ind w:left="720"/>
        <w:rPr>
          <w:sz w:val="22"/>
          <w:szCs w:val="22"/>
          <w:lang w:eastAsia="zh-CN"/>
        </w:rPr>
      </w:pPr>
    </w:p>
    <w:p w:rsidR="00C27FAB" w:rsidRDefault="00C27FAB" w:rsidP="00E10369">
      <w:pPr>
        <w:numPr>
          <w:ilvl w:val="0"/>
          <w:numId w:val="19"/>
        </w:numPr>
        <w:autoSpaceDE w:val="0"/>
        <w:autoSpaceDN w:val="0"/>
        <w:adjustRightInd w:val="0"/>
        <w:spacing w:after="120"/>
        <w:rPr>
          <w:sz w:val="22"/>
          <w:szCs w:val="22"/>
        </w:rPr>
      </w:pPr>
      <w:r w:rsidRPr="009D5804">
        <w:rPr>
          <w:sz w:val="22"/>
          <w:szCs w:val="22"/>
        </w:rPr>
        <w:t xml:space="preserve">Perform a statistical analysis evaluating an association between serum </w:t>
      </w:r>
      <w:r>
        <w:rPr>
          <w:sz w:val="22"/>
          <w:szCs w:val="22"/>
        </w:rPr>
        <w:t>CRP</w:t>
      </w:r>
      <w:r w:rsidRPr="009D5804">
        <w:rPr>
          <w:sz w:val="22"/>
          <w:szCs w:val="22"/>
        </w:rPr>
        <w:t xml:space="preserve"> and </w:t>
      </w:r>
      <w:r>
        <w:rPr>
          <w:sz w:val="22"/>
          <w:szCs w:val="22"/>
        </w:rPr>
        <w:t>4</w:t>
      </w:r>
      <w:r w:rsidRPr="009D5804">
        <w:rPr>
          <w:sz w:val="22"/>
          <w:szCs w:val="22"/>
        </w:rPr>
        <w:t xml:space="preserve"> year all-cause mortality by comparing the odds of death within </w:t>
      </w:r>
      <w:r>
        <w:rPr>
          <w:sz w:val="22"/>
          <w:szCs w:val="22"/>
        </w:rPr>
        <w:t>4</w:t>
      </w:r>
      <w:r w:rsidRPr="009D5804">
        <w:rPr>
          <w:sz w:val="22"/>
          <w:szCs w:val="22"/>
        </w:rPr>
        <w:t xml:space="preserve"> years across groups defined by whether the subjects have high serum </w:t>
      </w:r>
      <w:r>
        <w:rPr>
          <w:sz w:val="22"/>
          <w:szCs w:val="22"/>
        </w:rPr>
        <w:t>CRP</w:t>
      </w:r>
      <w:r w:rsidRPr="009D5804">
        <w:rPr>
          <w:sz w:val="22"/>
          <w:szCs w:val="22"/>
        </w:rPr>
        <w:t xml:space="preserve"> (“high” = </w:t>
      </w:r>
      <w:r>
        <w:rPr>
          <w:sz w:val="22"/>
          <w:szCs w:val="22"/>
        </w:rPr>
        <w:t>CRP</w:t>
      </w:r>
      <w:r w:rsidRPr="009D5804">
        <w:rPr>
          <w:sz w:val="22"/>
          <w:szCs w:val="22"/>
        </w:rPr>
        <w:t xml:space="preserve"> </w:t>
      </w:r>
      <w:r w:rsidRPr="003F5F38">
        <w:rPr>
          <w:sz w:val="22"/>
          <w:szCs w:val="22"/>
        </w:rPr>
        <w:t>&gt;</w:t>
      </w:r>
      <w:r w:rsidRPr="009D5804">
        <w:rPr>
          <w:sz w:val="22"/>
          <w:szCs w:val="22"/>
        </w:rPr>
        <w:t xml:space="preserve"> </w:t>
      </w:r>
      <w:r>
        <w:rPr>
          <w:sz w:val="22"/>
          <w:szCs w:val="22"/>
        </w:rPr>
        <w:t>3 mg/</w:t>
      </w:r>
      <w:r w:rsidRPr="009D5804">
        <w:rPr>
          <w:sz w:val="22"/>
          <w:szCs w:val="22"/>
        </w:rPr>
        <w:t>L).</w:t>
      </w:r>
    </w:p>
    <w:p w:rsidR="00C27FAB" w:rsidRDefault="00C27FAB" w:rsidP="00E10369">
      <w:pPr>
        <w:pStyle w:val="ListParagraph"/>
        <w:autoSpaceDE w:val="0"/>
        <w:autoSpaceDN w:val="0"/>
        <w:adjustRightInd w:val="0"/>
        <w:spacing w:after="120"/>
        <w:rPr>
          <w:sz w:val="22"/>
          <w:szCs w:val="22"/>
          <w:lang w:eastAsia="zh-CN"/>
        </w:rPr>
      </w:pPr>
      <w:r w:rsidRPr="00E10369">
        <w:rPr>
          <w:sz w:val="22"/>
          <w:szCs w:val="22"/>
          <w:lang w:eastAsia="zh-CN"/>
        </w:rPr>
        <w:t>Method</w:t>
      </w:r>
      <w:r>
        <w:rPr>
          <w:sz w:val="22"/>
          <w:szCs w:val="22"/>
          <w:lang w:eastAsia="zh-CN"/>
        </w:rPr>
        <w:t>s</w:t>
      </w:r>
      <w:r w:rsidRPr="00E10369">
        <w:rPr>
          <w:sz w:val="22"/>
          <w:szCs w:val="22"/>
          <w:lang w:eastAsia="zh-CN"/>
        </w:rPr>
        <w:t>:</w:t>
      </w:r>
      <w:r w:rsidRPr="00F55257">
        <w:rPr>
          <w:sz w:val="22"/>
          <w:szCs w:val="22"/>
          <w:lang w:eastAsia="zh-CN"/>
        </w:rPr>
        <w:t xml:space="preserve"> </w:t>
      </w:r>
      <w:r>
        <w:rPr>
          <w:sz w:val="22"/>
          <w:szCs w:val="22"/>
          <w:lang w:eastAsia="zh-CN"/>
        </w:rPr>
        <w:t>The subjects dying within 4</w:t>
      </w:r>
      <w:r w:rsidRPr="00F55257">
        <w:rPr>
          <w:sz w:val="22"/>
          <w:szCs w:val="22"/>
          <w:lang w:eastAsia="zh-CN"/>
        </w:rPr>
        <w:t xml:space="preserve"> years of study enrollment </w:t>
      </w:r>
      <w:r>
        <w:rPr>
          <w:sz w:val="22"/>
          <w:szCs w:val="22"/>
          <w:lang w:eastAsia="zh-CN"/>
        </w:rPr>
        <w:t>were divided into two group based on their serum CRP level (</w:t>
      </w:r>
      <w:r w:rsidRPr="00720DD7">
        <w:rPr>
          <w:sz w:val="22"/>
          <w:szCs w:val="22"/>
          <w:lang w:eastAsia="zh-CN"/>
        </w:rPr>
        <w:t xml:space="preserve">less than </w:t>
      </w:r>
      <w:r>
        <w:rPr>
          <w:sz w:val="22"/>
          <w:szCs w:val="22"/>
          <w:lang w:eastAsia="zh-CN"/>
        </w:rPr>
        <w:t>3mg/L; greater than or equal to 3 mg/</w:t>
      </w:r>
      <w:r w:rsidRPr="00720DD7">
        <w:rPr>
          <w:sz w:val="22"/>
          <w:szCs w:val="22"/>
          <w:lang w:eastAsia="zh-CN"/>
        </w:rPr>
        <w:t>L</w:t>
      </w:r>
      <w:r>
        <w:rPr>
          <w:sz w:val="22"/>
          <w:szCs w:val="22"/>
          <w:lang w:eastAsia="zh-CN"/>
        </w:rPr>
        <w:t>).  The odds of death were</w:t>
      </w:r>
      <w:r w:rsidRPr="00F55257">
        <w:rPr>
          <w:sz w:val="22"/>
          <w:szCs w:val="22"/>
          <w:lang w:eastAsia="zh-CN"/>
        </w:rPr>
        <w:t xml:space="preserve"> compared </w:t>
      </w:r>
      <w:r>
        <w:rPr>
          <w:sz w:val="22"/>
          <w:szCs w:val="22"/>
          <w:lang w:eastAsia="zh-CN"/>
        </w:rPr>
        <w:t xml:space="preserve">between groups </w:t>
      </w:r>
      <w:r w:rsidRPr="00F55257">
        <w:rPr>
          <w:sz w:val="22"/>
          <w:szCs w:val="22"/>
          <w:lang w:eastAsia="zh-CN"/>
        </w:rPr>
        <w:t>using Pearson’s c</w:t>
      </w:r>
      <w:r>
        <w:rPr>
          <w:sz w:val="22"/>
          <w:szCs w:val="22"/>
          <w:lang w:eastAsia="zh-CN"/>
        </w:rPr>
        <w:t>hi squared test</w:t>
      </w:r>
      <w:r w:rsidRPr="00F55257">
        <w:rPr>
          <w:sz w:val="22"/>
          <w:szCs w:val="22"/>
          <w:lang w:eastAsia="zh-CN"/>
        </w:rPr>
        <w:t xml:space="preserve">. </w:t>
      </w:r>
      <w:r>
        <w:rPr>
          <w:sz w:val="22"/>
          <w:szCs w:val="22"/>
          <w:lang w:eastAsia="zh-CN"/>
        </w:rPr>
        <w:t xml:space="preserve"> </w:t>
      </w:r>
      <w:r w:rsidRPr="00F55257">
        <w:rPr>
          <w:sz w:val="22"/>
          <w:szCs w:val="22"/>
          <w:lang w:eastAsia="zh-CN"/>
        </w:rPr>
        <w:t>95% confidence intervals fo</w:t>
      </w:r>
      <w:r>
        <w:rPr>
          <w:sz w:val="22"/>
          <w:szCs w:val="22"/>
          <w:lang w:eastAsia="zh-CN"/>
        </w:rPr>
        <w:t xml:space="preserve">r the odds ratio were also estimated.  </w:t>
      </w:r>
    </w:p>
    <w:p w:rsidR="00C27FAB" w:rsidRDefault="00C27FAB" w:rsidP="00E10369">
      <w:pPr>
        <w:pStyle w:val="ListParagraph"/>
        <w:autoSpaceDE w:val="0"/>
        <w:autoSpaceDN w:val="0"/>
        <w:adjustRightInd w:val="0"/>
        <w:spacing w:after="120"/>
        <w:rPr>
          <w:sz w:val="22"/>
          <w:szCs w:val="22"/>
          <w:lang w:eastAsia="zh-CN"/>
        </w:rPr>
      </w:pPr>
    </w:p>
    <w:p w:rsidR="00C27FAB" w:rsidRDefault="00C27FAB" w:rsidP="00720DFD">
      <w:pPr>
        <w:autoSpaceDE w:val="0"/>
        <w:autoSpaceDN w:val="0"/>
        <w:adjustRightInd w:val="0"/>
        <w:spacing w:after="120"/>
        <w:ind w:left="720"/>
        <w:rPr>
          <w:sz w:val="22"/>
          <w:szCs w:val="22"/>
          <w:lang w:eastAsia="zh-CN"/>
        </w:rPr>
      </w:pPr>
      <w:r w:rsidRPr="00F55257">
        <w:rPr>
          <w:sz w:val="22"/>
          <w:szCs w:val="22"/>
          <w:lang w:eastAsia="zh-CN"/>
        </w:rPr>
        <w:t xml:space="preserve">Results: </w:t>
      </w:r>
      <w:r>
        <w:rPr>
          <w:sz w:val="22"/>
          <w:szCs w:val="22"/>
          <w:lang w:eastAsia="zh-CN"/>
        </w:rPr>
        <w:t>For the group whose serum CRP level was less than or equal to 3 mg/L</w:t>
      </w:r>
      <w:r w:rsidRPr="00F55257">
        <w:rPr>
          <w:sz w:val="22"/>
          <w:szCs w:val="22"/>
          <w:lang w:eastAsia="zh-CN"/>
        </w:rPr>
        <w:t>, the odds of dying within 5 years</w:t>
      </w:r>
      <w:r>
        <w:rPr>
          <w:sz w:val="22"/>
          <w:szCs w:val="22"/>
          <w:lang w:eastAsia="zh-CN"/>
        </w:rPr>
        <w:t xml:space="preserve"> from study enrollment was 0.087.  For the group whose serum CRP level was greater than 3 mg/l, </w:t>
      </w:r>
      <w:r w:rsidRPr="00F55257">
        <w:rPr>
          <w:sz w:val="22"/>
          <w:szCs w:val="22"/>
          <w:lang w:eastAsia="zh-CN"/>
        </w:rPr>
        <w:t>the od</w:t>
      </w:r>
      <w:r>
        <w:rPr>
          <w:sz w:val="22"/>
          <w:szCs w:val="22"/>
          <w:lang w:eastAsia="zh-CN"/>
        </w:rPr>
        <w:t>ds of 5 year mortality was 0.184</w:t>
      </w:r>
      <w:r w:rsidRPr="00F55257">
        <w:rPr>
          <w:sz w:val="22"/>
          <w:szCs w:val="22"/>
          <w:lang w:eastAsia="zh-CN"/>
        </w:rPr>
        <w:t xml:space="preserve">. </w:t>
      </w:r>
      <w:r>
        <w:rPr>
          <w:sz w:val="22"/>
          <w:szCs w:val="22"/>
          <w:lang w:eastAsia="zh-CN"/>
        </w:rPr>
        <w:t xml:space="preserve"> The observed odds ratio is 2.12</w:t>
      </w:r>
      <w:r w:rsidRPr="00F55257">
        <w:rPr>
          <w:sz w:val="22"/>
          <w:szCs w:val="22"/>
          <w:lang w:eastAsia="zh-CN"/>
        </w:rPr>
        <w:t xml:space="preserve"> for the comparison </w:t>
      </w:r>
      <w:r>
        <w:rPr>
          <w:sz w:val="22"/>
          <w:szCs w:val="22"/>
          <w:lang w:eastAsia="zh-CN"/>
        </w:rPr>
        <w:t xml:space="preserve">of the subjects of high serum CRP levels to the subjects of low serum CRP levels.  </w:t>
      </w:r>
      <w:r w:rsidRPr="00731E43">
        <w:rPr>
          <w:sz w:val="22"/>
          <w:szCs w:val="22"/>
          <w:lang w:eastAsia="zh-CN"/>
        </w:rPr>
        <w:t>With 95% confidence</w:t>
      </w:r>
      <w:r w:rsidRPr="00F55257">
        <w:rPr>
          <w:sz w:val="22"/>
          <w:szCs w:val="22"/>
          <w:lang w:eastAsia="zh-CN"/>
        </w:rPr>
        <w:t xml:space="preserve">, </w:t>
      </w:r>
      <w:r w:rsidRPr="00731E43">
        <w:rPr>
          <w:sz w:val="22"/>
          <w:szCs w:val="22"/>
          <w:lang w:eastAsia="zh-CN"/>
        </w:rPr>
        <w:t>this observed result would not be unusual if the true</w:t>
      </w:r>
      <w:r>
        <w:rPr>
          <w:sz w:val="22"/>
          <w:szCs w:val="22"/>
          <w:lang w:eastAsia="zh-CN"/>
        </w:rPr>
        <w:t xml:space="preserve"> </w:t>
      </w:r>
      <w:r w:rsidRPr="00F55257">
        <w:rPr>
          <w:sz w:val="22"/>
          <w:szCs w:val="22"/>
          <w:lang w:eastAsia="zh-CN"/>
        </w:rPr>
        <w:t>odds r</w:t>
      </w:r>
      <w:r>
        <w:rPr>
          <w:sz w:val="22"/>
          <w:szCs w:val="22"/>
          <w:lang w:eastAsia="zh-CN"/>
        </w:rPr>
        <w:t>atio was anywhere between 1.74 to 2.58</w:t>
      </w:r>
      <w:r w:rsidRPr="00F55257">
        <w:rPr>
          <w:sz w:val="22"/>
          <w:szCs w:val="22"/>
          <w:lang w:eastAsia="zh-CN"/>
        </w:rPr>
        <w:t xml:space="preserve">. </w:t>
      </w:r>
      <w:r>
        <w:rPr>
          <w:sz w:val="22"/>
          <w:szCs w:val="22"/>
          <w:lang w:eastAsia="zh-CN"/>
        </w:rPr>
        <w:t xml:space="preserve">This observation is </w:t>
      </w:r>
      <w:r w:rsidRPr="00F55257">
        <w:rPr>
          <w:sz w:val="22"/>
          <w:szCs w:val="22"/>
          <w:lang w:eastAsia="zh-CN"/>
        </w:rPr>
        <w:t>st</w:t>
      </w:r>
      <w:r>
        <w:rPr>
          <w:sz w:val="22"/>
          <w:szCs w:val="22"/>
          <w:lang w:eastAsia="zh-CN"/>
        </w:rPr>
        <w:t xml:space="preserve">atistically significant </w:t>
      </w:r>
      <w:r w:rsidRPr="008241EA">
        <w:rPr>
          <w:sz w:val="22"/>
          <w:szCs w:val="22"/>
          <w:lang w:eastAsia="zh-CN"/>
        </w:rPr>
        <w:t>at a 0.05 level of s</w:t>
      </w:r>
      <w:r>
        <w:rPr>
          <w:sz w:val="22"/>
          <w:szCs w:val="22"/>
          <w:lang w:eastAsia="zh-CN"/>
        </w:rPr>
        <w:t>ignificance based on a chi squared test (two-sided P&lt; 0.0001).  In summary, we can</w:t>
      </w:r>
      <w:r w:rsidRPr="00F55257">
        <w:rPr>
          <w:sz w:val="22"/>
          <w:szCs w:val="22"/>
          <w:lang w:eastAsia="zh-CN"/>
        </w:rPr>
        <w:t xml:space="preserve"> reject the null hypothesis</w:t>
      </w:r>
      <w:r>
        <w:rPr>
          <w:sz w:val="22"/>
          <w:szCs w:val="22"/>
          <w:lang w:eastAsia="zh-CN"/>
        </w:rPr>
        <w:t xml:space="preserve"> with high confidence and conclude that the odds of death within 4 year are associated with serum CRP</w:t>
      </w:r>
      <w:r w:rsidRPr="00F55257">
        <w:rPr>
          <w:sz w:val="22"/>
          <w:szCs w:val="22"/>
          <w:lang w:eastAsia="zh-CN"/>
        </w:rPr>
        <w:t xml:space="preserve"> levels.</w:t>
      </w:r>
    </w:p>
    <w:p w:rsidR="00C27FAB" w:rsidRPr="00E10369" w:rsidRDefault="00C27FAB" w:rsidP="00E10369">
      <w:pPr>
        <w:pStyle w:val="ListParagraph"/>
        <w:autoSpaceDE w:val="0"/>
        <w:autoSpaceDN w:val="0"/>
        <w:adjustRightInd w:val="0"/>
        <w:spacing w:after="120"/>
        <w:rPr>
          <w:sz w:val="22"/>
          <w:szCs w:val="22"/>
          <w:lang w:eastAsia="zh-CN"/>
        </w:rPr>
      </w:pPr>
    </w:p>
    <w:p w:rsidR="00C27FAB" w:rsidRDefault="00C27FAB" w:rsidP="003F5F38">
      <w:pPr>
        <w:numPr>
          <w:ilvl w:val="0"/>
          <w:numId w:val="19"/>
        </w:numPr>
        <w:autoSpaceDE w:val="0"/>
        <w:autoSpaceDN w:val="0"/>
        <w:adjustRightInd w:val="0"/>
        <w:spacing w:after="120"/>
        <w:rPr>
          <w:sz w:val="22"/>
          <w:szCs w:val="22"/>
        </w:rPr>
      </w:pPr>
      <w:r w:rsidRPr="009D5804">
        <w:rPr>
          <w:sz w:val="22"/>
          <w:szCs w:val="22"/>
        </w:rPr>
        <w:t xml:space="preserve">Perform a statistical analysis evaluating an association between serum </w:t>
      </w:r>
      <w:r>
        <w:rPr>
          <w:sz w:val="22"/>
          <w:szCs w:val="22"/>
        </w:rPr>
        <w:t>CRP</w:t>
      </w:r>
      <w:r w:rsidRPr="009D5804">
        <w:rPr>
          <w:sz w:val="22"/>
          <w:szCs w:val="22"/>
        </w:rPr>
        <w:t xml:space="preserve"> and all-cause mortality over the entire period of observation of these subjects by comparing the instantaneous risk of death across groups defined by whether the subjects have high serum </w:t>
      </w:r>
      <w:r>
        <w:rPr>
          <w:sz w:val="22"/>
          <w:szCs w:val="22"/>
        </w:rPr>
        <w:t>CRP</w:t>
      </w:r>
      <w:r w:rsidRPr="009D5804">
        <w:rPr>
          <w:sz w:val="22"/>
          <w:szCs w:val="22"/>
        </w:rPr>
        <w:t xml:space="preserve"> (“high” = </w:t>
      </w:r>
      <w:r>
        <w:rPr>
          <w:sz w:val="22"/>
          <w:szCs w:val="22"/>
        </w:rPr>
        <w:t>CRP</w:t>
      </w:r>
      <w:r w:rsidRPr="009D5804">
        <w:rPr>
          <w:sz w:val="22"/>
          <w:szCs w:val="22"/>
        </w:rPr>
        <w:t xml:space="preserve"> </w:t>
      </w:r>
      <w:r>
        <w:rPr>
          <w:sz w:val="22"/>
          <w:szCs w:val="22"/>
        </w:rPr>
        <w:t>&gt;</w:t>
      </w:r>
      <w:r w:rsidRPr="009D5804">
        <w:rPr>
          <w:sz w:val="22"/>
          <w:szCs w:val="22"/>
        </w:rPr>
        <w:t xml:space="preserve"> </w:t>
      </w:r>
      <w:r>
        <w:rPr>
          <w:sz w:val="22"/>
          <w:szCs w:val="22"/>
        </w:rPr>
        <w:t>3 mg/</w:t>
      </w:r>
      <w:r w:rsidRPr="009D5804">
        <w:rPr>
          <w:sz w:val="22"/>
          <w:szCs w:val="22"/>
        </w:rPr>
        <w:t>L).</w:t>
      </w:r>
    </w:p>
    <w:p w:rsidR="00C27FAB" w:rsidRDefault="00C27FAB" w:rsidP="007D06B2">
      <w:pPr>
        <w:autoSpaceDE w:val="0"/>
        <w:autoSpaceDN w:val="0"/>
        <w:adjustRightInd w:val="0"/>
        <w:spacing w:after="120"/>
        <w:ind w:left="720"/>
        <w:rPr>
          <w:sz w:val="22"/>
          <w:szCs w:val="22"/>
          <w:lang w:eastAsia="zh-CN"/>
        </w:rPr>
      </w:pPr>
      <w:r>
        <w:rPr>
          <w:sz w:val="22"/>
          <w:szCs w:val="22"/>
          <w:lang w:eastAsia="zh-CN"/>
        </w:rPr>
        <w:t>Methods:</w:t>
      </w:r>
      <w:r w:rsidRPr="00F55257">
        <w:rPr>
          <w:sz w:val="22"/>
          <w:szCs w:val="22"/>
          <w:lang w:eastAsia="zh-CN"/>
        </w:rPr>
        <w:t xml:space="preserve"> </w:t>
      </w:r>
      <w:r>
        <w:rPr>
          <w:sz w:val="22"/>
          <w:szCs w:val="22"/>
          <w:lang w:eastAsia="zh-CN"/>
        </w:rPr>
        <w:t>The subjects were divided into two group based on their serum CRP level (</w:t>
      </w:r>
      <w:r w:rsidRPr="00720DD7">
        <w:rPr>
          <w:sz w:val="22"/>
          <w:szCs w:val="22"/>
          <w:lang w:eastAsia="zh-CN"/>
        </w:rPr>
        <w:t xml:space="preserve">less than </w:t>
      </w:r>
      <w:r>
        <w:rPr>
          <w:sz w:val="22"/>
          <w:szCs w:val="22"/>
          <w:lang w:eastAsia="zh-CN"/>
        </w:rPr>
        <w:t>or equal to 3mg/L; greater than 3 mg/</w:t>
      </w:r>
      <w:r w:rsidRPr="00720DD7">
        <w:rPr>
          <w:sz w:val="22"/>
          <w:szCs w:val="22"/>
          <w:lang w:eastAsia="zh-CN"/>
        </w:rPr>
        <w:t>L</w:t>
      </w:r>
      <w:r>
        <w:rPr>
          <w:sz w:val="22"/>
          <w:szCs w:val="22"/>
          <w:lang w:eastAsia="zh-CN"/>
        </w:rPr>
        <w:t xml:space="preserve">).  Kaplan-Meier was used to estimate the survival distribution in two groups. </w:t>
      </w:r>
      <w:r w:rsidRPr="00F55257">
        <w:rPr>
          <w:sz w:val="22"/>
          <w:szCs w:val="22"/>
          <w:lang w:eastAsia="zh-CN"/>
        </w:rPr>
        <w:t xml:space="preserve"> Difference in survival distributions between</w:t>
      </w:r>
      <w:r>
        <w:rPr>
          <w:sz w:val="22"/>
          <w:szCs w:val="22"/>
          <w:lang w:eastAsia="zh-CN"/>
        </w:rPr>
        <w:t xml:space="preserve"> two groups was tested using a</w:t>
      </w:r>
      <w:r w:rsidRPr="00F55257">
        <w:rPr>
          <w:sz w:val="22"/>
          <w:szCs w:val="22"/>
          <w:lang w:eastAsia="zh-CN"/>
        </w:rPr>
        <w:t xml:space="preserve"> logrank statistic. The hazard ratio </w:t>
      </w:r>
      <w:r>
        <w:rPr>
          <w:sz w:val="22"/>
          <w:szCs w:val="22"/>
          <w:lang w:eastAsia="zh-CN"/>
        </w:rPr>
        <w:t xml:space="preserve">and 95% </w:t>
      </w:r>
      <w:r w:rsidRPr="00F55257">
        <w:rPr>
          <w:sz w:val="22"/>
          <w:szCs w:val="22"/>
          <w:lang w:eastAsia="zh-CN"/>
        </w:rPr>
        <w:t>confidence intervals</w:t>
      </w:r>
      <w:r>
        <w:rPr>
          <w:sz w:val="22"/>
          <w:szCs w:val="22"/>
          <w:lang w:eastAsia="zh-CN"/>
        </w:rPr>
        <w:t xml:space="preserve"> were calculated </w:t>
      </w:r>
      <w:r w:rsidRPr="00F55257">
        <w:rPr>
          <w:sz w:val="22"/>
          <w:szCs w:val="22"/>
          <w:lang w:eastAsia="zh-CN"/>
        </w:rPr>
        <w:t>using Cox proportional hazards regression</w:t>
      </w:r>
      <w:r>
        <w:rPr>
          <w:sz w:val="22"/>
          <w:szCs w:val="22"/>
          <w:lang w:eastAsia="zh-CN"/>
        </w:rPr>
        <w:t>.</w:t>
      </w:r>
      <w:r w:rsidRPr="00F55257">
        <w:rPr>
          <w:sz w:val="22"/>
          <w:szCs w:val="22"/>
          <w:lang w:eastAsia="zh-CN"/>
        </w:rPr>
        <w:t xml:space="preserve"> </w:t>
      </w:r>
    </w:p>
    <w:p w:rsidR="00C27FAB" w:rsidRDefault="00C27FAB" w:rsidP="00B10E71">
      <w:pPr>
        <w:autoSpaceDE w:val="0"/>
        <w:autoSpaceDN w:val="0"/>
        <w:adjustRightInd w:val="0"/>
        <w:spacing w:after="120"/>
        <w:ind w:left="720"/>
        <w:rPr>
          <w:sz w:val="22"/>
          <w:szCs w:val="22"/>
          <w:lang w:eastAsia="zh-CN"/>
        </w:rPr>
      </w:pPr>
      <w:r w:rsidRPr="00F55257">
        <w:rPr>
          <w:sz w:val="22"/>
          <w:szCs w:val="22"/>
          <w:lang w:eastAsia="zh-CN"/>
        </w:rPr>
        <w:t xml:space="preserve">Results: </w:t>
      </w:r>
      <w:r>
        <w:rPr>
          <w:sz w:val="22"/>
          <w:szCs w:val="22"/>
          <w:lang w:eastAsia="zh-CN"/>
        </w:rPr>
        <w:t>Kaplan-Meier curves in the following graph demonstrate the survival probability of the two group based on their serum CRP level (3758</w:t>
      </w:r>
      <w:r w:rsidRPr="00F55257">
        <w:rPr>
          <w:sz w:val="22"/>
          <w:szCs w:val="22"/>
          <w:lang w:eastAsia="zh-CN"/>
        </w:rPr>
        <w:t xml:space="preserve"> subjects </w:t>
      </w:r>
      <w:r>
        <w:rPr>
          <w:sz w:val="22"/>
          <w:szCs w:val="22"/>
          <w:lang w:eastAsia="zh-CN"/>
        </w:rPr>
        <w:t>with</w:t>
      </w:r>
      <w:r w:rsidRPr="00F55257">
        <w:rPr>
          <w:sz w:val="22"/>
          <w:szCs w:val="22"/>
          <w:lang w:eastAsia="zh-CN"/>
        </w:rPr>
        <w:t xml:space="preserve"> </w:t>
      </w:r>
      <w:r>
        <w:rPr>
          <w:sz w:val="22"/>
          <w:szCs w:val="22"/>
          <w:lang w:eastAsia="zh-CN"/>
        </w:rPr>
        <w:t>serum CRP level less than or equal to 3 mg/</w:t>
      </w:r>
      <w:r w:rsidRPr="00F55257">
        <w:rPr>
          <w:sz w:val="22"/>
          <w:szCs w:val="22"/>
          <w:lang w:eastAsia="zh-CN"/>
        </w:rPr>
        <w:t xml:space="preserve">L and </w:t>
      </w:r>
      <w:r>
        <w:rPr>
          <w:sz w:val="22"/>
          <w:szCs w:val="22"/>
          <w:lang w:eastAsia="zh-CN"/>
        </w:rPr>
        <w:t>1175 subjects with serum CRP level greater than 3 mg/</w:t>
      </w:r>
      <w:r w:rsidRPr="00F55257">
        <w:rPr>
          <w:sz w:val="22"/>
          <w:szCs w:val="22"/>
          <w:lang w:eastAsia="zh-CN"/>
        </w:rPr>
        <w:t>L</w:t>
      </w:r>
      <w:r>
        <w:rPr>
          <w:sz w:val="22"/>
          <w:szCs w:val="22"/>
          <w:lang w:eastAsia="zh-CN"/>
        </w:rPr>
        <w:t>)</w:t>
      </w:r>
      <w:r w:rsidRPr="00F55257">
        <w:rPr>
          <w:sz w:val="22"/>
          <w:szCs w:val="22"/>
          <w:lang w:eastAsia="zh-CN"/>
        </w:rPr>
        <w:t xml:space="preserve">. </w:t>
      </w:r>
      <w:r>
        <w:rPr>
          <w:sz w:val="22"/>
          <w:szCs w:val="22"/>
          <w:lang w:eastAsia="zh-CN"/>
        </w:rPr>
        <w:t xml:space="preserve"> It is apparent from the</w:t>
      </w:r>
      <w:r w:rsidRPr="00F55257">
        <w:rPr>
          <w:sz w:val="22"/>
          <w:szCs w:val="22"/>
          <w:lang w:eastAsia="zh-CN"/>
        </w:rPr>
        <w:t xml:space="preserve"> graph </w:t>
      </w:r>
      <w:r>
        <w:rPr>
          <w:sz w:val="22"/>
          <w:szCs w:val="22"/>
          <w:lang w:eastAsia="zh-CN"/>
        </w:rPr>
        <w:t xml:space="preserve">that </w:t>
      </w:r>
      <w:r w:rsidRPr="00F55257">
        <w:rPr>
          <w:sz w:val="22"/>
          <w:szCs w:val="22"/>
          <w:lang w:eastAsia="zh-CN"/>
        </w:rPr>
        <w:t>surviv</w:t>
      </w:r>
      <w:r>
        <w:rPr>
          <w:sz w:val="22"/>
          <w:szCs w:val="22"/>
          <w:lang w:eastAsia="zh-CN"/>
        </w:rPr>
        <w:t>al probability for group with the high CRP</w:t>
      </w:r>
      <w:r w:rsidRPr="00F55257">
        <w:rPr>
          <w:sz w:val="22"/>
          <w:szCs w:val="22"/>
          <w:lang w:eastAsia="zh-CN"/>
        </w:rPr>
        <w:t xml:space="preserve"> </w:t>
      </w:r>
      <w:r>
        <w:rPr>
          <w:sz w:val="22"/>
          <w:szCs w:val="22"/>
          <w:lang w:eastAsia="zh-CN"/>
        </w:rPr>
        <w:t>level is lower than the group with low CRP level</w:t>
      </w:r>
      <w:r w:rsidRPr="00F55257">
        <w:rPr>
          <w:sz w:val="22"/>
          <w:szCs w:val="22"/>
          <w:lang w:eastAsia="zh-CN"/>
        </w:rPr>
        <w:t xml:space="preserve">. </w:t>
      </w:r>
      <w:r w:rsidRPr="00B0029C">
        <w:rPr>
          <w:sz w:val="22"/>
          <w:szCs w:val="22"/>
          <w:lang w:eastAsia="zh-CN"/>
        </w:rPr>
        <w:t xml:space="preserve">The instantaneous risk </w:t>
      </w:r>
      <w:r>
        <w:rPr>
          <w:sz w:val="22"/>
          <w:szCs w:val="22"/>
          <w:lang w:eastAsia="zh-CN"/>
        </w:rPr>
        <w:t>of death is estimated to be 68.7</w:t>
      </w:r>
      <w:r w:rsidRPr="00B0029C">
        <w:rPr>
          <w:sz w:val="22"/>
          <w:szCs w:val="22"/>
          <w:lang w:eastAsia="zh-CN"/>
        </w:rPr>
        <w:t xml:space="preserve">% </w:t>
      </w:r>
      <w:r>
        <w:rPr>
          <w:sz w:val="22"/>
          <w:szCs w:val="22"/>
          <w:lang w:eastAsia="zh-CN"/>
        </w:rPr>
        <w:t>higher for the group with high serum CRP level compared to the group with low serum CRP level</w:t>
      </w:r>
      <w:r w:rsidRPr="00B0029C">
        <w:rPr>
          <w:sz w:val="22"/>
          <w:szCs w:val="22"/>
          <w:lang w:eastAsia="zh-CN"/>
        </w:rPr>
        <w:t>.</w:t>
      </w:r>
      <w:r>
        <w:rPr>
          <w:sz w:val="22"/>
          <w:szCs w:val="22"/>
          <w:lang w:eastAsia="zh-CN"/>
        </w:rPr>
        <w:t xml:space="preserve"> The observed hazard ratio is 1.687</w:t>
      </w:r>
      <w:r w:rsidRPr="00F55257">
        <w:rPr>
          <w:sz w:val="22"/>
          <w:szCs w:val="22"/>
          <w:lang w:eastAsia="zh-CN"/>
        </w:rPr>
        <w:t xml:space="preserve"> for the comparison </w:t>
      </w:r>
      <w:r>
        <w:rPr>
          <w:sz w:val="22"/>
          <w:szCs w:val="22"/>
          <w:lang w:eastAsia="zh-CN"/>
        </w:rPr>
        <w:t xml:space="preserve">of the subjects in high serum CRP group to the subjects in the low serum CRP group.  </w:t>
      </w:r>
      <w:r w:rsidRPr="00731E43">
        <w:rPr>
          <w:sz w:val="22"/>
          <w:szCs w:val="22"/>
          <w:lang w:eastAsia="zh-CN"/>
        </w:rPr>
        <w:t>With 95% confidence</w:t>
      </w:r>
      <w:r w:rsidRPr="00F55257">
        <w:rPr>
          <w:sz w:val="22"/>
          <w:szCs w:val="22"/>
          <w:lang w:eastAsia="zh-CN"/>
        </w:rPr>
        <w:t xml:space="preserve">, </w:t>
      </w:r>
      <w:r w:rsidRPr="00731E43">
        <w:rPr>
          <w:sz w:val="22"/>
          <w:szCs w:val="22"/>
          <w:lang w:eastAsia="zh-CN"/>
        </w:rPr>
        <w:t>this observed result would not be unusual if the true</w:t>
      </w:r>
      <w:r>
        <w:rPr>
          <w:sz w:val="22"/>
          <w:szCs w:val="22"/>
          <w:lang w:eastAsia="zh-CN"/>
        </w:rPr>
        <w:t xml:space="preserve"> hazard</w:t>
      </w:r>
      <w:r w:rsidRPr="00F55257">
        <w:rPr>
          <w:sz w:val="22"/>
          <w:szCs w:val="22"/>
          <w:lang w:eastAsia="zh-CN"/>
        </w:rPr>
        <w:t xml:space="preserve"> r</w:t>
      </w:r>
      <w:r>
        <w:rPr>
          <w:sz w:val="22"/>
          <w:szCs w:val="22"/>
          <w:lang w:eastAsia="zh-CN"/>
        </w:rPr>
        <w:t>atio was anywhere between 1.485 to 1.916</w:t>
      </w:r>
      <w:r w:rsidRPr="00F55257">
        <w:rPr>
          <w:sz w:val="22"/>
          <w:szCs w:val="22"/>
          <w:lang w:eastAsia="zh-CN"/>
        </w:rPr>
        <w:t xml:space="preserve">. </w:t>
      </w:r>
      <w:r>
        <w:rPr>
          <w:sz w:val="22"/>
          <w:szCs w:val="22"/>
          <w:lang w:eastAsia="zh-CN"/>
        </w:rPr>
        <w:t xml:space="preserve"> This observation is </w:t>
      </w:r>
      <w:r w:rsidRPr="00F55257">
        <w:rPr>
          <w:sz w:val="22"/>
          <w:szCs w:val="22"/>
          <w:lang w:eastAsia="zh-CN"/>
        </w:rPr>
        <w:t>st</w:t>
      </w:r>
      <w:r>
        <w:rPr>
          <w:sz w:val="22"/>
          <w:szCs w:val="22"/>
          <w:lang w:eastAsia="zh-CN"/>
        </w:rPr>
        <w:t xml:space="preserve">atistically significant </w:t>
      </w:r>
      <w:r w:rsidRPr="008241EA">
        <w:rPr>
          <w:sz w:val="22"/>
          <w:szCs w:val="22"/>
          <w:lang w:eastAsia="zh-CN"/>
        </w:rPr>
        <w:t>at a 0.05 level of s</w:t>
      </w:r>
      <w:r>
        <w:rPr>
          <w:sz w:val="22"/>
          <w:szCs w:val="22"/>
          <w:lang w:eastAsia="zh-CN"/>
        </w:rPr>
        <w:t>ignificance based on a logrank test (two-sided P&lt; 0.0001).  Therefore, we can</w:t>
      </w:r>
      <w:r w:rsidRPr="00F55257">
        <w:rPr>
          <w:sz w:val="22"/>
          <w:szCs w:val="22"/>
          <w:lang w:eastAsia="zh-CN"/>
        </w:rPr>
        <w:t xml:space="preserve"> reject the null hypothesis</w:t>
      </w:r>
      <w:r>
        <w:rPr>
          <w:sz w:val="22"/>
          <w:szCs w:val="22"/>
          <w:lang w:eastAsia="zh-CN"/>
        </w:rPr>
        <w:t xml:space="preserve"> with high confidence and conclude that the </w:t>
      </w:r>
      <w:r w:rsidRPr="00B10E71">
        <w:rPr>
          <w:sz w:val="22"/>
          <w:szCs w:val="22"/>
          <w:lang w:eastAsia="zh-CN"/>
        </w:rPr>
        <w:t xml:space="preserve">survival </w:t>
      </w:r>
      <w:r>
        <w:rPr>
          <w:sz w:val="22"/>
          <w:szCs w:val="22"/>
          <w:lang w:eastAsia="zh-CN"/>
        </w:rPr>
        <w:t>probability is associated with serum CRP</w:t>
      </w:r>
      <w:r w:rsidRPr="00F55257">
        <w:rPr>
          <w:sz w:val="22"/>
          <w:szCs w:val="22"/>
          <w:lang w:eastAsia="zh-CN"/>
        </w:rPr>
        <w:t xml:space="preserve"> levels.</w:t>
      </w:r>
    </w:p>
    <w:p w:rsidR="00C27FAB" w:rsidRDefault="00C27FAB" w:rsidP="00B10E71">
      <w:pPr>
        <w:autoSpaceDE w:val="0"/>
        <w:autoSpaceDN w:val="0"/>
        <w:adjustRightInd w:val="0"/>
        <w:spacing w:after="120"/>
        <w:ind w:left="720"/>
        <w:rPr>
          <w:sz w:val="22"/>
          <w:szCs w:val="22"/>
        </w:rPr>
      </w:pPr>
      <w:r w:rsidRPr="0039319D">
        <w:rPr>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style="width:355.5pt;height:258.75pt;visibility:visible">
            <v:imagedata r:id="rId8" o:title=""/>
          </v:shape>
        </w:pict>
      </w:r>
    </w:p>
    <w:p w:rsidR="00C27FAB" w:rsidRPr="009D5804" w:rsidRDefault="00C27FAB" w:rsidP="00E0229F">
      <w:pPr>
        <w:autoSpaceDE w:val="0"/>
        <w:autoSpaceDN w:val="0"/>
        <w:adjustRightInd w:val="0"/>
        <w:spacing w:after="120"/>
        <w:ind w:left="720"/>
        <w:rPr>
          <w:sz w:val="22"/>
          <w:szCs w:val="22"/>
        </w:rPr>
      </w:pPr>
    </w:p>
    <w:p w:rsidR="00C27FAB" w:rsidRDefault="00C27FAB" w:rsidP="00261CFB">
      <w:pPr>
        <w:numPr>
          <w:ilvl w:val="0"/>
          <w:numId w:val="19"/>
        </w:numPr>
        <w:autoSpaceDE w:val="0"/>
        <w:autoSpaceDN w:val="0"/>
        <w:adjustRightInd w:val="0"/>
        <w:spacing w:after="120"/>
        <w:rPr>
          <w:sz w:val="22"/>
          <w:szCs w:val="22"/>
        </w:rPr>
      </w:pPr>
      <w:r w:rsidRPr="009D5804">
        <w:rPr>
          <w:sz w:val="22"/>
          <w:szCs w:val="22"/>
        </w:rPr>
        <w:t xml:space="preserve">Supposing I had not been so redundant (in a scientifically inappropriate manner) and so prescriptive about methods of detecting an association, what analysis would you have preferred </w:t>
      </w:r>
      <w:r w:rsidRPr="009D5804">
        <w:rPr>
          <w:i/>
          <w:iCs/>
          <w:sz w:val="22"/>
          <w:szCs w:val="22"/>
        </w:rPr>
        <w:t>a priori</w:t>
      </w:r>
      <w:r w:rsidRPr="009D5804">
        <w:rPr>
          <w:sz w:val="22"/>
          <w:szCs w:val="22"/>
        </w:rPr>
        <w:t xml:space="preserve"> in order to answer the question about an association between mortality and serum </w:t>
      </w:r>
      <w:r>
        <w:rPr>
          <w:sz w:val="22"/>
          <w:szCs w:val="22"/>
        </w:rPr>
        <w:t>CRP</w:t>
      </w:r>
      <w:r w:rsidRPr="009D5804">
        <w:rPr>
          <w:sz w:val="22"/>
          <w:szCs w:val="22"/>
        </w:rPr>
        <w:t>? Why?</w:t>
      </w:r>
    </w:p>
    <w:p w:rsidR="00C27FAB" w:rsidRDefault="00C27FAB" w:rsidP="00F55257">
      <w:pPr>
        <w:autoSpaceDE w:val="0"/>
        <w:autoSpaceDN w:val="0"/>
        <w:adjustRightInd w:val="0"/>
        <w:spacing w:after="120"/>
        <w:ind w:left="720"/>
        <w:rPr>
          <w:sz w:val="22"/>
          <w:szCs w:val="22"/>
          <w:lang w:eastAsia="zh-CN"/>
        </w:rPr>
      </w:pPr>
      <w:r>
        <w:rPr>
          <w:sz w:val="22"/>
          <w:szCs w:val="22"/>
          <w:lang w:eastAsia="zh-CN"/>
        </w:rPr>
        <w:t xml:space="preserve">Answer: I would prefer a t test to compare the mean CRP level </w:t>
      </w:r>
      <w:r w:rsidRPr="003B78AB">
        <w:rPr>
          <w:sz w:val="22"/>
          <w:szCs w:val="22"/>
        </w:rPr>
        <w:t>across groups defined by vital status at 4 years</w:t>
      </w:r>
      <w:r>
        <w:rPr>
          <w:sz w:val="22"/>
          <w:szCs w:val="22"/>
          <w:lang w:eastAsia="zh-CN"/>
        </w:rPr>
        <w:t>.  Because t test with the assumption of unequal variances is usually valid and robust.  The results of the difference of the means between groups are easy to calculate (compared to the geometric means in problem 4) and be better understood.  Usually i</w:t>
      </w:r>
      <w:r>
        <w:rPr>
          <w:sz w:val="22"/>
          <w:szCs w:val="22"/>
        </w:rPr>
        <w:t xml:space="preserve">t is </w:t>
      </w:r>
      <w:r>
        <w:rPr>
          <w:sz w:val="22"/>
          <w:szCs w:val="22"/>
          <w:lang w:eastAsia="zh-CN"/>
        </w:rPr>
        <w:t>not recommended</w:t>
      </w:r>
      <w:r>
        <w:rPr>
          <w:sz w:val="22"/>
          <w:szCs w:val="22"/>
        </w:rPr>
        <w:t xml:space="preserve"> to dichotomize a continuous variable</w:t>
      </w:r>
      <w:r>
        <w:rPr>
          <w:sz w:val="22"/>
          <w:szCs w:val="22"/>
          <w:lang w:eastAsia="zh-CN"/>
        </w:rPr>
        <w:t xml:space="preserve">, but in this study, it is better to </w:t>
      </w:r>
      <w:r>
        <w:rPr>
          <w:sz w:val="22"/>
          <w:szCs w:val="22"/>
        </w:rPr>
        <w:t>dichotomize</w:t>
      </w:r>
      <w:r>
        <w:rPr>
          <w:sz w:val="22"/>
          <w:szCs w:val="22"/>
          <w:lang w:eastAsia="zh-CN"/>
        </w:rPr>
        <w:t xml:space="preserve"> the survival time than the serum CRP levels.</w:t>
      </w:r>
    </w:p>
    <w:p w:rsidR="00C27FAB" w:rsidRPr="009D5804" w:rsidRDefault="00C27FAB" w:rsidP="00F55257">
      <w:pPr>
        <w:autoSpaceDE w:val="0"/>
        <w:autoSpaceDN w:val="0"/>
        <w:adjustRightInd w:val="0"/>
        <w:spacing w:after="120"/>
        <w:ind w:left="720"/>
        <w:rPr>
          <w:sz w:val="22"/>
          <w:szCs w:val="22"/>
          <w:lang w:eastAsia="zh-CN"/>
        </w:rPr>
      </w:pPr>
      <w:r>
        <w:rPr>
          <w:sz w:val="22"/>
          <w:szCs w:val="22"/>
          <w:lang w:eastAsia="zh-CN"/>
        </w:rPr>
        <w:t xml:space="preserve">Dividing subjects into multiple groups based on their CRP levels can also be considered due to the mechanism study in biochemistry.  Usually a trend can be observed between groups.  </w:t>
      </w:r>
    </w:p>
    <w:p w:rsidR="00C27FAB" w:rsidRPr="009D5804" w:rsidRDefault="00C27FAB" w:rsidP="009D5804">
      <w:pPr>
        <w:pStyle w:val="PlainText"/>
        <w:rPr>
          <w:rFonts w:ascii="Times New Roman" w:hAnsi="Times New Roman" w:cs="Times New Roman"/>
          <w:sz w:val="22"/>
          <w:szCs w:val="22"/>
        </w:rPr>
      </w:pPr>
      <w:bookmarkStart w:id="3" w:name="_GoBack"/>
      <w:bookmarkEnd w:id="3"/>
    </w:p>
    <w:sectPr w:rsidR="00C27FAB" w:rsidRPr="009D5804" w:rsidSect="001E5158">
      <w:headerReference w:type="default" r:id="rId9"/>
      <w:pgSz w:w="12240" w:h="15840"/>
      <w:pgMar w:top="1440" w:right="1440" w:bottom="1440" w:left="1440" w:header="720" w:footer="720" w:gutter="0"/>
      <w:cols w:space="720"/>
      <w:noEndnote/>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Author" w:initials="A">
    <w:p w:rsidR="00C27FAB" w:rsidRDefault="00C27FAB">
      <w:pPr>
        <w:pStyle w:val="CommentText"/>
      </w:pPr>
      <w:r>
        <w:rPr>
          <w:rStyle w:val="CommentReference"/>
        </w:rPr>
        <w:annotationRef/>
      </w:r>
      <w:r>
        <w:t>Score: 9/10</w:t>
      </w:r>
    </w:p>
  </w:comment>
  <w:comment w:id="1" w:author="Author" w:initials="A">
    <w:p w:rsidR="00C27FAB" w:rsidRDefault="00C27FAB">
      <w:pPr>
        <w:pStyle w:val="CommentText"/>
      </w:pPr>
      <w:r>
        <w:rPr>
          <w:rStyle w:val="CommentReference"/>
        </w:rPr>
        <w:annotationRef/>
      </w:r>
      <w:r>
        <w:t>-1pt  Difference in log(GeoMean) becomes log (ratio GeoMeans).  Difference in GeoMean is not what you did.</w:t>
      </w:r>
    </w:p>
  </w:comment>
  <w:comment w:id="2" w:author="Author" w:initials="A">
    <w:p w:rsidR="00C27FAB" w:rsidRDefault="00C27FAB">
      <w:pPr>
        <w:pStyle w:val="CommentText"/>
      </w:pPr>
      <w:r>
        <w:rPr>
          <w:rStyle w:val="CommentReference"/>
        </w:rPr>
        <w:annotationRef/>
      </w:r>
      <w:r>
        <w:t xml:space="preserve">Stating “not be unusual” covers the concept of 95% confidence.  </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7FAB" w:rsidRDefault="00C27FAB">
      <w:r>
        <w:separator/>
      </w:r>
    </w:p>
  </w:endnote>
  <w:endnote w:type="continuationSeparator" w:id="0">
    <w:p w:rsidR="00C27FAB" w:rsidRDefault="00C27F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7FAB" w:rsidRDefault="00C27FAB">
      <w:r>
        <w:separator/>
      </w:r>
    </w:p>
  </w:footnote>
  <w:footnote w:type="continuationSeparator" w:id="0">
    <w:p w:rsidR="00C27FAB" w:rsidRDefault="00C27FA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7FAB" w:rsidRDefault="00C27FAB" w:rsidP="002F0282">
    <w:pPr>
      <w:pStyle w:val="Header"/>
    </w:pPr>
    <w:r>
      <w:t>Biost 518 / 515, Winter 2015</w:t>
    </w:r>
    <w:r>
      <w:tab/>
      <w:t>Homework #1</w:t>
    </w:r>
    <w:r>
      <w:tab/>
      <w:t xml:space="preserve">January 5, 2015, </w:t>
    </w:r>
    <w:r>
      <w:rPr>
        <w:snapToGrid w:val="0"/>
      </w:rPr>
      <w:t xml:space="preserve">Page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Pr>
        <w:noProof/>
        <w:snapToGrid w:val="0"/>
      </w:rPr>
      <w:t>6</w:t>
    </w:r>
    <w:r>
      <w:rPr>
        <w:snapToGrid w:val="0"/>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BB068B"/>
    <w:multiLevelType w:val="hybridMultilevel"/>
    <w:tmpl w:val="D0D034FA"/>
    <w:lvl w:ilvl="0" w:tplc="B204C7F2">
      <w:start w:val="1"/>
      <w:numFmt w:val="decimal"/>
      <w:lvlText w:val="%1."/>
      <w:lvlJc w:val="left"/>
      <w:pPr>
        <w:tabs>
          <w:tab w:val="num" w:pos="360"/>
        </w:tabs>
        <w:ind w:left="360" w:hanging="360"/>
      </w:pPr>
      <w:rPr>
        <w:rFonts w:cs="Times New Roman"/>
        <w:b w:val="0"/>
      </w:rPr>
    </w:lvl>
    <w:lvl w:ilvl="1" w:tplc="04090019">
      <w:start w:val="1"/>
      <w:numFmt w:val="lowerLetter"/>
      <w:lvlText w:val="%2."/>
      <w:lvlJc w:val="left"/>
      <w:pPr>
        <w:tabs>
          <w:tab w:val="num" w:pos="1080"/>
        </w:tabs>
        <w:ind w:left="1080" w:hanging="360"/>
      </w:pPr>
      <w:rPr>
        <w:rFonts w:cs="Times New Roman"/>
      </w:rPr>
    </w:lvl>
    <w:lvl w:ilvl="2" w:tplc="04090001">
      <w:start w:val="1"/>
      <w:numFmt w:val="bullet"/>
      <w:lvlText w:val=""/>
      <w:lvlJc w:val="left"/>
      <w:pPr>
        <w:tabs>
          <w:tab w:val="num" w:pos="1980"/>
        </w:tabs>
        <w:ind w:left="1980" w:hanging="360"/>
      </w:pPr>
      <w:rPr>
        <w:rFonts w:ascii="Symbol" w:hAnsi="Symbol" w:hint="default"/>
        <w:b w:val="0"/>
      </w:rPr>
    </w:lvl>
    <w:lvl w:ilvl="3" w:tplc="0409000F">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
    <w:nsid w:val="2CFA337C"/>
    <w:multiLevelType w:val="hybridMultilevel"/>
    <w:tmpl w:val="A28EAA3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34001E0C"/>
    <w:multiLevelType w:val="hybridMultilevel"/>
    <w:tmpl w:val="BDEEF6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E6B4713"/>
    <w:multiLevelType w:val="hybridMultilevel"/>
    <w:tmpl w:val="DE96CE86"/>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3FB25FCA"/>
    <w:multiLevelType w:val="hybridMultilevel"/>
    <w:tmpl w:val="3C60AC76"/>
    <w:lvl w:ilvl="0" w:tplc="04090001">
      <w:start w:val="1"/>
      <w:numFmt w:val="bullet"/>
      <w:lvlText w:val=""/>
      <w:lvlJc w:val="left"/>
      <w:pPr>
        <w:tabs>
          <w:tab w:val="num" w:pos="1440"/>
        </w:tabs>
        <w:ind w:left="1440" w:hanging="360"/>
      </w:pPr>
      <w:rPr>
        <w:rFonts w:ascii="Symbol" w:hAnsi="Symbol" w:hint="default"/>
      </w:rPr>
    </w:lvl>
    <w:lvl w:ilvl="1" w:tplc="0409000F">
      <w:start w:val="1"/>
      <w:numFmt w:val="decimal"/>
      <w:lvlText w:val="%2."/>
      <w:lvlJc w:val="left"/>
      <w:pPr>
        <w:tabs>
          <w:tab w:val="num" w:pos="2160"/>
        </w:tabs>
        <w:ind w:left="2160" w:hanging="360"/>
      </w:pPr>
      <w:rPr>
        <w:rFonts w:cs="Times New Roman"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467235D6"/>
    <w:multiLevelType w:val="multilevel"/>
    <w:tmpl w:val="BD5C239A"/>
    <w:lvl w:ilvl="0">
      <w:start w:val="1"/>
      <w:numFmt w:val="decimal"/>
      <w:lvlText w:val="%1."/>
      <w:lvlJc w:val="left"/>
      <w:pPr>
        <w:tabs>
          <w:tab w:val="num" w:pos="720"/>
        </w:tabs>
        <w:ind w:left="72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bullet"/>
      <w:lvlText w:val=""/>
      <w:lvlJc w:val="left"/>
      <w:pPr>
        <w:tabs>
          <w:tab w:val="num" w:pos="2340"/>
        </w:tabs>
        <w:ind w:left="2340" w:hanging="360"/>
      </w:pPr>
      <w:rPr>
        <w:rFonts w:ascii="Symbol" w:hAnsi="Symbol" w:hint="default"/>
        <w:b w:val="0"/>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nsid w:val="4F245C75"/>
    <w:multiLevelType w:val="hybridMultilevel"/>
    <w:tmpl w:val="646E2E2E"/>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53FA7403"/>
    <w:multiLevelType w:val="hybridMultilevel"/>
    <w:tmpl w:val="C54C7660"/>
    <w:lvl w:ilvl="0" w:tplc="04090001">
      <w:start w:val="1"/>
      <w:numFmt w:val="bullet"/>
      <w:lvlText w:val=""/>
      <w:lvlJc w:val="left"/>
      <w:pPr>
        <w:tabs>
          <w:tab w:val="num" w:pos="1800"/>
        </w:tabs>
        <w:ind w:left="1800" w:hanging="360"/>
      </w:pPr>
      <w:rPr>
        <w:rFonts w:ascii="Symbol" w:hAnsi="Symbol" w:hint="default"/>
      </w:rPr>
    </w:lvl>
    <w:lvl w:ilvl="1" w:tplc="04090019">
      <w:start w:val="1"/>
      <w:numFmt w:val="lowerLetter"/>
      <w:lvlText w:val="%2."/>
      <w:lvlJc w:val="left"/>
      <w:pPr>
        <w:tabs>
          <w:tab w:val="num" w:pos="2520"/>
        </w:tabs>
        <w:ind w:left="2520" w:hanging="360"/>
      </w:pPr>
      <w:rPr>
        <w:rFonts w:cs="Times New Roman"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nsid w:val="5606647C"/>
    <w:multiLevelType w:val="hybridMultilevel"/>
    <w:tmpl w:val="F5C4230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582245FD"/>
    <w:multiLevelType w:val="multilevel"/>
    <w:tmpl w:val="E91A14F0"/>
    <w:lvl w:ilvl="0">
      <w:start w:val="1"/>
      <w:numFmt w:val="bullet"/>
      <w:lvlText w:val=""/>
      <w:lvlJc w:val="left"/>
      <w:pPr>
        <w:tabs>
          <w:tab w:val="num" w:pos="1440"/>
        </w:tabs>
        <w:ind w:left="1440" w:hanging="360"/>
      </w:pPr>
      <w:rPr>
        <w:rFonts w:ascii="Symbol" w:hAnsi="Symbol" w:hint="default"/>
      </w:rPr>
    </w:lvl>
    <w:lvl w:ilvl="1">
      <w:start w:val="1"/>
      <w:numFmt w:val="decimal"/>
      <w:lvlText w:val="%2."/>
      <w:lvlJc w:val="left"/>
      <w:pPr>
        <w:tabs>
          <w:tab w:val="num" w:pos="2160"/>
        </w:tabs>
        <w:ind w:left="2160" w:hanging="360"/>
      </w:pPr>
      <w:rPr>
        <w:rFonts w:cs="Times New Roman"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0">
    <w:nsid w:val="58783F49"/>
    <w:multiLevelType w:val="hybridMultilevel"/>
    <w:tmpl w:val="D84EC85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9AE42A0"/>
    <w:multiLevelType w:val="hybridMultilevel"/>
    <w:tmpl w:val="383EFD9E"/>
    <w:lvl w:ilvl="0" w:tplc="04090019">
      <w:start w:val="1"/>
      <w:numFmt w:val="lowerLetter"/>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nsid w:val="5A2869A7"/>
    <w:multiLevelType w:val="hybridMultilevel"/>
    <w:tmpl w:val="B09491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B355B46"/>
    <w:multiLevelType w:val="multilevel"/>
    <w:tmpl w:val="A28EAA3C"/>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nsid w:val="5B7C6AE9"/>
    <w:multiLevelType w:val="hybridMultilevel"/>
    <w:tmpl w:val="6310D38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5F353794"/>
    <w:multiLevelType w:val="hybridMultilevel"/>
    <w:tmpl w:val="EF10C71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65CB6932"/>
    <w:multiLevelType w:val="hybridMultilevel"/>
    <w:tmpl w:val="E9C267C0"/>
    <w:lvl w:ilvl="0" w:tplc="04090019">
      <w:start w:val="1"/>
      <w:numFmt w:val="lowerLetter"/>
      <w:lvlText w:val="%1."/>
      <w:lvlJc w:val="left"/>
      <w:pPr>
        <w:tabs>
          <w:tab w:val="num" w:pos="1440"/>
        </w:tabs>
        <w:ind w:left="1440" w:hanging="360"/>
      </w:pPr>
      <w:rPr>
        <w:rFonts w:cs="Times New Roman" w:hint="default"/>
      </w:rPr>
    </w:lvl>
    <w:lvl w:ilvl="1" w:tplc="04090019">
      <w:start w:val="1"/>
      <w:numFmt w:val="lowerLetter"/>
      <w:lvlText w:val="%2."/>
      <w:lvlJc w:val="left"/>
      <w:pPr>
        <w:tabs>
          <w:tab w:val="num" w:pos="2160"/>
        </w:tabs>
        <w:ind w:left="2160" w:hanging="360"/>
      </w:pPr>
      <w:rPr>
        <w:rFonts w:cs="Times New Roman"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665D47EA"/>
    <w:multiLevelType w:val="hybridMultilevel"/>
    <w:tmpl w:val="CDA254B2"/>
    <w:lvl w:ilvl="0" w:tplc="0409000F">
      <w:start w:val="1"/>
      <w:numFmt w:val="decimal"/>
      <w:lvlText w:val="%1."/>
      <w:lvlJc w:val="left"/>
      <w:pPr>
        <w:tabs>
          <w:tab w:val="num" w:pos="720"/>
        </w:tabs>
        <w:ind w:left="720" w:hanging="360"/>
      </w:pPr>
      <w:rPr>
        <w:rFonts w:cs="Times New Roman"/>
      </w:rPr>
    </w:lvl>
    <w:lvl w:ilvl="1" w:tplc="91D64176">
      <w:start w:val="1"/>
      <w:numFmt w:val="lowerLetter"/>
      <w:lvlText w:val="%2."/>
      <w:lvlJc w:val="left"/>
      <w:pPr>
        <w:tabs>
          <w:tab w:val="num" w:pos="1440"/>
        </w:tabs>
        <w:ind w:left="1440" w:hanging="360"/>
      </w:pPr>
      <w:rPr>
        <w:rFonts w:cs="Times New Roman"/>
        <w:sz w:val="24"/>
        <w:szCs w:val="24"/>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6E463E71"/>
    <w:multiLevelType w:val="hybridMultilevel"/>
    <w:tmpl w:val="BBD08B56"/>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79D77389"/>
    <w:multiLevelType w:val="hybridMultilevel"/>
    <w:tmpl w:val="5C76891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8"/>
  </w:num>
  <w:num w:numId="3">
    <w:abstractNumId w:val="10"/>
  </w:num>
  <w:num w:numId="4">
    <w:abstractNumId w:val="2"/>
  </w:num>
  <w:num w:numId="5">
    <w:abstractNumId w:val="16"/>
  </w:num>
  <w:num w:numId="6">
    <w:abstractNumId w:val="18"/>
  </w:num>
  <w:num w:numId="7">
    <w:abstractNumId w:val="9"/>
  </w:num>
  <w:num w:numId="8">
    <w:abstractNumId w:val="11"/>
  </w:num>
  <w:num w:numId="9">
    <w:abstractNumId w:val="7"/>
  </w:num>
  <w:num w:numId="10">
    <w:abstractNumId w:val="1"/>
  </w:num>
  <w:num w:numId="11">
    <w:abstractNumId w:val="13"/>
  </w:num>
  <w:num w:numId="12">
    <w:abstractNumId w:val="6"/>
  </w:num>
  <w:num w:numId="13">
    <w:abstractNumId w:val="12"/>
  </w:num>
  <w:num w:numId="14">
    <w:abstractNumId w:val="15"/>
  </w:num>
  <w:num w:numId="15">
    <w:abstractNumId w:val="0"/>
  </w:num>
  <w:num w:numId="16">
    <w:abstractNumId w:val="5"/>
  </w:num>
  <w:num w:numId="17">
    <w:abstractNumId w:val="3"/>
  </w:num>
  <w:num w:numId="18">
    <w:abstractNumId w:val="14"/>
  </w:num>
  <w:num w:numId="19">
    <w:abstractNumId w:val="17"/>
  </w:num>
  <w:num w:numId="2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10B89"/>
    <w:rsid w:val="00004547"/>
    <w:rsid w:val="00021EDE"/>
    <w:rsid w:val="000263C2"/>
    <w:rsid w:val="000515E2"/>
    <w:rsid w:val="00053C5F"/>
    <w:rsid w:val="00054A42"/>
    <w:rsid w:val="00060C13"/>
    <w:rsid w:val="00063270"/>
    <w:rsid w:val="00066622"/>
    <w:rsid w:val="000817A7"/>
    <w:rsid w:val="00086779"/>
    <w:rsid w:val="0008764B"/>
    <w:rsid w:val="00097520"/>
    <w:rsid w:val="000A34B0"/>
    <w:rsid w:val="000A3E09"/>
    <w:rsid w:val="000A528B"/>
    <w:rsid w:val="000A5AF8"/>
    <w:rsid w:val="000C05A2"/>
    <w:rsid w:val="000C7E1F"/>
    <w:rsid w:val="000D48B5"/>
    <w:rsid w:val="000E501A"/>
    <w:rsid w:val="000F52B6"/>
    <w:rsid w:val="0010428A"/>
    <w:rsid w:val="00117AA5"/>
    <w:rsid w:val="00132AEC"/>
    <w:rsid w:val="00132BA1"/>
    <w:rsid w:val="00140EC9"/>
    <w:rsid w:val="00160820"/>
    <w:rsid w:val="0017545A"/>
    <w:rsid w:val="00186D7E"/>
    <w:rsid w:val="00195B2D"/>
    <w:rsid w:val="001D2DC2"/>
    <w:rsid w:val="001E36FF"/>
    <w:rsid w:val="001E5158"/>
    <w:rsid w:val="001E6E00"/>
    <w:rsid w:val="002013F6"/>
    <w:rsid w:val="00202909"/>
    <w:rsid w:val="0021517E"/>
    <w:rsid w:val="002213A5"/>
    <w:rsid w:val="00221B44"/>
    <w:rsid w:val="002256A0"/>
    <w:rsid w:val="0022654E"/>
    <w:rsid w:val="0023344C"/>
    <w:rsid w:val="0024368C"/>
    <w:rsid w:val="002440BE"/>
    <w:rsid w:val="00254231"/>
    <w:rsid w:val="00256813"/>
    <w:rsid w:val="00261CFB"/>
    <w:rsid w:val="002643BF"/>
    <w:rsid w:val="00264CE1"/>
    <w:rsid w:val="00265E92"/>
    <w:rsid w:val="00286DA0"/>
    <w:rsid w:val="002C10B9"/>
    <w:rsid w:val="002C7AE4"/>
    <w:rsid w:val="002D3242"/>
    <w:rsid w:val="002D5B86"/>
    <w:rsid w:val="002E53B7"/>
    <w:rsid w:val="002F0282"/>
    <w:rsid w:val="00305698"/>
    <w:rsid w:val="00310A62"/>
    <w:rsid w:val="00334E26"/>
    <w:rsid w:val="003471E3"/>
    <w:rsid w:val="00353B06"/>
    <w:rsid w:val="00356737"/>
    <w:rsid w:val="0036127B"/>
    <w:rsid w:val="00385CD1"/>
    <w:rsid w:val="0039319D"/>
    <w:rsid w:val="003A3E52"/>
    <w:rsid w:val="003A6D85"/>
    <w:rsid w:val="003B50E1"/>
    <w:rsid w:val="003B78AB"/>
    <w:rsid w:val="003C0FBE"/>
    <w:rsid w:val="003C7301"/>
    <w:rsid w:val="003F15C2"/>
    <w:rsid w:val="003F218C"/>
    <w:rsid w:val="003F306B"/>
    <w:rsid w:val="003F5F38"/>
    <w:rsid w:val="00410B89"/>
    <w:rsid w:val="00415759"/>
    <w:rsid w:val="00416645"/>
    <w:rsid w:val="0042294F"/>
    <w:rsid w:val="00422D91"/>
    <w:rsid w:val="00443606"/>
    <w:rsid w:val="004444C7"/>
    <w:rsid w:val="00446BDF"/>
    <w:rsid w:val="004514C0"/>
    <w:rsid w:val="00452963"/>
    <w:rsid w:val="004664FD"/>
    <w:rsid w:val="004A4E34"/>
    <w:rsid w:val="004C3DE5"/>
    <w:rsid w:val="004D1289"/>
    <w:rsid w:val="004D1292"/>
    <w:rsid w:val="00501EC4"/>
    <w:rsid w:val="00510B41"/>
    <w:rsid w:val="00511C56"/>
    <w:rsid w:val="0051447C"/>
    <w:rsid w:val="00523AA4"/>
    <w:rsid w:val="00527CF8"/>
    <w:rsid w:val="00555FA8"/>
    <w:rsid w:val="00556CEF"/>
    <w:rsid w:val="00561911"/>
    <w:rsid w:val="00567523"/>
    <w:rsid w:val="005715DF"/>
    <w:rsid w:val="005746D3"/>
    <w:rsid w:val="00574A85"/>
    <w:rsid w:val="00586C10"/>
    <w:rsid w:val="005909A8"/>
    <w:rsid w:val="005B14E3"/>
    <w:rsid w:val="005C35DF"/>
    <w:rsid w:val="005C5726"/>
    <w:rsid w:val="005D7E06"/>
    <w:rsid w:val="005E10EC"/>
    <w:rsid w:val="005E415C"/>
    <w:rsid w:val="00601D47"/>
    <w:rsid w:val="006138F9"/>
    <w:rsid w:val="006152BE"/>
    <w:rsid w:val="0062265F"/>
    <w:rsid w:val="006268D1"/>
    <w:rsid w:val="006336A9"/>
    <w:rsid w:val="0063612C"/>
    <w:rsid w:val="0063762C"/>
    <w:rsid w:val="006508C5"/>
    <w:rsid w:val="00654208"/>
    <w:rsid w:val="00667A30"/>
    <w:rsid w:val="00673A26"/>
    <w:rsid w:val="00676B73"/>
    <w:rsid w:val="0069225A"/>
    <w:rsid w:val="006B1E11"/>
    <w:rsid w:val="006B4A2D"/>
    <w:rsid w:val="006B62B7"/>
    <w:rsid w:val="006C49EE"/>
    <w:rsid w:val="006C7A39"/>
    <w:rsid w:val="006E16C5"/>
    <w:rsid w:val="006E28FD"/>
    <w:rsid w:val="006E2F1C"/>
    <w:rsid w:val="006E5205"/>
    <w:rsid w:val="006E6BAB"/>
    <w:rsid w:val="006F5222"/>
    <w:rsid w:val="00701C1B"/>
    <w:rsid w:val="00720DD7"/>
    <w:rsid w:val="00720DFD"/>
    <w:rsid w:val="00731E43"/>
    <w:rsid w:val="007356DE"/>
    <w:rsid w:val="007366CC"/>
    <w:rsid w:val="00741AE1"/>
    <w:rsid w:val="007422CE"/>
    <w:rsid w:val="00751474"/>
    <w:rsid w:val="00762DE6"/>
    <w:rsid w:val="00766ADE"/>
    <w:rsid w:val="0076777E"/>
    <w:rsid w:val="00767D4A"/>
    <w:rsid w:val="00777477"/>
    <w:rsid w:val="00785A87"/>
    <w:rsid w:val="007B4E60"/>
    <w:rsid w:val="007B5780"/>
    <w:rsid w:val="007D06B2"/>
    <w:rsid w:val="008054A3"/>
    <w:rsid w:val="008241EA"/>
    <w:rsid w:val="00836540"/>
    <w:rsid w:val="00840766"/>
    <w:rsid w:val="008520A7"/>
    <w:rsid w:val="00863EFC"/>
    <w:rsid w:val="0087636D"/>
    <w:rsid w:val="0088657E"/>
    <w:rsid w:val="008A45D9"/>
    <w:rsid w:val="008A7031"/>
    <w:rsid w:val="008E20E5"/>
    <w:rsid w:val="008F2524"/>
    <w:rsid w:val="008F73A3"/>
    <w:rsid w:val="00905BC9"/>
    <w:rsid w:val="00905E82"/>
    <w:rsid w:val="00920338"/>
    <w:rsid w:val="00927A5B"/>
    <w:rsid w:val="0094708F"/>
    <w:rsid w:val="0095651F"/>
    <w:rsid w:val="00990CC5"/>
    <w:rsid w:val="009939CF"/>
    <w:rsid w:val="00997460"/>
    <w:rsid w:val="009A3536"/>
    <w:rsid w:val="009B2370"/>
    <w:rsid w:val="009C264F"/>
    <w:rsid w:val="009C542B"/>
    <w:rsid w:val="009D5804"/>
    <w:rsid w:val="009D688E"/>
    <w:rsid w:val="009F1FC3"/>
    <w:rsid w:val="009F413F"/>
    <w:rsid w:val="009F5CE7"/>
    <w:rsid w:val="009F71B0"/>
    <w:rsid w:val="00A0233D"/>
    <w:rsid w:val="00A05CD5"/>
    <w:rsid w:val="00A23816"/>
    <w:rsid w:val="00A31D8C"/>
    <w:rsid w:val="00A4205F"/>
    <w:rsid w:val="00A44034"/>
    <w:rsid w:val="00A45276"/>
    <w:rsid w:val="00A95A53"/>
    <w:rsid w:val="00AA6AC1"/>
    <w:rsid w:val="00AC2567"/>
    <w:rsid w:val="00AD29C0"/>
    <w:rsid w:val="00AF53A8"/>
    <w:rsid w:val="00B0029C"/>
    <w:rsid w:val="00B04F23"/>
    <w:rsid w:val="00B07ED8"/>
    <w:rsid w:val="00B10E71"/>
    <w:rsid w:val="00B12B84"/>
    <w:rsid w:val="00B15F79"/>
    <w:rsid w:val="00B16432"/>
    <w:rsid w:val="00B17CB5"/>
    <w:rsid w:val="00B212A5"/>
    <w:rsid w:val="00B34EDC"/>
    <w:rsid w:val="00B42150"/>
    <w:rsid w:val="00B43F52"/>
    <w:rsid w:val="00B457A7"/>
    <w:rsid w:val="00B4705C"/>
    <w:rsid w:val="00B63278"/>
    <w:rsid w:val="00B70375"/>
    <w:rsid w:val="00B7567F"/>
    <w:rsid w:val="00B814FA"/>
    <w:rsid w:val="00B81FA1"/>
    <w:rsid w:val="00B95181"/>
    <w:rsid w:val="00BD3FB4"/>
    <w:rsid w:val="00BD764C"/>
    <w:rsid w:val="00BE736E"/>
    <w:rsid w:val="00C07EA9"/>
    <w:rsid w:val="00C15CDE"/>
    <w:rsid w:val="00C26F55"/>
    <w:rsid w:val="00C27FAB"/>
    <w:rsid w:val="00C34EBC"/>
    <w:rsid w:val="00C51136"/>
    <w:rsid w:val="00C55091"/>
    <w:rsid w:val="00C6089E"/>
    <w:rsid w:val="00C642DD"/>
    <w:rsid w:val="00C74FEC"/>
    <w:rsid w:val="00C90A3F"/>
    <w:rsid w:val="00C93A29"/>
    <w:rsid w:val="00CD091C"/>
    <w:rsid w:val="00CE5A94"/>
    <w:rsid w:val="00CE6D32"/>
    <w:rsid w:val="00D07057"/>
    <w:rsid w:val="00D16C04"/>
    <w:rsid w:val="00D243B4"/>
    <w:rsid w:val="00D6067D"/>
    <w:rsid w:val="00D72BD7"/>
    <w:rsid w:val="00D77907"/>
    <w:rsid w:val="00DA6FB2"/>
    <w:rsid w:val="00DC01FF"/>
    <w:rsid w:val="00DD051B"/>
    <w:rsid w:val="00DD4D1D"/>
    <w:rsid w:val="00DD6B80"/>
    <w:rsid w:val="00DE3501"/>
    <w:rsid w:val="00DE3817"/>
    <w:rsid w:val="00E0229F"/>
    <w:rsid w:val="00E053C0"/>
    <w:rsid w:val="00E05610"/>
    <w:rsid w:val="00E10369"/>
    <w:rsid w:val="00E35CC4"/>
    <w:rsid w:val="00E47DDF"/>
    <w:rsid w:val="00E621A4"/>
    <w:rsid w:val="00E642DA"/>
    <w:rsid w:val="00E73BB7"/>
    <w:rsid w:val="00E741C7"/>
    <w:rsid w:val="00E75092"/>
    <w:rsid w:val="00E81610"/>
    <w:rsid w:val="00E91856"/>
    <w:rsid w:val="00ED47B6"/>
    <w:rsid w:val="00F11441"/>
    <w:rsid w:val="00F15D49"/>
    <w:rsid w:val="00F176A5"/>
    <w:rsid w:val="00F507B9"/>
    <w:rsid w:val="00F51AEA"/>
    <w:rsid w:val="00F55257"/>
    <w:rsid w:val="00F628AF"/>
    <w:rsid w:val="00FA2C0B"/>
    <w:rsid w:val="00FB663C"/>
    <w:rsid w:val="00FC333E"/>
    <w:rsid w:val="00FE67F0"/>
    <w:rsid w:val="00FE6A92"/>
    <w:rsid w:val="00FF6AC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2963"/>
    <w:rPr>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10B8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0"/>
      <w:szCs w:val="20"/>
    </w:rPr>
  </w:style>
  <w:style w:type="paragraph" w:styleId="Footer">
    <w:name w:val="footer"/>
    <w:basedOn w:val="Normal"/>
    <w:link w:val="FooterChar"/>
    <w:uiPriority w:val="99"/>
    <w:rsid w:val="00410B8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0"/>
      <w:szCs w:val="20"/>
    </w:rPr>
  </w:style>
  <w:style w:type="paragraph" w:styleId="PlainText">
    <w:name w:val="Plain Text"/>
    <w:basedOn w:val="Normal"/>
    <w:link w:val="PlainTextChar"/>
    <w:uiPriority w:val="99"/>
    <w:rsid w:val="004514C0"/>
    <w:rPr>
      <w:rFonts w:ascii="Courier New" w:hAnsi="Courier New" w:cs="Courier New"/>
    </w:rPr>
  </w:style>
  <w:style w:type="character" w:customStyle="1" w:styleId="PlainTextChar">
    <w:name w:val="Plain Text Char"/>
    <w:basedOn w:val="DefaultParagraphFont"/>
    <w:link w:val="PlainText"/>
    <w:uiPriority w:val="99"/>
    <w:semiHidden/>
    <w:locked/>
    <w:rPr>
      <w:rFonts w:ascii="Courier New" w:hAnsi="Courier New" w:cs="Courier New"/>
      <w:sz w:val="20"/>
      <w:szCs w:val="20"/>
    </w:rPr>
  </w:style>
  <w:style w:type="character" w:styleId="Hyperlink">
    <w:name w:val="Hyperlink"/>
    <w:basedOn w:val="DefaultParagraphFont"/>
    <w:uiPriority w:val="99"/>
    <w:rsid w:val="002F0282"/>
    <w:rPr>
      <w:rFonts w:cs="Times New Roman"/>
      <w:color w:val="0000FF"/>
      <w:u w:val="single"/>
    </w:rPr>
  </w:style>
  <w:style w:type="paragraph" w:styleId="HTMLPreformatted">
    <w:name w:val="HTML Preformatted"/>
    <w:basedOn w:val="Normal"/>
    <w:link w:val="HTMLPreformattedChar"/>
    <w:uiPriority w:val="99"/>
    <w:rsid w:val="00FB6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semiHidden/>
    <w:locked/>
    <w:rPr>
      <w:rFonts w:ascii="Courier New" w:hAnsi="Courier New" w:cs="Courier New"/>
      <w:sz w:val="20"/>
      <w:szCs w:val="20"/>
    </w:rPr>
  </w:style>
  <w:style w:type="table" w:styleId="TableGrid">
    <w:name w:val="Table Grid"/>
    <w:basedOn w:val="TableNormal"/>
    <w:uiPriority w:val="99"/>
    <w:rsid w:val="00C5509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7D06B2"/>
    <w:rPr>
      <w:rFonts w:ascii="Tahoma" w:hAnsi="Tahoma" w:cs="Tahoma"/>
      <w:sz w:val="16"/>
      <w:szCs w:val="16"/>
    </w:rPr>
  </w:style>
  <w:style w:type="character" w:customStyle="1" w:styleId="BalloonTextChar">
    <w:name w:val="Balloon Text Char"/>
    <w:basedOn w:val="DefaultParagraphFont"/>
    <w:link w:val="BalloonText"/>
    <w:uiPriority w:val="99"/>
    <w:locked/>
    <w:rsid w:val="007D06B2"/>
    <w:rPr>
      <w:rFonts w:ascii="Tahoma" w:hAnsi="Tahoma" w:cs="Tahoma"/>
      <w:sz w:val="16"/>
      <w:szCs w:val="16"/>
      <w:lang w:eastAsia="en-US"/>
    </w:rPr>
  </w:style>
  <w:style w:type="paragraph" w:styleId="ListParagraph">
    <w:name w:val="List Paragraph"/>
    <w:basedOn w:val="Normal"/>
    <w:uiPriority w:val="99"/>
    <w:qFormat/>
    <w:rsid w:val="00E10369"/>
    <w:pPr>
      <w:ind w:left="720"/>
      <w:contextualSpacing/>
    </w:pPr>
  </w:style>
  <w:style w:type="character" w:styleId="CommentReference">
    <w:name w:val="annotation reference"/>
    <w:basedOn w:val="DefaultParagraphFont"/>
    <w:uiPriority w:val="99"/>
    <w:semiHidden/>
    <w:rsid w:val="006B62B7"/>
    <w:rPr>
      <w:rFonts w:cs="Times New Roman"/>
      <w:sz w:val="16"/>
      <w:szCs w:val="16"/>
    </w:rPr>
  </w:style>
  <w:style w:type="paragraph" w:styleId="CommentText">
    <w:name w:val="annotation text"/>
    <w:basedOn w:val="Normal"/>
    <w:link w:val="CommentTextChar"/>
    <w:uiPriority w:val="99"/>
    <w:semiHidden/>
    <w:rsid w:val="006B62B7"/>
  </w:style>
  <w:style w:type="character" w:customStyle="1" w:styleId="CommentTextChar">
    <w:name w:val="Comment Text Char"/>
    <w:basedOn w:val="DefaultParagraphFont"/>
    <w:link w:val="CommentText"/>
    <w:uiPriority w:val="99"/>
    <w:semiHidden/>
    <w:locked/>
    <w:rPr>
      <w:rFonts w:cs="Times New Roman"/>
      <w:sz w:val="20"/>
      <w:szCs w:val="20"/>
    </w:rPr>
  </w:style>
  <w:style w:type="paragraph" w:styleId="CommentSubject">
    <w:name w:val="annotation subject"/>
    <w:basedOn w:val="CommentText"/>
    <w:next w:val="CommentText"/>
    <w:link w:val="CommentSubjectChar"/>
    <w:uiPriority w:val="99"/>
    <w:semiHidden/>
    <w:rsid w:val="006B62B7"/>
    <w:rPr>
      <w:b/>
      <w:bCs/>
    </w:rPr>
  </w:style>
  <w:style w:type="character" w:customStyle="1" w:styleId="CommentSubjectChar">
    <w:name w:val="Comment Subject Char"/>
    <w:basedOn w:val="CommentTextChar"/>
    <w:link w:val="CommentSubject"/>
    <w:uiPriority w:val="99"/>
    <w:semiHidden/>
    <w:locked/>
    <w:rPr>
      <w:b/>
      <w:bCs/>
    </w:rPr>
  </w:style>
</w:styles>
</file>

<file path=word/webSettings.xml><?xml version="1.0" encoding="utf-8"?>
<w:webSettings xmlns:r="http://schemas.openxmlformats.org/officeDocument/2006/relationships" xmlns:w="http://schemas.openxmlformats.org/wordprocessingml/2006/main">
  <w:divs>
    <w:div w:id="281690178">
      <w:marLeft w:val="0"/>
      <w:marRight w:val="0"/>
      <w:marTop w:val="0"/>
      <w:marBottom w:val="0"/>
      <w:divBdr>
        <w:top w:val="none" w:sz="0" w:space="0" w:color="auto"/>
        <w:left w:val="none" w:sz="0" w:space="0" w:color="auto"/>
        <w:bottom w:val="none" w:sz="0" w:space="0" w:color="auto"/>
        <w:right w:val="none" w:sz="0" w:space="0" w:color="auto"/>
      </w:divBdr>
    </w:div>
    <w:div w:id="281690179">
      <w:marLeft w:val="0"/>
      <w:marRight w:val="0"/>
      <w:marTop w:val="0"/>
      <w:marBottom w:val="0"/>
      <w:divBdr>
        <w:top w:val="none" w:sz="0" w:space="0" w:color="auto"/>
        <w:left w:val="none" w:sz="0" w:space="0" w:color="auto"/>
        <w:bottom w:val="none" w:sz="0" w:space="0" w:color="auto"/>
        <w:right w:val="none" w:sz="0" w:space="0" w:color="auto"/>
      </w:divBdr>
    </w:div>
    <w:div w:id="281690180">
      <w:marLeft w:val="0"/>
      <w:marRight w:val="0"/>
      <w:marTop w:val="0"/>
      <w:marBottom w:val="0"/>
      <w:divBdr>
        <w:top w:val="none" w:sz="0" w:space="0" w:color="auto"/>
        <w:left w:val="none" w:sz="0" w:space="0" w:color="auto"/>
        <w:bottom w:val="none" w:sz="0" w:space="0" w:color="auto"/>
        <w:right w:val="none" w:sz="0" w:space="0" w:color="auto"/>
      </w:divBdr>
    </w:div>
    <w:div w:id="28169018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comments" Target="commen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6</Pages>
  <Words>2380</Words>
  <Characters>13566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Homework #2</dc:title>
  <dc:subject/>
  <dc:creator/>
  <cp:keywords/>
  <dc:description/>
  <cp:lastModifiedBy/>
  <cp:revision>3</cp:revision>
  <dcterms:created xsi:type="dcterms:W3CDTF">2015-01-28T16:18:00Z</dcterms:created>
  <dcterms:modified xsi:type="dcterms:W3CDTF">2015-02-02T15:01:00Z</dcterms:modified>
</cp:coreProperties>
</file>