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0B" w:rsidRDefault="0067540B">
      <w:r>
        <w:t>Homework 1</w:t>
      </w:r>
      <w:r>
        <w:br/>
        <w:t>January 12, 2015</w:t>
      </w:r>
    </w:p>
    <w:p w:rsidR="0067540B" w:rsidRDefault="0067540B" w:rsidP="003B7380">
      <w:pPr>
        <w:pStyle w:val="ListParagraph"/>
        <w:numPr>
          <w:ilvl w:val="0"/>
          <w:numId w:val="2"/>
        </w:numPr>
      </w:pPr>
      <w:r>
        <w:t>The minimum time to follow-up for data with censored observations is 1480 days. This is a little over 4 years, thus the vital status of each patient is known at four years making the proposed analysis valid.</w:t>
      </w:r>
      <w:r>
        <w:br/>
      </w:r>
    </w:p>
    <w:p w:rsidR="0067540B" w:rsidRDefault="0067540B" w:rsidP="003B7380">
      <w:pPr>
        <w:pStyle w:val="ListParagraph"/>
        <w:numPr>
          <w:ilvl w:val="0"/>
          <w:numId w:val="2"/>
        </w:numPr>
      </w:pPr>
      <w:r w:rsidRPr="005F41BC">
        <w:rPr>
          <w:b/>
        </w:rPr>
        <w:t>Methods</w:t>
      </w:r>
      <w:r>
        <w:t>: Indicator variables were created for death within 4 years of the study enrollment, during which time no censored data were collected. Descriptive statistics are presented within groups defined by blood C reactive protein (CRP) levels (less than 1 mg/L, 1 and 3 mg/L inclusive, and greater than 3 mg/L) and the total sample population. Within each group defined by continuous variables, the mean, standard deviation, minimum and maximum are reported. For binary variables, percentages are reported.</w:t>
      </w:r>
      <w:r>
        <w:br/>
      </w:r>
      <w:r>
        <w:br/>
      </w:r>
      <w:r>
        <w:rPr>
          <w:b/>
        </w:rPr>
        <w:t>Results</w:t>
      </w:r>
      <w:r>
        <w:t>: Data is available for 5000 participants, but only 4933 subjects had CRP data. These subjects were omitted from all of the analyses but it is unknown at this time how the omitted data affects the generalizability of the results. Of the 4933 subjects included in the analysis, it should also be noted that some were also missing data for BMI (13 subjects), smoking status (6 subjects) and cholesterol levels (3 subjects).</w:t>
      </w:r>
      <w:r>
        <w:br/>
      </w:r>
      <w:r>
        <w:br/>
        <w:t>Within the study population, 428 had blood CRP levels below 1 mg/L, 2629 had blood CRP levels between 1-3 mg/L, and 1876 had blood CRP levels greater than 3 mg/L. The following table presents descriptive statistics within these groups as well as for the total population. There did not appear to be any trends between serum C reactive protein levels and age, sex, and cholesterol levels. In terms of BMI, smoking status, prior disease and death within 4 years, however, higher CRP levels appear to be associated with an increase in these variables. For example, 4.91% of the study subjects with less than 1 mg/L CRP died within 4 years compared to 13.91 % of study participants with greater than 3 mg/L CRP.</w:t>
      </w:r>
      <w:r>
        <w:br/>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1890"/>
        <w:gridCol w:w="1875"/>
        <w:gridCol w:w="1771"/>
        <w:gridCol w:w="2024"/>
      </w:tblGrid>
      <w:tr w:rsidR="0067540B" w:rsidRPr="00BF76EB" w:rsidTr="00BF76EB">
        <w:tc>
          <w:tcPr>
            <w:tcW w:w="2250" w:type="dxa"/>
          </w:tcPr>
          <w:p w:rsidR="0067540B" w:rsidRPr="00BF76EB" w:rsidRDefault="0067540B" w:rsidP="00BF76EB">
            <w:pPr>
              <w:spacing w:after="0" w:line="240" w:lineRule="auto"/>
            </w:pPr>
          </w:p>
        </w:tc>
        <w:tc>
          <w:tcPr>
            <w:tcW w:w="7560" w:type="dxa"/>
            <w:gridSpan w:val="4"/>
          </w:tcPr>
          <w:p w:rsidR="0067540B" w:rsidRPr="00BF76EB" w:rsidRDefault="0067540B" w:rsidP="00BF76EB">
            <w:pPr>
              <w:spacing w:after="0" w:line="240" w:lineRule="auto"/>
              <w:jc w:val="center"/>
              <w:rPr>
                <w:b/>
              </w:rPr>
            </w:pPr>
            <w:r w:rsidRPr="00BF76EB">
              <w:rPr>
                <w:b/>
              </w:rPr>
              <w:t>Serum C Reactive Protein (CRP)</w:t>
            </w:r>
          </w:p>
        </w:tc>
      </w:tr>
      <w:tr w:rsidR="0067540B" w:rsidRPr="00BF76EB" w:rsidTr="00BF76EB">
        <w:tc>
          <w:tcPr>
            <w:tcW w:w="2250" w:type="dxa"/>
          </w:tcPr>
          <w:p w:rsidR="0067540B" w:rsidRPr="00BF76EB" w:rsidRDefault="0067540B" w:rsidP="00BF76EB">
            <w:pPr>
              <w:spacing w:after="0" w:line="240" w:lineRule="auto"/>
            </w:pPr>
          </w:p>
        </w:tc>
        <w:tc>
          <w:tcPr>
            <w:tcW w:w="1890" w:type="dxa"/>
          </w:tcPr>
          <w:p w:rsidR="0067540B" w:rsidRPr="00BF76EB" w:rsidRDefault="0067540B" w:rsidP="00BF76EB">
            <w:pPr>
              <w:spacing w:after="0" w:line="240" w:lineRule="auto"/>
              <w:jc w:val="center"/>
              <w:rPr>
                <w:b/>
              </w:rPr>
            </w:pPr>
            <w:r w:rsidRPr="00BF76EB">
              <w:rPr>
                <w:b/>
              </w:rPr>
              <w:t>&lt; 1 mg/L</w:t>
            </w:r>
            <w:r w:rsidRPr="00BF76EB">
              <w:rPr>
                <w:b/>
              </w:rPr>
              <w:br/>
              <w:t>(n=428)</w:t>
            </w:r>
          </w:p>
        </w:tc>
        <w:tc>
          <w:tcPr>
            <w:tcW w:w="1875" w:type="dxa"/>
          </w:tcPr>
          <w:p w:rsidR="0067540B" w:rsidRPr="00BF76EB" w:rsidRDefault="0067540B" w:rsidP="00BF76EB">
            <w:pPr>
              <w:spacing w:after="0" w:line="240" w:lineRule="auto"/>
              <w:jc w:val="center"/>
              <w:rPr>
                <w:b/>
              </w:rPr>
            </w:pPr>
            <w:r w:rsidRPr="00BF76EB">
              <w:rPr>
                <w:b/>
              </w:rPr>
              <w:t>1-3 mg/L</w:t>
            </w:r>
          </w:p>
          <w:p w:rsidR="0067540B" w:rsidRPr="00BF76EB" w:rsidRDefault="0067540B" w:rsidP="00BF76EB">
            <w:pPr>
              <w:spacing w:after="0" w:line="240" w:lineRule="auto"/>
              <w:jc w:val="center"/>
              <w:rPr>
                <w:b/>
              </w:rPr>
            </w:pPr>
            <w:r w:rsidRPr="00BF76EB">
              <w:rPr>
                <w:b/>
              </w:rPr>
              <w:t>(n=2629)</w:t>
            </w:r>
          </w:p>
        </w:tc>
        <w:tc>
          <w:tcPr>
            <w:tcW w:w="1771" w:type="dxa"/>
          </w:tcPr>
          <w:p w:rsidR="0067540B" w:rsidRPr="00BF76EB" w:rsidRDefault="0067540B" w:rsidP="00BF76EB">
            <w:pPr>
              <w:spacing w:after="0" w:line="240" w:lineRule="auto"/>
              <w:jc w:val="center"/>
              <w:rPr>
                <w:b/>
              </w:rPr>
            </w:pPr>
            <w:r w:rsidRPr="00BF76EB">
              <w:rPr>
                <w:b/>
              </w:rPr>
              <w:t>&lt; 3 mg/L</w:t>
            </w:r>
          </w:p>
          <w:p w:rsidR="0067540B" w:rsidRPr="00BF76EB" w:rsidRDefault="0067540B" w:rsidP="00BF76EB">
            <w:pPr>
              <w:spacing w:after="0" w:line="240" w:lineRule="auto"/>
              <w:jc w:val="center"/>
              <w:rPr>
                <w:b/>
              </w:rPr>
            </w:pPr>
            <w:r w:rsidRPr="00BF76EB">
              <w:rPr>
                <w:b/>
              </w:rPr>
              <w:t>(n=1876)</w:t>
            </w:r>
          </w:p>
        </w:tc>
        <w:tc>
          <w:tcPr>
            <w:tcW w:w="2024" w:type="dxa"/>
          </w:tcPr>
          <w:p w:rsidR="0067540B" w:rsidRPr="00BF76EB" w:rsidRDefault="0067540B" w:rsidP="00BF76EB">
            <w:pPr>
              <w:spacing w:after="0" w:line="240" w:lineRule="auto"/>
              <w:jc w:val="center"/>
              <w:rPr>
                <w:b/>
              </w:rPr>
            </w:pPr>
            <w:r w:rsidRPr="00BF76EB">
              <w:rPr>
                <w:b/>
              </w:rPr>
              <w:t>Any</w:t>
            </w:r>
          </w:p>
          <w:p w:rsidR="0067540B" w:rsidRPr="00BF76EB" w:rsidRDefault="0067540B" w:rsidP="00BF76EB">
            <w:pPr>
              <w:spacing w:after="0" w:line="240" w:lineRule="auto"/>
              <w:jc w:val="center"/>
              <w:rPr>
                <w:b/>
              </w:rPr>
            </w:pPr>
            <w:r w:rsidRPr="00BF76EB">
              <w:rPr>
                <w:b/>
              </w:rPr>
              <w:t>(n=4933)</w:t>
            </w:r>
          </w:p>
        </w:tc>
      </w:tr>
      <w:tr w:rsidR="0067540B" w:rsidRPr="00BF76EB" w:rsidTr="00BF76EB">
        <w:tc>
          <w:tcPr>
            <w:tcW w:w="2250" w:type="dxa"/>
          </w:tcPr>
          <w:p w:rsidR="0067540B" w:rsidRPr="00BF76EB" w:rsidRDefault="0067540B" w:rsidP="00BF76EB">
            <w:pPr>
              <w:spacing w:after="0" w:line="240" w:lineRule="auto"/>
              <w:rPr>
                <w:b/>
                <w:vertAlign w:val="superscript"/>
              </w:rPr>
            </w:pPr>
            <w:r w:rsidRPr="00BF76EB">
              <w:rPr>
                <w:b/>
              </w:rPr>
              <w:t>Age (yrs)</w:t>
            </w:r>
            <w:r w:rsidRPr="00BF76EB">
              <w:rPr>
                <w:b/>
                <w:vertAlign w:val="superscript"/>
              </w:rPr>
              <w:t>1</w:t>
            </w:r>
          </w:p>
        </w:tc>
        <w:tc>
          <w:tcPr>
            <w:tcW w:w="1890" w:type="dxa"/>
          </w:tcPr>
          <w:p w:rsidR="0067540B" w:rsidRPr="00BF76EB" w:rsidRDefault="0067540B" w:rsidP="00BF76EB">
            <w:pPr>
              <w:spacing w:after="0" w:line="240" w:lineRule="auto"/>
              <w:jc w:val="center"/>
              <w:rPr>
                <w:sz w:val="18"/>
                <w:szCs w:val="18"/>
              </w:rPr>
            </w:pPr>
            <w:r w:rsidRPr="00BF76EB">
              <w:rPr>
                <w:sz w:val="18"/>
                <w:szCs w:val="18"/>
              </w:rPr>
              <w:t>73.45 (5.80; 65-94)</w:t>
            </w:r>
          </w:p>
        </w:tc>
        <w:tc>
          <w:tcPr>
            <w:tcW w:w="1875" w:type="dxa"/>
          </w:tcPr>
          <w:p w:rsidR="0067540B" w:rsidRPr="00BF76EB" w:rsidRDefault="0067540B" w:rsidP="00BF76EB">
            <w:pPr>
              <w:spacing w:after="0" w:line="240" w:lineRule="auto"/>
              <w:jc w:val="center"/>
              <w:rPr>
                <w:sz w:val="18"/>
                <w:szCs w:val="18"/>
              </w:rPr>
            </w:pPr>
            <w:r w:rsidRPr="00BF76EB">
              <w:rPr>
                <w:sz w:val="18"/>
                <w:szCs w:val="18"/>
              </w:rPr>
              <w:t>72.81 (5.57; 65-100)</w:t>
            </w:r>
          </w:p>
        </w:tc>
        <w:tc>
          <w:tcPr>
            <w:tcW w:w="1771" w:type="dxa"/>
          </w:tcPr>
          <w:p w:rsidR="0067540B" w:rsidRPr="00BF76EB" w:rsidRDefault="0067540B" w:rsidP="00BF76EB">
            <w:pPr>
              <w:spacing w:after="0" w:line="240" w:lineRule="auto"/>
              <w:jc w:val="center"/>
              <w:rPr>
                <w:sz w:val="18"/>
                <w:szCs w:val="18"/>
              </w:rPr>
            </w:pPr>
            <w:r w:rsidRPr="00BF76EB">
              <w:rPr>
                <w:sz w:val="18"/>
                <w:szCs w:val="18"/>
              </w:rPr>
              <w:t>72.63 (5.50; 65-93)</w:t>
            </w:r>
          </w:p>
        </w:tc>
        <w:tc>
          <w:tcPr>
            <w:tcW w:w="2024" w:type="dxa"/>
          </w:tcPr>
          <w:p w:rsidR="0067540B" w:rsidRPr="00BF76EB" w:rsidRDefault="0067540B" w:rsidP="00BF76EB">
            <w:pPr>
              <w:spacing w:after="0" w:line="240" w:lineRule="auto"/>
              <w:jc w:val="center"/>
              <w:rPr>
                <w:sz w:val="18"/>
                <w:szCs w:val="18"/>
              </w:rPr>
            </w:pPr>
            <w:r w:rsidRPr="00BF76EB">
              <w:rPr>
                <w:sz w:val="18"/>
                <w:szCs w:val="18"/>
              </w:rPr>
              <w:t>72.80 (5.56; 65-100)</w:t>
            </w:r>
          </w:p>
        </w:tc>
      </w:tr>
      <w:tr w:rsidR="0067540B" w:rsidRPr="00BF76EB" w:rsidTr="00BF76EB">
        <w:tc>
          <w:tcPr>
            <w:tcW w:w="2250" w:type="dxa"/>
          </w:tcPr>
          <w:p w:rsidR="0067540B" w:rsidRPr="00BF76EB" w:rsidRDefault="0067540B" w:rsidP="00BF76EB">
            <w:pPr>
              <w:spacing w:after="0" w:line="240" w:lineRule="auto"/>
              <w:rPr>
                <w:b/>
              </w:rPr>
            </w:pPr>
            <w:r w:rsidRPr="00BF76EB">
              <w:rPr>
                <w:b/>
              </w:rPr>
              <w:t>Male (%)</w:t>
            </w:r>
          </w:p>
        </w:tc>
        <w:tc>
          <w:tcPr>
            <w:tcW w:w="1890" w:type="dxa"/>
          </w:tcPr>
          <w:p w:rsidR="0067540B" w:rsidRPr="00BF76EB" w:rsidRDefault="0067540B" w:rsidP="00BF76EB">
            <w:pPr>
              <w:spacing w:after="0" w:line="240" w:lineRule="auto"/>
              <w:jc w:val="center"/>
              <w:rPr>
                <w:sz w:val="18"/>
                <w:szCs w:val="18"/>
              </w:rPr>
            </w:pPr>
            <w:r w:rsidRPr="00BF76EB">
              <w:rPr>
                <w:sz w:val="18"/>
                <w:szCs w:val="18"/>
              </w:rPr>
              <w:t>45.6 %</w:t>
            </w:r>
          </w:p>
        </w:tc>
        <w:tc>
          <w:tcPr>
            <w:tcW w:w="1875" w:type="dxa"/>
          </w:tcPr>
          <w:p w:rsidR="0067540B" w:rsidRPr="00BF76EB" w:rsidRDefault="0067540B" w:rsidP="00BF76EB">
            <w:pPr>
              <w:spacing w:after="0" w:line="240" w:lineRule="auto"/>
              <w:jc w:val="center"/>
              <w:rPr>
                <w:sz w:val="18"/>
                <w:szCs w:val="18"/>
              </w:rPr>
            </w:pPr>
            <w:r w:rsidRPr="00BF76EB">
              <w:rPr>
                <w:sz w:val="18"/>
                <w:szCs w:val="18"/>
              </w:rPr>
              <w:t>44.5 %</w:t>
            </w:r>
          </w:p>
        </w:tc>
        <w:tc>
          <w:tcPr>
            <w:tcW w:w="1771" w:type="dxa"/>
          </w:tcPr>
          <w:p w:rsidR="0067540B" w:rsidRPr="00BF76EB" w:rsidRDefault="0067540B" w:rsidP="00BF76EB">
            <w:pPr>
              <w:spacing w:after="0" w:line="240" w:lineRule="auto"/>
              <w:jc w:val="center"/>
              <w:rPr>
                <w:sz w:val="18"/>
                <w:szCs w:val="18"/>
              </w:rPr>
            </w:pPr>
            <w:r w:rsidRPr="00BF76EB">
              <w:rPr>
                <w:sz w:val="18"/>
                <w:szCs w:val="18"/>
              </w:rPr>
              <w:t>37.7 %</w:t>
            </w:r>
          </w:p>
        </w:tc>
        <w:tc>
          <w:tcPr>
            <w:tcW w:w="2024" w:type="dxa"/>
          </w:tcPr>
          <w:p w:rsidR="0067540B" w:rsidRPr="00BF76EB" w:rsidRDefault="0067540B" w:rsidP="00BF76EB">
            <w:pPr>
              <w:spacing w:after="0" w:line="240" w:lineRule="auto"/>
              <w:jc w:val="center"/>
              <w:rPr>
                <w:sz w:val="18"/>
                <w:szCs w:val="18"/>
              </w:rPr>
            </w:pPr>
            <w:r w:rsidRPr="00BF76EB">
              <w:rPr>
                <w:sz w:val="18"/>
                <w:szCs w:val="18"/>
              </w:rPr>
              <w:t>42.0 %</w:t>
            </w:r>
          </w:p>
        </w:tc>
      </w:tr>
      <w:tr w:rsidR="0067540B" w:rsidRPr="00BF76EB" w:rsidTr="00BF76EB">
        <w:tc>
          <w:tcPr>
            <w:tcW w:w="2250" w:type="dxa"/>
          </w:tcPr>
          <w:p w:rsidR="0067540B" w:rsidRPr="00BF76EB" w:rsidRDefault="0067540B" w:rsidP="00BF76EB">
            <w:pPr>
              <w:spacing w:after="0" w:line="240" w:lineRule="auto"/>
              <w:rPr>
                <w:b/>
                <w:vertAlign w:val="superscript"/>
              </w:rPr>
            </w:pPr>
            <w:r w:rsidRPr="00BF76EB">
              <w:rPr>
                <w:b/>
              </w:rPr>
              <w:t>BMI</w:t>
            </w:r>
            <w:r w:rsidRPr="00BF76EB">
              <w:rPr>
                <w:b/>
                <w:vertAlign w:val="superscript"/>
              </w:rPr>
              <w:t>1</w:t>
            </w:r>
          </w:p>
        </w:tc>
        <w:tc>
          <w:tcPr>
            <w:tcW w:w="1890" w:type="dxa"/>
          </w:tcPr>
          <w:p w:rsidR="0067540B" w:rsidRPr="00BF76EB" w:rsidRDefault="0067540B" w:rsidP="00BF76EB">
            <w:pPr>
              <w:spacing w:after="0" w:line="240" w:lineRule="auto"/>
              <w:jc w:val="center"/>
              <w:rPr>
                <w:sz w:val="18"/>
                <w:szCs w:val="18"/>
              </w:rPr>
            </w:pPr>
            <w:r w:rsidRPr="00BF76EB">
              <w:rPr>
                <w:sz w:val="18"/>
                <w:szCs w:val="18"/>
              </w:rPr>
              <w:t>23.82 (3.64; 15.6-38.6)</w:t>
            </w:r>
          </w:p>
        </w:tc>
        <w:tc>
          <w:tcPr>
            <w:tcW w:w="1875" w:type="dxa"/>
          </w:tcPr>
          <w:p w:rsidR="0067540B" w:rsidRPr="00BF76EB" w:rsidRDefault="0067540B" w:rsidP="00BF76EB">
            <w:pPr>
              <w:spacing w:after="0" w:line="240" w:lineRule="auto"/>
              <w:jc w:val="center"/>
              <w:rPr>
                <w:sz w:val="18"/>
                <w:szCs w:val="18"/>
              </w:rPr>
            </w:pPr>
            <w:r w:rsidRPr="00BF76EB">
              <w:rPr>
                <w:sz w:val="18"/>
                <w:szCs w:val="18"/>
              </w:rPr>
              <w:t>26.08 (4.16; 14.7-53.2)</w:t>
            </w:r>
          </w:p>
        </w:tc>
        <w:tc>
          <w:tcPr>
            <w:tcW w:w="1771" w:type="dxa"/>
          </w:tcPr>
          <w:p w:rsidR="0067540B" w:rsidRPr="00BF76EB" w:rsidRDefault="0067540B" w:rsidP="00BF76EB">
            <w:pPr>
              <w:spacing w:after="0" w:line="240" w:lineRule="auto"/>
              <w:jc w:val="center"/>
              <w:rPr>
                <w:sz w:val="18"/>
                <w:szCs w:val="18"/>
              </w:rPr>
            </w:pPr>
            <w:r w:rsidRPr="00BF76EB">
              <w:rPr>
                <w:sz w:val="18"/>
                <w:szCs w:val="18"/>
              </w:rPr>
              <w:t>28.11 (5.18; 15.3-58.8)</w:t>
            </w:r>
          </w:p>
        </w:tc>
        <w:tc>
          <w:tcPr>
            <w:tcW w:w="2024" w:type="dxa"/>
          </w:tcPr>
          <w:p w:rsidR="0067540B" w:rsidRPr="00BF76EB" w:rsidRDefault="0067540B" w:rsidP="00BF76EB">
            <w:pPr>
              <w:spacing w:after="0" w:line="240" w:lineRule="auto"/>
              <w:jc w:val="center"/>
              <w:rPr>
                <w:sz w:val="18"/>
                <w:szCs w:val="18"/>
              </w:rPr>
            </w:pPr>
            <w:r w:rsidRPr="00BF76EB">
              <w:rPr>
                <w:sz w:val="18"/>
                <w:szCs w:val="18"/>
              </w:rPr>
              <w:t>26.66 (4.72; 14.7-58.8)</w:t>
            </w:r>
          </w:p>
        </w:tc>
      </w:tr>
      <w:tr w:rsidR="0067540B" w:rsidRPr="00BF76EB" w:rsidTr="00BF76EB">
        <w:tc>
          <w:tcPr>
            <w:tcW w:w="2250" w:type="dxa"/>
          </w:tcPr>
          <w:p w:rsidR="0067540B" w:rsidRPr="00BF76EB" w:rsidRDefault="0067540B" w:rsidP="00BF76EB">
            <w:pPr>
              <w:spacing w:after="0" w:line="240" w:lineRule="auto"/>
              <w:rPr>
                <w:b/>
              </w:rPr>
            </w:pPr>
            <w:r w:rsidRPr="00BF76EB">
              <w:rPr>
                <w:b/>
              </w:rPr>
              <w:t>Smoker (%)</w:t>
            </w:r>
          </w:p>
        </w:tc>
        <w:tc>
          <w:tcPr>
            <w:tcW w:w="1890" w:type="dxa"/>
          </w:tcPr>
          <w:p w:rsidR="0067540B" w:rsidRPr="00BF76EB" w:rsidRDefault="0067540B" w:rsidP="00BF76EB">
            <w:pPr>
              <w:spacing w:after="0" w:line="240" w:lineRule="auto"/>
              <w:jc w:val="center"/>
              <w:rPr>
                <w:sz w:val="18"/>
                <w:szCs w:val="18"/>
              </w:rPr>
            </w:pPr>
            <w:r w:rsidRPr="00BF76EB">
              <w:rPr>
                <w:sz w:val="18"/>
                <w:szCs w:val="18"/>
              </w:rPr>
              <w:t>9.6 %</w:t>
            </w:r>
          </w:p>
        </w:tc>
        <w:tc>
          <w:tcPr>
            <w:tcW w:w="1875" w:type="dxa"/>
          </w:tcPr>
          <w:p w:rsidR="0067540B" w:rsidRPr="00BF76EB" w:rsidRDefault="0067540B" w:rsidP="00BF76EB">
            <w:pPr>
              <w:spacing w:after="0" w:line="240" w:lineRule="auto"/>
              <w:jc w:val="center"/>
              <w:rPr>
                <w:sz w:val="18"/>
                <w:szCs w:val="18"/>
              </w:rPr>
            </w:pPr>
            <w:r w:rsidRPr="00BF76EB">
              <w:rPr>
                <w:sz w:val="18"/>
                <w:szCs w:val="18"/>
              </w:rPr>
              <w:t>10.1 %</w:t>
            </w:r>
          </w:p>
        </w:tc>
        <w:tc>
          <w:tcPr>
            <w:tcW w:w="1771" w:type="dxa"/>
          </w:tcPr>
          <w:p w:rsidR="0067540B" w:rsidRPr="00BF76EB" w:rsidRDefault="0067540B" w:rsidP="00BF76EB">
            <w:pPr>
              <w:spacing w:after="0" w:line="240" w:lineRule="auto"/>
              <w:jc w:val="center"/>
              <w:rPr>
                <w:sz w:val="18"/>
                <w:szCs w:val="18"/>
              </w:rPr>
            </w:pPr>
            <w:r w:rsidRPr="00BF76EB">
              <w:rPr>
                <w:sz w:val="18"/>
                <w:szCs w:val="18"/>
              </w:rPr>
              <w:t>15.73 %</w:t>
            </w:r>
          </w:p>
        </w:tc>
        <w:tc>
          <w:tcPr>
            <w:tcW w:w="2024" w:type="dxa"/>
          </w:tcPr>
          <w:p w:rsidR="0067540B" w:rsidRPr="00BF76EB" w:rsidRDefault="0067540B" w:rsidP="00BF76EB">
            <w:pPr>
              <w:spacing w:after="0" w:line="240" w:lineRule="auto"/>
              <w:jc w:val="center"/>
              <w:rPr>
                <w:sz w:val="18"/>
                <w:szCs w:val="18"/>
              </w:rPr>
            </w:pPr>
            <w:r w:rsidRPr="00BF76EB">
              <w:rPr>
                <w:sz w:val="18"/>
                <w:szCs w:val="18"/>
              </w:rPr>
              <w:t>12.18 %</w:t>
            </w:r>
          </w:p>
        </w:tc>
      </w:tr>
      <w:tr w:rsidR="0067540B" w:rsidRPr="00BF76EB" w:rsidTr="00BF76EB">
        <w:tc>
          <w:tcPr>
            <w:tcW w:w="2250" w:type="dxa"/>
          </w:tcPr>
          <w:p w:rsidR="0067540B" w:rsidRPr="00BF76EB" w:rsidRDefault="0067540B" w:rsidP="00BF76EB">
            <w:pPr>
              <w:spacing w:after="0" w:line="240" w:lineRule="auto"/>
              <w:rPr>
                <w:b/>
                <w:vertAlign w:val="superscript"/>
              </w:rPr>
            </w:pPr>
            <w:r w:rsidRPr="00BF76EB">
              <w:rPr>
                <w:b/>
              </w:rPr>
              <w:t>Cholesterol (mg/L)</w:t>
            </w:r>
            <w:r w:rsidRPr="00BF76EB">
              <w:rPr>
                <w:b/>
                <w:vertAlign w:val="superscript"/>
              </w:rPr>
              <w:t>1</w:t>
            </w:r>
          </w:p>
        </w:tc>
        <w:tc>
          <w:tcPr>
            <w:tcW w:w="1890" w:type="dxa"/>
          </w:tcPr>
          <w:p w:rsidR="0067540B" w:rsidRPr="00BF76EB" w:rsidRDefault="0067540B" w:rsidP="00BF76EB">
            <w:pPr>
              <w:spacing w:after="0" w:line="240" w:lineRule="auto"/>
              <w:jc w:val="center"/>
              <w:rPr>
                <w:sz w:val="18"/>
                <w:szCs w:val="18"/>
              </w:rPr>
            </w:pPr>
            <w:r w:rsidRPr="00BF76EB">
              <w:rPr>
                <w:sz w:val="18"/>
                <w:szCs w:val="18"/>
              </w:rPr>
              <w:t>205.99 (40.53; 109-407)</w:t>
            </w:r>
          </w:p>
        </w:tc>
        <w:tc>
          <w:tcPr>
            <w:tcW w:w="1875" w:type="dxa"/>
          </w:tcPr>
          <w:p w:rsidR="0067540B" w:rsidRPr="00BF76EB" w:rsidRDefault="0067540B" w:rsidP="00BF76EB">
            <w:pPr>
              <w:spacing w:after="0" w:line="240" w:lineRule="auto"/>
              <w:jc w:val="center"/>
              <w:rPr>
                <w:sz w:val="18"/>
                <w:szCs w:val="18"/>
              </w:rPr>
            </w:pPr>
            <w:r w:rsidRPr="00BF76EB">
              <w:rPr>
                <w:sz w:val="18"/>
                <w:szCs w:val="18"/>
              </w:rPr>
              <w:t>212.49 (38.6; 73-363)</w:t>
            </w:r>
          </w:p>
        </w:tc>
        <w:tc>
          <w:tcPr>
            <w:tcW w:w="1771" w:type="dxa"/>
          </w:tcPr>
          <w:p w:rsidR="0067540B" w:rsidRPr="00BF76EB" w:rsidRDefault="0067540B" w:rsidP="00BF76EB">
            <w:pPr>
              <w:spacing w:after="0" w:line="240" w:lineRule="auto"/>
              <w:jc w:val="center"/>
              <w:rPr>
                <w:sz w:val="18"/>
                <w:szCs w:val="18"/>
              </w:rPr>
            </w:pPr>
            <w:r w:rsidRPr="00BF76EB">
              <w:rPr>
                <w:sz w:val="18"/>
                <w:szCs w:val="18"/>
              </w:rPr>
              <w:t>211.84 (39.4; 96-430)</w:t>
            </w:r>
          </w:p>
        </w:tc>
        <w:tc>
          <w:tcPr>
            <w:tcW w:w="2024" w:type="dxa"/>
          </w:tcPr>
          <w:p w:rsidR="0067540B" w:rsidRPr="00BF76EB" w:rsidRDefault="0067540B" w:rsidP="00BF76EB">
            <w:pPr>
              <w:spacing w:after="0" w:line="240" w:lineRule="auto"/>
              <w:jc w:val="center"/>
              <w:rPr>
                <w:sz w:val="18"/>
                <w:szCs w:val="18"/>
              </w:rPr>
            </w:pPr>
            <w:r w:rsidRPr="00BF76EB">
              <w:rPr>
                <w:sz w:val="18"/>
                <w:szCs w:val="18"/>
              </w:rPr>
              <w:t>211.68 (39.23; 73-430)</w:t>
            </w:r>
          </w:p>
        </w:tc>
      </w:tr>
      <w:tr w:rsidR="0067540B" w:rsidRPr="00BF76EB" w:rsidTr="00BF76EB">
        <w:tc>
          <w:tcPr>
            <w:tcW w:w="2250" w:type="dxa"/>
          </w:tcPr>
          <w:p w:rsidR="0067540B" w:rsidRPr="00BF76EB" w:rsidRDefault="0067540B" w:rsidP="00BF76EB">
            <w:pPr>
              <w:spacing w:after="0" w:line="240" w:lineRule="auto"/>
              <w:rPr>
                <w:b/>
              </w:rPr>
            </w:pPr>
            <w:r w:rsidRPr="00BF76EB">
              <w:rPr>
                <w:b/>
              </w:rPr>
              <w:t xml:space="preserve">Prior Disease (%) </w:t>
            </w:r>
          </w:p>
        </w:tc>
        <w:tc>
          <w:tcPr>
            <w:tcW w:w="1890" w:type="dxa"/>
          </w:tcPr>
          <w:p w:rsidR="0067540B" w:rsidRPr="00BF76EB" w:rsidRDefault="0067540B" w:rsidP="00BF76EB">
            <w:pPr>
              <w:spacing w:after="0" w:line="240" w:lineRule="auto"/>
              <w:jc w:val="center"/>
              <w:rPr>
                <w:sz w:val="18"/>
                <w:szCs w:val="18"/>
              </w:rPr>
            </w:pPr>
            <w:r w:rsidRPr="00BF76EB">
              <w:rPr>
                <w:sz w:val="18"/>
                <w:szCs w:val="18"/>
              </w:rPr>
              <w:t>18.22 %</w:t>
            </w:r>
          </w:p>
        </w:tc>
        <w:tc>
          <w:tcPr>
            <w:tcW w:w="1875" w:type="dxa"/>
          </w:tcPr>
          <w:p w:rsidR="0067540B" w:rsidRPr="00BF76EB" w:rsidRDefault="0067540B" w:rsidP="00BF76EB">
            <w:pPr>
              <w:spacing w:after="0" w:line="240" w:lineRule="auto"/>
              <w:jc w:val="center"/>
              <w:rPr>
                <w:sz w:val="18"/>
                <w:szCs w:val="18"/>
              </w:rPr>
            </w:pPr>
            <w:r w:rsidRPr="00BF76EB">
              <w:rPr>
                <w:sz w:val="18"/>
                <w:szCs w:val="18"/>
              </w:rPr>
              <w:t>20.62 %</w:t>
            </w:r>
          </w:p>
        </w:tc>
        <w:tc>
          <w:tcPr>
            <w:tcW w:w="1771" w:type="dxa"/>
          </w:tcPr>
          <w:p w:rsidR="0067540B" w:rsidRPr="00BF76EB" w:rsidRDefault="0067540B" w:rsidP="00BF76EB">
            <w:pPr>
              <w:spacing w:after="0" w:line="240" w:lineRule="auto"/>
              <w:jc w:val="center"/>
              <w:rPr>
                <w:sz w:val="18"/>
                <w:szCs w:val="18"/>
              </w:rPr>
            </w:pPr>
            <w:r w:rsidRPr="00BF76EB">
              <w:rPr>
                <w:sz w:val="18"/>
                <w:szCs w:val="18"/>
              </w:rPr>
              <w:t>27.24 %</w:t>
            </w:r>
          </w:p>
        </w:tc>
        <w:tc>
          <w:tcPr>
            <w:tcW w:w="2024" w:type="dxa"/>
          </w:tcPr>
          <w:p w:rsidR="0067540B" w:rsidRPr="00BF76EB" w:rsidRDefault="0067540B" w:rsidP="00BF76EB">
            <w:pPr>
              <w:spacing w:after="0" w:line="240" w:lineRule="auto"/>
              <w:jc w:val="center"/>
              <w:rPr>
                <w:sz w:val="18"/>
                <w:szCs w:val="18"/>
              </w:rPr>
            </w:pPr>
            <w:r w:rsidRPr="00BF76EB">
              <w:rPr>
                <w:sz w:val="18"/>
                <w:szCs w:val="18"/>
              </w:rPr>
              <w:t>22.93 %</w:t>
            </w:r>
          </w:p>
        </w:tc>
      </w:tr>
      <w:tr w:rsidR="0067540B" w:rsidRPr="00BF76EB" w:rsidTr="00BF76EB">
        <w:tc>
          <w:tcPr>
            <w:tcW w:w="2250" w:type="dxa"/>
          </w:tcPr>
          <w:p w:rsidR="0067540B" w:rsidRPr="00BF76EB" w:rsidRDefault="0067540B" w:rsidP="00BF76EB">
            <w:pPr>
              <w:spacing w:after="0" w:line="240" w:lineRule="auto"/>
              <w:rPr>
                <w:b/>
              </w:rPr>
            </w:pPr>
            <w:r w:rsidRPr="00BF76EB">
              <w:rPr>
                <w:b/>
              </w:rPr>
              <w:t>Death within 4 years</w:t>
            </w:r>
          </w:p>
        </w:tc>
        <w:tc>
          <w:tcPr>
            <w:tcW w:w="1890" w:type="dxa"/>
          </w:tcPr>
          <w:p w:rsidR="0067540B" w:rsidRPr="00BF76EB" w:rsidRDefault="0067540B" w:rsidP="00BF76EB">
            <w:pPr>
              <w:spacing w:after="0" w:line="240" w:lineRule="auto"/>
              <w:jc w:val="center"/>
              <w:rPr>
                <w:sz w:val="18"/>
                <w:szCs w:val="18"/>
              </w:rPr>
            </w:pPr>
            <w:r w:rsidRPr="00BF76EB">
              <w:rPr>
                <w:sz w:val="18"/>
                <w:szCs w:val="18"/>
              </w:rPr>
              <w:t>4.91 %</w:t>
            </w:r>
          </w:p>
        </w:tc>
        <w:tc>
          <w:tcPr>
            <w:tcW w:w="1875" w:type="dxa"/>
          </w:tcPr>
          <w:p w:rsidR="0067540B" w:rsidRPr="00BF76EB" w:rsidRDefault="0067540B" w:rsidP="00BF76EB">
            <w:pPr>
              <w:spacing w:after="0" w:line="240" w:lineRule="auto"/>
              <w:jc w:val="center"/>
              <w:rPr>
                <w:sz w:val="18"/>
                <w:szCs w:val="18"/>
              </w:rPr>
            </w:pPr>
            <w:r w:rsidRPr="00BF76EB">
              <w:rPr>
                <w:sz w:val="18"/>
                <w:szCs w:val="18"/>
              </w:rPr>
              <w:t>7.68 %</w:t>
            </w:r>
          </w:p>
        </w:tc>
        <w:tc>
          <w:tcPr>
            <w:tcW w:w="1771" w:type="dxa"/>
          </w:tcPr>
          <w:p w:rsidR="0067540B" w:rsidRPr="00BF76EB" w:rsidRDefault="0067540B" w:rsidP="00BF76EB">
            <w:pPr>
              <w:spacing w:after="0" w:line="240" w:lineRule="auto"/>
              <w:jc w:val="center"/>
              <w:rPr>
                <w:sz w:val="18"/>
                <w:szCs w:val="18"/>
              </w:rPr>
            </w:pPr>
            <w:r w:rsidRPr="00BF76EB">
              <w:rPr>
                <w:sz w:val="18"/>
                <w:szCs w:val="18"/>
              </w:rPr>
              <w:t>13.91 %</w:t>
            </w:r>
          </w:p>
        </w:tc>
        <w:tc>
          <w:tcPr>
            <w:tcW w:w="2024" w:type="dxa"/>
          </w:tcPr>
          <w:p w:rsidR="0067540B" w:rsidRPr="00BF76EB" w:rsidRDefault="0067540B" w:rsidP="00BF76EB">
            <w:pPr>
              <w:spacing w:after="0" w:line="240" w:lineRule="auto"/>
              <w:jc w:val="center"/>
              <w:rPr>
                <w:sz w:val="18"/>
                <w:szCs w:val="18"/>
              </w:rPr>
            </w:pPr>
            <w:r w:rsidRPr="00BF76EB">
              <w:rPr>
                <w:sz w:val="18"/>
                <w:szCs w:val="18"/>
              </w:rPr>
              <w:t>9.81 %</w:t>
            </w:r>
          </w:p>
        </w:tc>
      </w:tr>
    </w:tbl>
    <w:p w:rsidR="0067540B" w:rsidRDefault="0067540B" w:rsidP="00CE13B8">
      <w:pPr>
        <w:pStyle w:val="ListParagraph"/>
      </w:pPr>
      <w:r>
        <w:rPr>
          <w:vertAlign w:val="superscript"/>
        </w:rPr>
        <w:t>1</w:t>
      </w:r>
      <w:r>
        <w:t>Continuous variables are reported as the mean (standard deviation; minimum-maximum)</w:t>
      </w:r>
      <w:r>
        <w:br/>
      </w:r>
    </w:p>
    <w:p w:rsidR="0067540B" w:rsidRDefault="0067540B" w:rsidP="003B7380">
      <w:pPr>
        <w:pStyle w:val="ListParagraph"/>
        <w:numPr>
          <w:ilvl w:val="0"/>
          <w:numId w:val="2"/>
        </w:numPr>
      </w:pPr>
      <w:r>
        <w:rPr>
          <w:b/>
        </w:rPr>
        <w:t>Methods</w:t>
      </w:r>
      <w:r>
        <w:t>: Mean CRP levels were compared between subjects who died within 4 years of enrollment and those who lived for at least 4 years post-enrollment. Differences in the mean were tested using a t test which allowed for unequal variances. 95% confidence intervals for the difference in population means were also calculated with allowances for unequal variances between the two populations.</w:t>
      </w:r>
      <w:r>
        <w:br/>
      </w:r>
      <w:r>
        <w:br/>
      </w:r>
      <w:r>
        <w:rPr>
          <w:b/>
        </w:rPr>
        <w:t>Results</w:t>
      </w:r>
      <w:r>
        <w:t>: Mean CRP was 3.42 mg/L among 4449 subjects who survived for at least 4 years after enrollment while mean CRP was 5.38 mg/L among the 484 subjects who died within 4 years. The observed tendency for subjects who died earlier to have 1.95 mg/L higher mean CRP than those who survived would not be unusual if the true difference in population CRP means were between 1.21 mg/L and 2.70 mg/L, based on 95% confidence intervals calculated while allowing for unequal variances. Similarly, the results of t test that allowed for the possibility of unequal variances, this observation is statistically significant at a 0.05 level of significance (two-sided P=0). This allows us to reject the null hypothesis that the mean CRP levels are not different by vital status at 4 years in favor of a hypothesis that death within 4 years is associated with higher mean CRP levels.</w:t>
      </w:r>
      <w:r>
        <w:br/>
      </w:r>
    </w:p>
    <w:p w:rsidR="0067540B" w:rsidRDefault="0067540B" w:rsidP="005C441D">
      <w:pPr>
        <w:pStyle w:val="ListParagraph"/>
        <w:numPr>
          <w:ilvl w:val="0"/>
          <w:numId w:val="2"/>
        </w:numPr>
      </w:pPr>
      <w:commentRangeStart w:id="0"/>
      <w:r w:rsidRPr="005C441D">
        <w:rPr>
          <w:b/>
        </w:rPr>
        <w:t>Methods</w:t>
      </w:r>
      <w:r w:rsidRPr="00E13466">
        <w:t xml:space="preserve">: </w:t>
      </w:r>
      <w:commentRangeEnd w:id="0"/>
      <w:r>
        <w:rPr>
          <w:rStyle w:val="CommentReference"/>
        </w:rPr>
        <w:commentReference w:id="0"/>
      </w:r>
      <w:r>
        <w:t>Geometric mean</w:t>
      </w:r>
      <w:r w:rsidRPr="00E13466">
        <w:t xml:space="preserve"> CRP levels were compared between subjects who died within 4 years of enrollment and those who lived for at least 4 years post-enrollment. </w:t>
      </w:r>
      <w:r>
        <w:t xml:space="preserve">The CRP levels were log-transformed and it should be noted that log-transforming the data generated 496 missing values as the CRP values reported were 0 (407 subjects who survived for 4 years and 21 subjects who died within 4 years). These subjects were excluded from this analysis. </w:t>
      </w:r>
      <w:r w:rsidRPr="00E13466">
        <w:t xml:space="preserve">Differences in the mean </w:t>
      </w:r>
      <w:r>
        <w:t xml:space="preserve">of log transformed CRP levels </w:t>
      </w:r>
      <w:r w:rsidRPr="00E13466">
        <w:t>were tested using a t test which allowed for unequal variances. 95% confidence intervals for the difference in population means were also calculated with allowances for unequal variances between the two populations.</w:t>
      </w:r>
      <w:r>
        <w:t xml:space="preserve"> Finally, estimates and confidence intervals were exponentiated to obtain inferences on the geometric mean.</w:t>
      </w:r>
      <w:r>
        <w:br/>
      </w:r>
      <w:r>
        <w:br/>
      </w:r>
      <w:r w:rsidRPr="005C441D">
        <w:rPr>
          <w:b/>
        </w:rPr>
        <w:t>Results</w:t>
      </w:r>
      <w:r>
        <w:t xml:space="preserve">: Geometric mean CRP was 2.34 mg/L among 4042 subjects who survived for at least 4 years after enrollment while the geometric mean CRP was 3.22 mg/L among the 463 subjects who died within 4 years. Based on a 95% confidence interval computed with an allowance for unequal variances, this observed tendency of 27.44% lower geometric mean among subjects who survived at least 4 years would not be judged unusual if the true ratio of population geometric means indicated anywhere between a 20.47% to 33.81% lower geometric mean CRP among subjects who survived for at least 4 years. Using a t test on log transformed CRP that similarly allows for the possibility of unequal variances, this observation is statistically significant at a 0.05 level of significance (two-sided P= 0.0000), and we can with high confidence reject the null hypothesis that the geometric mean serum CRP levels are not different by vital status at 5 years in favor of a hypothesis that death within 4 years is associated with higher geometric mean CRP levels. </w:t>
      </w:r>
      <w:r>
        <w:br/>
      </w:r>
    </w:p>
    <w:p w:rsidR="0067540B" w:rsidRDefault="0067540B" w:rsidP="005C3191">
      <w:pPr>
        <w:pStyle w:val="ListParagraph"/>
        <w:numPr>
          <w:ilvl w:val="0"/>
          <w:numId w:val="2"/>
        </w:numPr>
      </w:pPr>
      <w:r w:rsidRPr="005C3191">
        <w:rPr>
          <w:b/>
        </w:rPr>
        <w:t>Methods</w:t>
      </w:r>
      <w:r>
        <w:t>: The proportion of subjects dying within 4 years of study enrollment were compared between subjects who had serum CRP greater than 3 mg/L and subjects whose serum CRP was measured to be less than 3 mg/L. Differences in the probability of death within 4 years were tested using Pearson’s chi squared test for independence. 95% confidence intervals for the difference in population 5 year mortality probabilities were computed using Wald statistics.</w:t>
      </w:r>
      <w:r>
        <w:br/>
      </w:r>
      <w:r>
        <w:br/>
      </w:r>
      <w:r>
        <w:rPr>
          <w:b/>
        </w:rPr>
        <w:t>Results</w:t>
      </w:r>
      <w:r>
        <w:t>: Of the 1876 study subjects who had serum CRP levels at or above 3 mg/L, 13.9% were observed to die within 4 years after study enrollment while 7.3% of the subjects who had serum CRP levels below 3 mg/L were observed to die within 4 years. Based on a 95% confidence interval, the 6.6 % observed difference in mortality probability would not be judged as unusual if the true difference in mortality probabilities  were 4.8% to 8.4% higher among subjects with CRP levels greater than or equal to 3 mg/L. Using a chi squared test, this observations was statistically significant at a 0.05 level of significance (P=0.0000), and we can reject the null hypothesis that the survival probabilities are not associated with CRP levels with high confidence.</w:t>
      </w:r>
      <w:r>
        <w:br/>
      </w:r>
    </w:p>
    <w:p w:rsidR="0067540B" w:rsidRDefault="0067540B" w:rsidP="005C3191">
      <w:pPr>
        <w:pStyle w:val="ListParagraph"/>
        <w:numPr>
          <w:ilvl w:val="0"/>
          <w:numId w:val="2"/>
        </w:numPr>
      </w:pPr>
      <w:r>
        <w:rPr>
          <w:b/>
        </w:rPr>
        <w:t>Methods</w:t>
      </w:r>
      <w:r>
        <w:t>: The odds of subjects drying within 4 years of study enrollment were compared between subjects who had serum CRP levels at or above 3 mg/L and those who had less than 3 mg/L. An odds ratio different from 1 was tested using Fisher’s exact test and 95% confidence intervals for the odds ratio was also computed using exact methods.</w:t>
      </w:r>
      <w:r>
        <w:br/>
      </w:r>
      <w:r>
        <w:br/>
      </w:r>
      <w:r>
        <w:rPr>
          <w:b/>
        </w:rPr>
        <w:t>Results</w:t>
      </w:r>
      <w:r>
        <w:t>: The odds ration obtained using Fisher’s exact test was 2.05. Based on 95% confidence intervals, the observed odds ratio of 2.05 for the comparison of the high CRP group with the low CRP group would not be be unusual if the true odds ratio was between 1.69 and 2.49. A Fisher’s exact test two-sided p-value of 0.0000 suggests that we can reject the null hypothesis that the odds of 4 year mortality are not associated with serum CRP levels with high confidence.</w:t>
      </w:r>
      <w:r>
        <w:br/>
      </w:r>
    </w:p>
    <w:p w:rsidR="0067540B" w:rsidRDefault="0067540B" w:rsidP="00570CE3">
      <w:pPr>
        <w:pStyle w:val="ListParagraph"/>
        <w:numPr>
          <w:ilvl w:val="0"/>
          <w:numId w:val="2"/>
        </w:numPr>
      </w:pPr>
      <w:r w:rsidRPr="00570CE3">
        <w:rPr>
          <w:b/>
        </w:rPr>
        <w:t>Methods</w:t>
      </w:r>
      <w:r>
        <w:t>: The survival distribution was estimated using Kaplan-Meier estimates, stratified by serum CRP less than 3 mg/L (low) or greater than and equal to 3 mg/L (high). Difference in survival distributions between the two groups were tested using the logrank statistics. The hazard ratio and 95% confidence intervals was computed using Cox proportional hazards regression.</w:t>
      </w:r>
      <w:r>
        <w:br/>
      </w:r>
      <w:r>
        <w:br/>
      </w:r>
      <w:r w:rsidRPr="00570CE3">
        <w:rPr>
          <w:b/>
        </w:rPr>
        <w:t>Results:</w:t>
      </w:r>
      <w:r>
        <w:t xml:space="preserve"> The following graph and table depict Kaplan-Meier estimates of survival probability for 1876 participants with serum CRP levels greater than/equal to 3 mg/L and 3057 individuals with serum CRP levels less than 3 mg/L. From the graph and the table, it is apparent that there is a tendency for individuals who have low serum CRP levels to higher survival probabilities, both within the first 4 years following enrollment as well as subsequent years. The instantaneous risk of death is estimated to be 22.11% higher for the high CRP group compared to the low CRP group. Based on a 95% confidence interval, this observed hazard ratio of 1.2211 when comparing the high CRP group to the low CRP group would not be judged unusual if the true hazard ratio were anywhere between 1.15 to 1.29. A p value of 0.0000 obtained for the logrank two-sided test suggests that with high confidence, we can reject the null hypothesis that the probability of survival is not associated with serum CRP levels.</w:t>
      </w:r>
      <w:r>
        <w:br/>
      </w:r>
      <w:r>
        <w:br/>
      </w:r>
      <w:r w:rsidRPr="006878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2.75pt;height:294.75pt;visibility:visible">
            <v:imagedata r:id="rId8" o:title=""/>
          </v:shape>
        </w:pict>
      </w:r>
      <w: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67540B" w:rsidRPr="00BF76EB" w:rsidTr="00BF76EB">
        <w:tc>
          <w:tcPr>
            <w:tcW w:w="2952" w:type="dxa"/>
          </w:tcPr>
          <w:p w:rsidR="0067540B" w:rsidRPr="00BF76EB" w:rsidRDefault="0067540B" w:rsidP="00BF76EB">
            <w:pPr>
              <w:spacing w:after="0" w:line="240" w:lineRule="auto"/>
              <w:jc w:val="center"/>
            </w:pPr>
          </w:p>
        </w:tc>
        <w:tc>
          <w:tcPr>
            <w:tcW w:w="5904" w:type="dxa"/>
            <w:gridSpan w:val="2"/>
          </w:tcPr>
          <w:p w:rsidR="0067540B" w:rsidRPr="00BF76EB" w:rsidRDefault="0067540B" w:rsidP="00BF76EB">
            <w:pPr>
              <w:spacing w:after="0" w:line="240" w:lineRule="auto"/>
              <w:jc w:val="center"/>
            </w:pPr>
            <w:r w:rsidRPr="00BF76EB">
              <w:t>Kaplan-Meier Survival Probabilities</w:t>
            </w:r>
          </w:p>
        </w:tc>
      </w:tr>
      <w:tr w:rsidR="0067540B" w:rsidRPr="00BF76EB" w:rsidTr="00BF76EB">
        <w:tc>
          <w:tcPr>
            <w:tcW w:w="2952" w:type="dxa"/>
          </w:tcPr>
          <w:p w:rsidR="0067540B" w:rsidRPr="00BF76EB" w:rsidRDefault="0067540B" w:rsidP="00BF76EB">
            <w:pPr>
              <w:spacing w:after="0" w:line="240" w:lineRule="auto"/>
              <w:jc w:val="center"/>
            </w:pPr>
          </w:p>
        </w:tc>
        <w:tc>
          <w:tcPr>
            <w:tcW w:w="2952" w:type="dxa"/>
          </w:tcPr>
          <w:p w:rsidR="0067540B" w:rsidRPr="00BF76EB" w:rsidRDefault="0067540B" w:rsidP="00BF76EB">
            <w:pPr>
              <w:spacing w:after="0" w:line="240" w:lineRule="auto"/>
              <w:jc w:val="center"/>
            </w:pPr>
            <w:r w:rsidRPr="00BF76EB">
              <w:t>CRP &lt; 3 mg/L</w:t>
            </w:r>
          </w:p>
        </w:tc>
        <w:tc>
          <w:tcPr>
            <w:tcW w:w="2952" w:type="dxa"/>
          </w:tcPr>
          <w:p w:rsidR="0067540B" w:rsidRPr="00BF76EB" w:rsidRDefault="0067540B" w:rsidP="00BF76EB">
            <w:pPr>
              <w:spacing w:after="0" w:line="240" w:lineRule="auto"/>
              <w:jc w:val="center"/>
            </w:pPr>
            <w:r w:rsidRPr="00BF76EB">
              <w:t>CRP ≥ 3 mg/L</w:t>
            </w:r>
          </w:p>
        </w:tc>
      </w:tr>
      <w:tr w:rsidR="0067540B" w:rsidRPr="00BF76EB" w:rsidTr="00BF76EB">
        <w:tc>
          <w:tcPr>
            <w:tcW w:w="2952" w:type="dxa"/>
          </w:tcPr>
          <w:p w:rsidR="0067540B" w:rsidRPr="00BF76EB" w:rsidRDefault="0067540B" w:rsidP="00BF76EB">
            <w:pPr>
              <w:spacing w:after="0" w:line="240" w:lineRule="auto"/>
              <w:jc w:val="center"/>
            </w:pPr>
            <w:r w:rsidRPr="00BF76EB">
              <w:t>1 year</w:t>
            </w:r>
          </w:p>
        </w:tc>
        <w:tc>
          <w:tcPr>
            <w:tcW w:w="2952" w:type="dxa"/>
          </w:tcPr>
          <w:p w:rsidR="0067540B" w:rsidRPr="00BF76EB" w:rsidRDefault="0067540B" w:rsidP="00BF76EB">
            <w:pPr>
              <w:spacing w:after="0" w:line="240" w:lineRule="auto"/>
              <w:jc w:val="center"/>
            </w:pPr>
            <w:r w:rsidRPr="00BF76EB">
              <w:t>0.9892</w:t>
            </w:r>
          </w:p>
        </w:tc>
        <w:tc>
          <w:tcPr>
            <w:tcW w:w="2952" w:type="dxa"/>
          </w:tcPr>
          <w:p w:rsidR="0067540B" w:rsidRPr="00BF76EB" w:rsidRDefault="0067540B" w:rsidP="00BF76EB">
            <w:pPr>
              <w:spacing w:after="0" w:line="240" w:lineRule="auto"/>
              <w:jc w:val="center"/>
            </w:pPr>
            <w:r w:rsidRPr="00BF76EB">
              <w:t>0.9712</w:t>
            </w:r>
          </w:p>
        </w:tc>
      </w:tr>
      <w:tr w:rsidR="0067540B" w:rsidRPr="00BF76EB" w:rsidTr="00BF76EB">
        <w:tc>
          <w:tcPr>
            <w:tcW w:w="2952" w:type="dxa"/>
          </w:tcPr>
          <w:p w:rsidR="0067540B" w:rsidRPr="00BF76EB" w:rsidRDefault="0067540B" w:rsidP="00BF76EB">
            <w:pPr>
              <w:spacing w:after="0" w:line="240" w:lineRule="auto"/>
              <w:jc w:val="center"/>
            </w:pPr>
            <w:r w:rsidRPr="00BF76EB">
              <w:t>2 years</w:t>
            </w:r>
          </w:p>
        </w:tc>
        <w:tc>
          <w:tcPr>
            <w:tcW w:w="2952" w:type="dxa"/>
          </w:tcPr>
          <w:p w:rsidR="0067540B" w:rsidRPr="00BF76EB" w:rsidRDefault="0067540B" w:rsidP="00BF76EB">
            <w:pPr>
              <w:spacing w:after="0" w:line="240" w:lineRule="auto"/>
              <w:jc w:val="center"/>
            </w:pPr>
            <w:r w:rsidRPr="00BF76EB">
              <w:t>0.9751</w:t>
            </w:r>
          </w:p>
        </w:tc>
        <w:tc>
          <w:tcPr>
            <w:tcW w:w="2952" w:type="dxa"/>
          </w:tcPr>
          <w:p w:rsidR="0067540B" w:rsidRPr="00BF76EB" w:rsidRDefault="0067540B" w:rsidP="00BF76EB">
            <w:pPr>
              <w:spacing w:after="0" w:line="240" w:lineRule="auto"/>
              <w:jc w:val="center"/>
            </w:pPr>
            <w:r w:rsidRPr="00BF76EB">
              <w:t>0.9355</w:t>
            </w:r>
          </w:p>
        </w:tc>
      </w:tr>
      <w:tr w:rsidR="0067540B" w:rsidRPr="00BF76EB" w:rsidTr="00BF76EB">
        <w:tc>
          <w:tcPr>
            <w:tcW w:w="2952" w:type="dxa"/>
          </w:tcPr>
          <w:p w:rsidR="0067540B" w:rsidRPr="00BF76EB" w:rsidRDefault="0067540B" w:rsidP="00BF76EB">
            <w:pPr>
              <w:spacing w:after="0" w:line="240" w:lineRule="auto"/>
              <w:jc w:val="center"/>
            </w:pPr>
            <w:r w:rsidRPr="00BF76EB">
              <w:t>3 years</w:t>
            </w:r>
          </w:p>
        </w:tc>
        <w:tc>
          <w:tcPr>
            <w:tcW w:w="2952" w:type="dxa"/>
          </w:tcPr>
          <w:p w:rsidR="0067540B" w:rsidRPr="00BF76EB" w:rsidRDefault="0067540B" w:rsidP="00BF76EB">
            <w:pPr>
              <w:spacing w:after="0" w:line="240" w:lineRule="auto"/>
              <w:jc w:val="center"/>
            </w:pPr>
            <w:r w:rsidRPr="00BF76EB">
              <w:t>0.9532</w:t>
            </w:r>
          </w:p>
        </w:tc>
        <w:tc>
          <w:tcPr>
            <w:tcW w:w="2952" w:type="dxa"/>
          </w:tcPr>
          <w:p w:rsidR="0067540B" w:rsidRPr="00BF76EB" w:rsidRDefault="0067540B" w:rsidP="00BF76EB">
            <w:pPr>
              <w:spacing w:after="0" w:line="240" w:lineRule="auto"/>
              <w:jc w:val="center"/>
            </w:pPr>
            <w:r w:rsidRPr="00BF76EB">
              <w:t>0.8977</w:t>
            </w:r>
          </w:p>
        </w:tc>
      </w:tr>
      <w:tr w:rsidR="0067540B" w:rsidRPr="00BF76EB" w:rsidTr="00BF76EB">
        <w:tc>
          <w:tcPr>
            <w:tcW w:w="2952" w:type="dxa"/>
          </w:tcPr>
          <w:p w:rsidR="0067540B" w:rsidRPr="00BF76EB" w:rsidRDefault="0067540B" w:rsidP="00BF76EB">
            <w:pPr>
              <w:spacing w:after="0" w:line="240" w:lineRule="auto"/>
              <w:jc w:val="center"/>
            </w:pPr>
            <w:r w:rsidRPr="00BF76EB">
              <w:t>4 years</w:t>
            </w:r>
          </w:p>
        </w:tc>
        <w:tc>
          <w:tcPr>
            <w:tcW w:w="2952" w:type="dxa"/>
          </w:tcPr>
          <w:p w:rsidR="0067540B" w:rsidRPr="00BF76EB" w:rsidRDefault="0067540B" w:rsidP="00BF76EB">
            <w:pPr>
              <w:spacing w:after="0" w:line="240" w:lineRule="auto"/>
              <w:jc w:val="center"/>
            </w:pPr>
            <w:r w:rsidRPr="00BF76EB">
              <w:t>0.9271</w:t>
            </w:r>
          </w:p>
        </w:tc>
        <w:tc>
          <w:tcPr>
            <w:tcW w:w="2952" w:type="dxa"/>
          </w:tcPr>
          <w:p w:rsidR="0067540B" w:rsidRPr="00BF76EB" w:rsidRDefault="0067540B" w:rsidP="00BF76EB">
            <w:pPr>
              <w:spacing w:after="0" w:line="240" w:lineRule="auto"/>
              <w:jc w:val="center"/>
            </w:pPr>
            <w:r w:rsidRPr="00BF76EB">
              <w:t>0.8609</w:t>
            </w:r>
          </w:p>
        </w:tc>
      </w:tr>
    </w:tbl>
    <w:p w:rsidR="0067540B" w:rsidRDefault="0067540B" w:rsidP="00570CE3"/>
    <w:p w:rsidR="0067540B" w:rsidRDefault="0067540B" w:rsidP="00570CE3">
      <w:pPr>
        <w:pStyle w:val="ListParagraph"/>
        <w:numPr>
          <w:ilvl w:val="0"/>
          <w:numId w:val="2"/>
        </w:numPr>
      </w:pPr>
      <w:r>
        <w:rPr>
          <w:i/>
        </w:rPr>
        <w:t>A priori</w:t>
      </w:r>
      <w:r>
        <w:t xml:space="preserve">, I would have said that comparing mean serum CRP levels across survival groups would be the first analysis that comes to mind. It is likely that comparing the geometric means may be more precise than comparing simple means, however it is also more technical and requires more careful interpretation of the results due to it logarithmic nature. Comparing survival estimates between groups with low and high serum CRP levels would yield some useful results as it would become quickly apparent (just from looking at the Kaplan-Meier curve) that serum CRP levels are associated with survival. The problem with this, however, is that it requires that a continuous variable (i.e. serum CRP levels) is broken down into two categories, which results in some loss of precision. </w:t>
      </w:r>
      <w:r>
        <w:br/>
      </w:r>
      <w:r>
        <w:br/>
      </w:r>
      <w:r>
        <w:br/>
      </w:r>
      <w:r>
        <w:br/>
      </w:r>
    </w:p>
    <w:sectPr w:rsidR="0067540B" w:rsidSect="006464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67540B" w:rsidRDefault="0067540B">
      <w:pPr>
        <w:pStyle w:val="CommentText"/>
      </w:pPr>
      <w:r>
        <w:rPr>
          <w:rStyle w:val="CommentReference"/>
        </w:rPr>
        <w:annotationRef/>
      </w:r>
      <w:r>
        <w:t xml:space="preserve">Final Score 4/10 </w:t>
      </w:r>
    </w:p>
    <w:p w:rsidR="0067540B" w:rsidRDefault="0067540B" w:rsidP="008E57EB">
      <w:pPr>
        <w:pStyle w:val="CommentText"/>
      </w:pPr>
      <w:bookmarkStart w:id="1" w:name="_GoBack"/>
      <w:r>
        <w:t xml:space="preserve">- 1 point:  You have not explicitly mentioned how you handled the zero values for CRP prior to the log transformation.  Your numbers of individuals in each group do not match the key. I conclude you did not retain people who had crp=0 in your analysis. </w:t>
      </w:r>
    </w:p>
    <w:p w:rsidR="0067540B" w:rsidRDefault="0067540B">
      <w:pPr>
        <w:pStyle w:val="CommentText"/>
      </w:pPr>
    </w:p>
    <w:p w:rsidR="0067540B" w:rsidRDefault="0067540B">
      <w:pPr>
        <w:pStyle w:val="CommentText"/>
      </w:pPr>
      <w:r>
        <w:t xml:space="preserve">-1 point: The p-value should never be reported as p=0.0000.  Values such as this should be p= &lt; 0.0001.  </w:t>
      </w:r>
    </w:p>
    <w:p w:rsidR="0067540B" w:rsidRDefault="0067540B">
      <w:pPr>
        <w:pStyle w:val="CommentText"/>
      </w:pPr>
    </w:p>
    <w:p w:rsidR="0067540B" w:rsidRDefault="0067540B">
      <w:pPr>
        <w:pStyle w:val="CommentText"/>
      </w:pPr>
      <w:r>
        <w:t>Starting score 8/10. Then since  the wording on this question is too similar to the wording from last year’s key. Per the email from Scott, your final score is ½ the points you would have otherwise earned. (The inconsistencies regarding vital status and t years and death in 4 years is a large indicator that you did cut and paste.)</w:t>
      </w:r>
      <w:bookmarkEnd w:id="1"/>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40B" w:rsidRDefault="0067540B" w:rsidP="00EF3868">
      <w:pPr>
        <w:spacing w:after="0" w:line="240" w:lineRule="auto"/>
      </w:pPr>
      <w:r>
        <w:separator/>
      </w:r>
    </w:p>
  </w:endnote>
  <w:endnote w:type="continuationSeparator" w:id="0">
    <w:p w:rsidR="0067540B" w:rsidRDefault="0067540B" w:rsidP="00EF3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0B" w:rsidRDefault="00675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0B" w:rsidRDefault="006754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0B" w:rsidRDefault="00675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40B" w:rsidRDefault="0067540B" w:rsidP="00EF3868">
      <w:pPr>
        <w:spacing w:after="0" w:line="240" w:lineRule="auto"/>
      </w:pPr>
      <w:r>
        <w:separator/>
      </w:r>
    </w:p>
  </w:footnote>
  <w:footnote w:type="continuationSeparator" w:id="0">
    <w:p w:rsidR="0067540B" w:rsidRDefault="0067540B" w:rsidP="00EF3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0B" w:rsidRDefault="00675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0B" w:rsidRDefault="006754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0B" w:rsidRDefault="00675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E60"/>
    <w:multiLevelType w:val="hybridMultilevel"/>
    <w:tmpl w:val="67DCC1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C749EB"/>
    <w:multiLevelType w:val="hybridMultilevel"/>
    <w:tmpl w:val="F9A4A008"/>
    <w:lvl w:ilvl="0" w:tplc="466E620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94C47"/>
    <w:multiLevelType w:val="hybridMultilevel"/>
    <w:tmpl w:val="2AC2DB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380"/>
    <w:rsid w:val="000016A0"/>
    <w:rsid w:val="00002529"/>
    <w:rsid w:val="00004339"/>
    <w:rsid w:val="00005291"/>
    <w:rsid w:val="00007FFA"/>
    <w:rsid w:val="00012779"/>
    <w:rsid w:val="00014425"/>
    <w:rsid w:val="00014E03"/>
    <w:rsid w:val="00014E6A"/>
    <w:rsid w:val="0001589B"/>
    <w:rsid w:val="0001637A"/>
    <w:rsid w:val="00016E67"/>
    <w:rsid w:val="00017AB2"/>
    <w:rsid w:val="00020607"/>
    <w:rsid w:val="000217A6"/>
    <w:rsid w:val="0002307F"/>
    <w:rsid w:val="00023610"/>
    <w:rsid w:val="000236BA"/>
    <w:rsid w:val="000238F0"/>
    <w:rsid w:val="0002391A"/>
    <w:rsid w:val="00024ABB"/>
    <w:rsid w:val="00030DD4"/>
    <w:rsid w:val="00031819"/>
    <w:rsid w:val="000327A8"/>
    <w:rsid w:val="00033376"/>
    <w:rsid w:val="000344CC"/>
    <w:rsid w:val="000375F5"/>
    <w:rsid w:val="00037698"/>
    <w:rsid w:val="00037A72"/>
    <w:rsid w:val="0004031C"/>
    <w:rsid w:val="000408D8"/>
    <w:rsid w:val="000409AA"/>
    <w:rsid w:val="00041B46"/>
    <w:rsid w:val="00041C39"/>
    <w:rsid w:val="0004216C"/>
    <w:rsid w:val="00042F4E"/>
    <w:rsid w:val="00044144"/>
    <w:rsid w:val="00044BDA"/>
    <w:rsid w:val="00044FF7"/>
    <w:rsid w:val="000458D1"/>
    <w:rsid w:val="000471B1"/>
    <w:rsid w:val="00047A2D"/>
    <w:rsid w:val="00047F94"/>
    <w:rsid w:val="000505B3"/>
    <w:rsid w:val="00053794"/>
    <w:rsid w:val="0005427C"/>
    <w:rsid w:val="0005462E"/>
    <w:rsid w:val="00054925"/>
    <w:rsid w:val="00054F2F"/>
    <w:rsid w:val="00055355"/>
    <w:rsid w:val="00055BCD"/>
    <w:rsid w:val="000562E7"/>
    <w:rsid w:val="00056E9C"/>
    <w:rsid w:val="0005778D"/>
    <w:rsid w:val="00060252"/>
    <w:rsid w:val="0006131C"/>
    <w:rsid w:val="000621FA"/>
    <w:rsid w:val="000629A7"/>
    <w:rsid w:val="000636CF"/>
    <w:rsid w:val="000650E6"/>
    <w:rsid w:val="000676EC"/>
    <w:rsid w:val="00070E88"/>
    <w:rsid w:val="00071663"/>
    <w:rsid w:val="00073458"/>
    <w:rsid w:val="0007401E"/>
    <w:rsid w:val="000760A2"/>
    <w:rsid w:val="000760FB"/>
    <w:rsid w:val="000762B7"/>
    <w:rsid w:val="00077AB1"/>
    <w:rsid w:val="0008116A"/>
    <w:rsid w:val="00081D06"/>
    <w:rsid w:val="00083E3A"/>
    <w:rsid w:val="0008404E"/>
    <w:rsid w:val="000842D5"/>
    <w:rsid w:val="00090297"/>
    <w:rsid w:val="000919ED"/>
    <w:rsid w:val="00091DF6"/>
    <w:rsid w:val="00094370"/>
    <w:rsid w:val="00094FCE"/>
    <w:rsid w:val="00095064"/>
    <w:rsid w:val="0009535E"/>
    <w:rsid w:val="0009541F"/>
    <w:rsid w:val="00096C06"/>
    <w:rsid w:val="000A0246"/>
    <w:rsid w:val="000A12A1"/>
    <w:rsid w:val="000A2AD7"/>
    <w:rsid w:val="000A3213"/>
    <w:rsid w:val="000A3C9D"/>
    <w:rsid w:val="000A5ADC"/>
    <w:rsid w:val="000A6B47"/>
    <w:rsid w:val="000B1396"/>
    <w:rsid w:val="000B1BCD"/>
    <w:rsid w:val="000B2A10"/>
    <w:rsid w:val="000B3506"/>
    <w:rsid w:val="000B39E7"/>
    <w:rsid w:val="000B400C"/>
    <w:rsid w:val="000B46A4"/>
    <w:rsid w:val="000B5403"/>
    <w:rsid w:val="000B60B0"/>
    <w:rsid w:val="000B65D9"/>
    <w:rsid w:val="000B65ED"/>
    <w:rsid w:val="000B6EC3"/>
    <w:rsid w:val="000B794A"/>
    <w:rsid w:val="000C01CF"/>
    <w:rsid w:val="000C49DB"/>
    <w:rsid w:val="000C59B9"/>
    <w:rsid w:val="000C5F7F"/>
    <w:rsid w:val="000D00B1"/>
    <w:rsid w:val="000D01D0"/>
    <w:rsid w:val="000D04DF"/>
    <w:rsid w:val="000D1783"/>
    <w:rsid w:val="000D2C28"/>
    <w:rsid w:val="000D45D5"/>
    <w:rsid w:val="000D4927"/>
    <w:rsid w:val="000D4CF5"/>
    <w:rsid w:val="000D4ED8"/>
    <w:rsid w:val="000D56D6"/>
    <w:rsid w:val="000D610C"/>
    <w:rsid w:val="000D61B4"/>
    <w:rsid w:val="000D6FC7"/>
    <w:rsid w:val="000D705F"/>
    <w:rsid w:val="000D769E"/>
    <w:rsid w:val="000E15A8"/>
    <w:rsid w:val="000E4584"/>
    <w:rsid w:val="000E5223"/>
    <w:rsid w:val="000E6377"/>
    <w:rsid w:val="000E6520"/>
    <w:rsid w:val="000E7A50"/>
    <w:rsid w:val="000E7A6C"/>
    <w:rsid w:val="000E7D28"/>
    <w:rsid w:val="000E7D73"/>
    <w:rsid w:val="000E7EB1"/>
    <w:rsid w:val="000E7FEF"/>
    <w:rsid w:val="000F053F"/>
    <w:rsid w:val="000F1017"/>
    <w:rsid w:val="000F1211"/>
    <w:rsid w:val="000F1BCF"/>
    <w:rsid w:val="000F6CEE"/>
    <w:rsid w:val="00101372"/>
    <w:rsid w:val="00101B80"/>
    <w:rsid w:val="00101E49"/>
    <w:rsid w:val="00103BE2"/>
    <w:rsid w:val="00105201"/>
    <w:rsid w:val="00112E86"/>
    <w:rsid w:val="00113682"/>
    <w:rsid w:val="00115062"/>
    <w:rsid w:val="0011561F"/>
    <w:rsid w:val="0011606B"/>
    <w:rsid w:val="001163A7"/>
    <w:rsid w:val="00116ABD"/>
    <w:rsid w:val="00120202"/>
    <w:rsid w:val="00123471"/>
    <w:rsid w:val="001245B5"/>
    <w:rsid w:val="00124640"/>
    <w:rsid w:val="00124CFF"/>
    <w:rsid w:val="00125350"/>
    <w:rsid w:val="00126F78"/>
    <w:rsid w:val="00131BB6"/>
    <w:rsid w:val="00133F84"/>
    <w:rsid w:val="00134EA5"/>
    <w:rsid w:val="00136760"/>
    <w:rsid w:val="00136D7A"/>
    <w:rsid w:val="0013784A"/>
    <w:rsid w:val="00137EDB"/>
    <w:rsid w:val="00140146"/>
    <w:rsid w:val="001402F7"/>
    <w:rsid w:val="0014123A"/>
    <w:rsid w:val="00142175"/>
    <w:rsid w:val="00143379"/>
    <w:rsid w:val="001440B5"/>
    <w:rsid w:val="001444C9"/>
    <w:rsid w:val="001453ED"/>
    <w:rsid w:val="001463B0"/>
    <w:rsid w:val="00147B89"/>
    <w:rsid w:val="00150BD9"/>
    <w:rsid w:val="00151ACE"/>
    <w:rsid w:val="001528C6"/>
    <w:rsid w:val="00152EB8"/>
    <w:rsid w:val="001536B7"/>
    <w:rsid w:val="00154DD2"/>
    <w:rsid w:val="00156306"/>
    <w:rsid w:val="00156B56"/>
    <w:rsid w:val="00157464"/>
    <w:rsid w:val="001601F0"/>
    <w:rsid w:val="001607EC"/>
    <w:rsid w:val="001613CF"/>
    <w:rsid w:val="00162746"/>
    <w:rsid w:val="00162CA0"/>
    <w:rsid w:val="001630E7"/>
    <w:rsid w:val="00164A09"/>
    <w:rsid w:val="00164C77"/>
    <w:rsid w:val="00167EA5"/>
    <w:rsid w:val="00172EA8"/>
    <w:rsid w:val="0017450B"/>
    <w:rsid w:val="00174658"/>
    <w:rsid w:val="00174C9A"/>
    <w:rsid w:val="0017704C"/>
    <w:rsid w:val="001775EB"/>
    <w:rsid w:val="00180200"/>
    <w:rsid w:val="0018108E"/>
    <w:rsid w:val="00182017"/>
    <w:rsid w:val="0018658F"/>
    <w:rsid w:val="00187059"/>
    <w:rsid w:val="00191FE2"/>
    <w:rsid w:val="001931C1"/>
    <w:rsid w:val="00194C5F"/>
    <w:rsid w:val="00194F67"/>
    <w:rsid w:val="00195BDE"/>
    <w:rsid w:val="001960B7"/>
    <w:rsid w:val="00196B5D"/>
    <w:rsid w:val="00197C7B"/>
    <w:rsid w:val="001A145E"/>
    <w:rsid w:val="001A5431"/>
    <w:rsid w:val="001A61AE"/>
    <w:rsid w:val="001B145F"/>
    <w:rsid w:val="001B1584"/>
    <w:rsid w:val="001B1710"/>
    <w:rsid w:val="001B1B2B"/>
    <w:rsid w:val="001B1BE3"/>
    <w:rsid w:val="001B41C2"/>
    <w:rsid w:val="001B485C"/>
    <w:rsid w:val="001B4C8A"/>
    <w:rsid w:val="001B4E12"/>
    <w:rsid w:val="001B65E5"/>
    <w:rsid w:val="001B6975"/>
    <w:rsid w:val="001B74D1"/>
    <w:rsid w:val="001B7A79"/>
    <w:rsid w:val="001C24DE"/>
    <w:rsid w:val="001C33DB"/>
    <w:rsid w:val="001C3629"/>
    <w:rsid w:val="001C3BC1"/>
    <w:rsid w:val="001C41E8"/>
    <w:rsid w:val="001C44AE"/>
    <w:rsid w:val="001C49C5"/>
    <w:rsid w:val="001C579C"/>
    <w:rsid w:val="001C5D6C"/>
    <w:rsid w:val="001C6BD9"/>
    <w:rsid w:val="001D0887"/>
    <w:rsid w:val="001D0A72"/>
    <w:rsid w:val="001D0B05"/>
    <w:rsid w:val="001D283D"/>
    <w:rsid w:val="001D61C8"/>
    <w:rsid w:val="001D78ED"/>
    <w:rsid w:val="001D79FC"/>
    <w:rsid w:val="001E177A"/>
    <w:rsid w:val="001E1D86"/>
    <w:rsid w:val="001E3A2E"/>
    <w:rsid w:val="001E5B5E"/>
    <w:rsid w:val="001E6933"/>
    <w:rsid w:val="001E78E7"/>
    <w:rsid w:val="001E7A8E"/>
    <w:rsid w:val="001F004B"/>
    <w:rsid w:val="001F1BAD"/>
    <w:rsid w:val="001F24B4"/>
    <w:rsid w:val="001F2626"/>
    <w:rsid w:val="001F31C6"/>
    <w:rsid w:val="001F4651"/>
    <w:rsid w:val="001F6611"/>
    <w:rsid w:val="001F6BA1"/>
    <w:rsid w:val="001F7323"/>
    <w:rsid w:val="001F7E10"/>
    <w:rsid w:val="002014F9"/>
    <w:rsid w:val="0020295F"/>
    <w:rsid w:val="00204917"/>
    <w:rsid w:val="00205009"/>
    <w:rsid w:val="0020514D"/>
    <w:rsid w:val="00210625"/>
    <w:rsid w:val="00210CAD"/>
    <w:rsid w:val="00214C7D"/>
    <w:rsid w:val="002159B5"/>
    <w:rsid w:val="0021644C"/>
    <w:rsid w:val="00217456"/>
    <w:rsid w:val="002174D4"/>
    <w:rsid w:val="00223DA4"/>
    <w:rsid w:val="00224B1A"/>
    <w:rsid w:val="00227064"/>
    <w:rsid w:val="0023083D"/>
    <w:rsid w:val="00231C76"/>
    <w:rsid w:val="00231E4D"/>
    <w:rsid w:val="00232245"/>
    <w:rsid w:val="00234698"/>
    <w:rsid w:val="002349BD"/>
    <w:rsid w:val="00236DEA"/>
    <w:rsid w:val="00241813"/>
    <w:rsid w:val="00243B23"/>
    <w:rsid w:val="00245DA1"/>
    <w:rsid w:val="00247AAB"/>
    <w:rsid w:val="002517D5"/>
    <w:rsid w:val="00251EBD"/>
    <w:rsid w:val="00252632"/>
    <w:rsid w:val="00252D5C"/>
    <w:rsid w:val="00254336"/>
    <w:rsid w:val="00254C22"/>
    <w:rsid w:val="002561D8"/>
    <w:rsid w:val="0025772E"/>
    <w:rsid w:val="0026060A"/>
    <w:rsid w:val="002616AD"/>
    <w:rsid w:val="0026178E"/>
    <w:rsid w:val="00261849"/>
    <w:rsid w:val="00263088"/>
    <w:rsid w:val="00263147"/>
    <w:rsid w:val="002633DA"/>
    <w:rsid w:val="00263F1A"/>
    <w:rsid w:val="0026770E"/>
    <w:rsid w:val="00270224"/>
    <w:rsid w:val="00271618"/>
    <w:rsid w:val="00272F7F"/>
    <w:rsid w:val="002738B7"/>
    <w:rsid w:val="00273DF1"/>
    <w:rsid w:val="00274EBA"/>
    <w:rsid w:val="0027742E"/>
    <w:rsid w:val="002804A0"/>
    <w:rsid w:val="00284C22"/>
    <w:rsid w:val="002875A4"/>
    <w:rsid w:val="00287F27"/>
    <w:rsid w:val="00290136"/>
    <w:rsid w:val="00293DAC"/>
    <w:rsid w:val="002958B5"/>
    <w:rsid w:val="0029745B"/>
    <w:rsid w:val="002A0805"/>
    <w:rsid w:val="002A0B49"/>
    <w:rsid w:val="002A2D05"/>
    <w:rsid w:val="002A2ED6"/>
    <w:rsid w:val="002A476E"/>
    <w:rsid w:val="002A6D4B"/>
    <w:rsid w:val="002B008B"/>
    <w:rsid w:val="002B1DE3"/>
    <w:rsid w:val="002B51D7"/>
    <w:rsid w:val="002B5CEF"/>
    <w:rsid w:val="002B5D96"/>
    <w:rsid w:val="002B730A"/>
    <w:rsid w:val="002C4E51"/>
    <w:rsid w:val="002C5107"/>
    <w:rsid w:val="002C57A1"/>
    <w:rsid w:val="002C7D77"/>
    <w:rsid w:val="002D200E"/>
    <w:rsid w:val="002D26A2"/>
    <w:rsid w:val="002D27E7"/>
    <w:rsid w:val="002D4AE1"/>
    <w:rsid w:val="002D5094"/>
    <w:rsid w:val="002D5F56"/>
    <w:rsid w:val="002D7453"/>
    <w:rsid w:val="002E0992"/>
    <w:rsid w:val="002E49B4"/>
    <w:rsid w:val="002E5E41"/>
    <w:rsid w:val="002F0363"/>
    <w:rsid w:val="002F0D34"/>
    <w:rsid w:val="002F30E3"/>
    <w:rsid w:val="002F40F3"/>
    <w:rsid w:val="002F458F"/>
    <w:rsid w:val="002F538D"/>
    <w:rsid w:val="002F57FB"/>
    <w:rsid w:val="00303219"/>
    <w:rsid w:val="00304083"/>
    <w:rsid w:val="00311B68"/>
    <w:rsid w:val="0031339D"/>
    <w:rsid w:val="003149B1"/>
    <w:rsid w:val="00315251"/>
    <w:rsid w:val="00315690"/>
    <w:rsid w:val="003161AA"/>
    <w:rsid w:val="003161EB"/>
    <w:rsid w:val="0032452A"/>
    <w:rsid w:val="0032483B"/>
    <w:rsid w:val="0032555C"/>
    <w:rsid w:val="00327672"/>
    <w:rsid w:val="003304D1"/>
    <w:rsid w:val="00331720"/>
    <w:rsid w:val="00331F8C"/>
    <w:rsid w:val="003326A3"/>
    <w:rsid w:val="00332739"/>
    <w:rsid w:val="00333ED5"/>
    <w:rsid w:val="0033454D"/>
    <w:rsid w:val="003349AC"/>
    <w:rsid w:val="00335FA1"/>
    <w:rsid w:val="00336EEA"/>
    <w:rsid w:val="00336F7D"/>
    <w:rsid w:val="003375D2"/>
    <w:rsid w:val="0034109B"/>
    <w:rsid w:val="003424A1"/>
    <w:rsid w:val="0034391D"/>
    <w:rsid w:val="00343BB6"/>
    <w:rsid w:val="00345034"/>
    <w:rsid w:val="00346480"/>
    <w:rsid w:val="003464C9"/>
    <w:rsid w:val="00347882"/>
    <w:rsid w:val="003479E0"/>
    <w:rsid w:val="00350963"/>
    <w:rsid w:val="00353F17"/>
    <w:rsid w:val="00355334"/>
    <w:rsid w:val="00355397"/>
    <w:rsid w:val="003555DB"/>
    <w:rsid w:val="003577EE"/>
    <w:rsid w:val="003624D8"/>
    <w:rsid w:val="00364002"/>
    <w:rsid w:val="0036454A"/>
    <w:rsid w:val="00367057"/>
    <w:rsid w:val="003675E2"/>
    <w:rsid w:val="00371C15"/>
    <w:rsid w:val="00371EFE"/>
    <w:rsid w:val="00376D48"/>
    <w:rsid w:val="00380203"/>
    <w:rsid w:val="00382369"/>
    <w:rsid w:val="00387A17"/>
    <w:rsid w:val="00390A57"/>
    <w:rsid w:val="0039368B"/>
    <w:rsid w:val="003941EF"/>
    <w:rsid w:val="00394766"/>
    <w:rsid w:val="00394C70"/>
    <w:rsid w:val="00396DE9"/>
    <w:rsid w:val="00396F3F"/>
    <w:rsid w:val="0039785F"/>
    <w:rsid w:val="003A0739"/>
    <w:rsid w:val="003A6347"/>
    <w:rsid w:val="003A70BE"/>
    <w:rsid w:val="003B060D"/>
    <w:rsid w:val="003B0816"/>
    <w:rsid w:val="003B1000"/>
    <w:rsid w:val="003B1AF5"/>
    <w:rsid w:val="003B2524"/>
    <w:rsid w:val="003B273F"/>
    <w:rsid w:val="003B2F87"/>
    <w:rsid w:val="003B3D0E"/>
    <w:rsid w:val="003B3F86"/>
    <w:rsid w:val="003B4883"/>
    <w:rsid w:val="003B7380"/>
    <w:rsid w:val="003C0275"/>
    <w:rsid w:val="003C2B11"/>
    <w:rsid w:val="003C3C91"/>
    <w:rsid w:val="003C40C5"/>
    <w:rsid w:val="003C4F35"/>
    <w:rsid w:val="003C5214"/>
    <w:rsid w:val="003C538F"/>
    <w:rsid w:val="003C7595"/>
    <w:rsid w:val="003C7AA0"/>
    <w:rsid w:val="003D0ABA"/>
    <w:rsid w:val="003D1619"/>
    <w:rsid w:val="003D2A08"/>
    <w:rsid w:val="003D3482"/>
    <w:rsid w:val="003D4B9E"/>
    <w:rsid w:val="003D52CD"/>
    <w:rsid w:val="003D59A2"/>
    <w:rsid w:val="003D6F08"/>
    <w:rsid w:val="003D7EE5"/>
    <w:rsid w:val="003E0049"/>
    <w:rsid w:val="003E174D"/>
    <w:rsid w:val="003E2CDC"/>
    <w:rsid w:val="003E3DF1"/>
    <w:rsid w:val="003E4804"/>
    <w:rsid w:val="003E6517"/>
    <w:rsid w:val="003E72B3"/>
    <w:rsid w:val="003E75D6"/>
    <w:rsid w:val="003F1D6B"/>
    <w:rsid w:val="003F4502"/>
    <w:rsid w:val="003F50E7"/>
    <w:rsid w:val="003F5506"/>
    <w:rsid w:val="003F6167"/>
    <w:rsid w:val="003F6C26"/>
    <w:rsid w:val="00400037"/>
    <w:rsid w:val="004001E3"/>
    <w:rsid w:val="004007B1"/>
    <w:rsid w:val="004018B3"/>
    <w:rsid w:val="004033F8"/>
    <w:rsid w:val="00403548"/>
    <w:rsid w:val="00404D4C"/>
    <w:rsid w:val="004052A2"/>
    <w:rsid w:val="0040570D"/>
    <w:rsid w:val="00406404"/>
    <w:rsid w:val="004068C1"/>
    <w:rsid w:val="00406F23"/>
    <w:rsid w:val="00410A06"/>
    <w:rsid w:val="00410D34"/>
    <w:rsid w:val="00411518"/>
    <w:rsid w:val="00412E40"/>
    <w:rsid w:val="00413B3D"/>
    <w:rsid w:val="004142EF"/>
    <w:rsid w:val="00414C20"/>
    <w:rsid w:val="0041591A"/>
    <w:rsid w:val="0041615A"/>
    <w:rsid w:val="00416A45"/>
    <w:rsid w:val="00420292"/>
    <w:rsid w:val="00421785"/>
    <w:rsid w:val="00422020"/>
    <w:rsid w:val="004228B2"/>
    <w:rsid w:val="0042516F"/>
    <w:rsid w:val="00425E36"/>
    <w:rsid w:val="00425F07"/>
    <w:rsid w:val="00427A68"/>
    <w:rsid w:val="004335F2"/>
    <w:rsid w:val="00434613"/>
    <w:rsid w:val="00434629"/>
    <w:rsid w:val="00435B4E"/>
    <w:rsid w:val="004366B5"/>
    <w:rsid w:val="00440866"/>
    <w:rsid w:val="0044240E"/>
    <w:rsid w:val="004424E4"/>
    <w:rsid w:val="00444D61"/>
    <w:rsid w:val="004500FA"/>
    <w:rsid w:val="00450182"/>
    <w:rsid w:val="00450E91"/>
    <w:rsid w:val="0045283C"/>
    <w:rsid w:val="00452876"/>
    <w:rsid w:val="00454051"/>
    <w:rsid w:val="00455C63"/>
    <w:rsid w:val="00461079"/>
    <w:rsid w:val="004613C1"/>
    <w:rsid w:val="00461AE6"/>
    <w:rsid w:val="00463A76"/>
    <w:rsid w:val="00465A8F"/>
    <w:rsid w:val="00466155"/>
    <w:rsid w:val="00466F05"/>
    <w:rsid w:val="0046726C"/>
    <w:rsid w:val="004704D4"/>
    <w:rsid w:val="0047465E"/>
    <w:rsid w:val="00475002"/>
    <w:rsid w:val="00476719"/>
    <w:rsid w:val="00476DAB"/>
    <w:rsid w:val="00477291"/>
    <w:rsid w:val="004773EF"/>
    <w:rsid w:val="00481DAC"/>
    <w:rsid w:val="004826D7"/>
    <w:rsid w:val="00483C5C"/>
    <w:rsid w:val="00484A19"/>
    <w:rsid w:val="004871B5"/>
    <w:rsid w:val="00487609"/>
    <w:rsid w:val="00490882"/>
    <w:rsid w:val="004924C0"/>
    <w:rsid w:val="00492EC9"/>
    <w:rsid w:val="00494DCF"/>
    <w:rsid w:val="00494E68"/>
    <w:rsid w:val="004950EB"/>
    <w:rsid w:val="004952B7"/>
    <w:rsid w:val="0049694B"/>
    <w:rsid w:val="00497E97"/>
    <w:rsid w:val="004A0D9A"/>
    <w:rsid w:val="004A1D89"/>
    <w:rsid w:val="004A1FF0"/>
    <w:rsid w:val="004A22E9"/>
    <w:rsid w:val="004A2373"/>
    <w:rsid w:val="004A2A10"/>
    <w:rsid w:val="004A2A9E"/>
    <w:rsid w:val="004A3956"/>
    <w:rsid w:val="004A59E6"/>
    <w:rsid w:val="004A6A50"/>
    <w:rsid w:val="004A7BE8"/>
    <w:rsid w:val="004A7EDA"/>
    <w:rsid w:val="004B17DC"/>
    <w:rsid w:val="004B1C3B"/>
    <w:rsid w:val="004B2B12"/>
    <w:rsid w:val="004B369A"/>
    <w:rsid w:val="004B47AE"/>
    <w:rsid w:val="004B5400"/>
    <w:rsid w:val="004B55B0"/>
    <w:rsid w:val="004B55EA"/>
    <w:rsid w:val="004B5958"/>
    <w:rsid w:val="004B749A"/>
    <w:rsid w:val="004C0462"/>
    <w:rsid w:val="004C2F42"/>
    <w:rsid w:val="004C558E"/>
    <w:rsid w:val="004C57E5"/>
    <w:rsid w:val="004C6D3F"/>
    <w:rsid w:val="004D117B"/>
    <w:rsid w:val="004D2654"/>
    <w:rsid w:val="004D2D8C"/>
    <w:rsid w:val="004D3057"/>
    <w:rsid w:val="004D37E5"/>
    <w:rsid w:val="004D3C1D"/>
    <w:rsid w:val="004D4103"/>
    <w:rsid w:val="004D5B54"/>
    <w:rsid w:val="004D5F3B"/>
    <w:rsid w:val="004D63C6"/>
    <w:rsid w:val="004D76C5"/>
    <w:rsid w:val="004E05FA"/>
    <w:rsid w:val="004E0E82"/>
    <w:rsid w:val="004E2634"/>
    <w:rsid w:val="004E2841"/>
    <w:rsid w:val="004E3A46"/>
    <w:rsid w:val="004E3A52"/>
    <w:rsid w:val="004E3BC3"/>
    <w:rsid w:val="004E5948"/>
    <w:rsid w:val="004E6FD0"/>
    <w:rsid w:val="004E7363"/>
    <w:rsid w:val="004E7B62"/>
    <w:rsid w:val="004E7F70"/>
    <w:rsid w:val="004F13BE"/>
    <w:rsid w:val="004F21E4"/>
    <w:rsid w:val="004F4EC8"/>
    <w:rsid w:val="004F52BC"/>
    <w:rsid w:val="00500A59"/>
    <w:rsid w:val="00500E10"/>
    <w:rsid w:val="00502C72"/>
    <w:rsid w:val="00504A0F"/>
    <w:rsid w:val="00504F21"/>
    <w:rsid w:val="0050658B"/>
    <w:rsid w:val="00506F3C"/>
    <w:rsid w:val="00507AEB"/>
    <w:rsid w:val="005115B5"/>
    <w:rsid w:val="00511D72"/>
    <w:rsid w:val="00512B37"/>
    <w:rsid w:val="0051341A"/>
    <w:rsid w:val="00513A7A"/>
    <w:rsid w:val="00513CAB"/>
    <w:rsid w:val="005146BB"/>
    <w:rsid w:val="0051472C"/>
    <w:rsid w:val="0051593C"/>
    <w:rsid w:val="00515A7F"/>
    <w:rsid w:val="00515B63"/>
    <w:rsid w:val="00515CF1"/>
    <w:rsid w:val="00517408"/>
    <w:rsid w:val="00520C06"/>
    <w:rsid w:val="00521F80"/>
    <w:rsid w:val="00522187"/>
    <w:rsid w:val="00523A90"/>
    <w:rsid w:val="005275B9"/>
    <w:rsid w:val="00530F07"/>
    <w:rsid w:val="00530F84"/>
    <w:rsid w:val="00531774"/>
    <w:rsid w:val="0053245A"/>
    <w:rsid w:val="0053599E"/>
    <w:rsid w:val="00535A94"/>
    <w:rsid w:val="00537012"/>
    <w:rsid w:val="005407C1"/>
    <w:rsid w:val="00540BD9"/>
    <w:rsid w:val="00540ED8"/>
    <w:rsid w:val="00540F1E"/>
    <w:rsid w:val="00541AB8"/>
    <w:rsid w:val="0054215E"/>
    <w:rsid w:val="005439C8"/>
    <w:rsid w:val="00544383"/>
    <w:rsid w:val="00544C6A"/>
    <w:rsid w:val="005479C0"/>
    <w:rsid w:val="00554AC2"/>
    <w:rsid w:val="0055500E"/>
    <w:rsid w:val="005551E4"/>
    <w:rsid w:val="005559B0"/>
    <w:rsid w:val="00555B77"/>
    <w:rsid w:val="00556CA7"/>
    <w:rsid w:val="00556FB6"/>
    <w:rsid w:val="00557526"/>
    <w:rsid w:val="0056121F"/>
    <w:rsid w:val="00561BAC"/>
    <w:rsid w:val="00561C7A"/>
    <w:rsid w:val="00561F84"/>
    <w:rsid w:val="00562E9E"/>
    <w:rsid w:val="00563163"/>
    <w:rsid w:val="0056447D"/>
    <w:rsid w:val="00564F21"/>
    <w:rsid w:val="00565F02"/>
    <w:rsid w:val="005670CD"/>
    <w:rsid w:val="00570203"/>
    <w:rsid w:val="00570CA2"/>
    <w:rsid w:val="00570CE3"/>
    <w:rsid w:val="00571E43"/>
    <w:rsid w:val="005729C3"/>
    <w:rsid w:val="00572F0E"/>
    <w:rsid w:val="0057436F"/>
    <w:rsid w:val="00575D67"/>
    <w:rsid w:val="00576210"/>
    <w:rsid w:val="00576F45"/>
    <w:rsid w:val="00577856"/>
    <w:rsid w:val="0058054F"/>
    <w:rsid w:val="00582796"/>
    <w:rsid w:val="005827D3"/>
    <w:rsid w:val="00583050"/>
    <w:rsid w:val="00583FCD"/>
    <w:rsid w:val="005851C1"/>
    <w:rsid w:val="005859C1"/>
    <w:rsid w:val="0059362E"/>
    <w:rsid w:val="00593876"/>
    <w:rsid w:val="005942F4"/>
    <w:rsid w:val="00597620"/>
    <w:rsid w:val="00597B79"/>
    <w:rsid w:val="00597F7A"/>
    <w:rsid w:val="005A08EB"/>
    <w:rsid w:val="005A1702"/>
    <w:rsid w:val="005A184A"/>
    <w:rsid w:val="005A1A4C"/>
    <w:rsid w:val="005A3C03"/>
    <w:rsid w:val="005A3E85"/>
    <w:rsid w:val="005A40E3"/>
    <w:rsid w:val="005A5E68"/>
    <w:rsid w:val="005B01AC"/>
    <w:rsid w:val="005B0284"/>
    <w:rsid w:val="005B244F"/>
    <w:rsid w:val="005B2D71"/>
    <w:rsid w:val="005B451A"/>
    <w:rsid w:val="005B4CB2"/>
    <w:rsid w:val="005B70CB"/>
    <w:rsid w:val="005B7DDD"/>
    <w:rsid w:val="005C0052"/>
    <w:rsid w:val="005C2475"/>
    <w:rsid w:val="005C2CA4"/>
    <w:rsid w:val="005C3191"/>
    <w:rsid w:val="005C3620"/>
    <w:rsid w:val="005C3EAF"/>
    <w:rsid w:val="005C441D"/>
    <w:rsid w:val="005C4CAC"/>
    <w:rsid w:val="005C50F4"/>
    <w:rsid w:val="005C5239"/>
    <w:rsid w:val="005C5890"/>
    <w:rsid w:val="005C6689"/>
    <w:rsid w:val="005C71C2"/>
    <w:rsid w:val="005C78B9"/>
    <w:rsid w:val="005C796A"/>
    <w:rsid w:val="005C7A24"/>
    <w:rsid w:val="005D1E49"/>
    <w:rsid w:val="005D284D"/>
    <w:rsid w:val="005D31CE"/>
    <w:rsid w:val="005D3848"/>
    <w:rsid w:val="005D3E49"/>
    <w:rsid w:val="005D5844"/>
    <w:rsid w:val="005D5F66"/>
    <w:rsid w:val="005D71B8"/>
    <w:rsid w:val="005D7753"/>
    <w:rsid w:val="005E1FE1"/>
    <w:rsid w:val="005E2337"/>
    <w:rsid w:val="005E3970"/>
    <w:rsid w:val="005E4ADC"/>
    <w:rsid w:val="005E5550"/>
    <w:rsid w:val="005E58FF"/>
    <w:rsid w:val="005E758B"/>
    <w:rsid w:val="005E767C"/>
    <w:rsid w:val="005F1B3A"/>
    <w:rsid w:val="005F2653"/>
    <w:rsid w:val="005F2EC0"/>
    <w:rsid w:val="005F41BC"/>
    <w:rsid w:val="005F4685"/>
    <w:rsid w:val="005F4A45"/>
    <w:rsid w:val="005F71D4"/>
    <w:rsid w:val="005F7876"/>
    <w:rsid w:val="00600E8A"/>
    <w:rsid w:val="00601DE6"/>
    <w:rsid w:val="006022F1"/>
    <w:rsid w:val="0060315B"/>
    <w:rsid w:val="006038A9"/>
    <w:rsid w:val="00603B19"/>
    <w:rsid w:val="00604D18"/>
    <w:rsid w:val="00605114"/>
    <w:rsid w:val="0060623B"/>
    <w:rsid w:val="00606AD2"/>
    <w:rsid w:val="00607A54"/>
    <w:rsid w:val="006100B7"/>
    <w:rsid w:val="00611D80"/>
    <w:rsid w:val="00612562"/>
    <w:rsid w:val="006125F0"/>
    <w:rsid w:val="0061434C"/>
    <w:rsid w:val="0061524A"/>
    <w:rsid w:val="00616CEE"/>
    <w:rsid w:val="006176CA"/>
    <w:rsid w:val="00620172"/>
    <w:rsid w:val="006209E7"/>
    <w:rsid w:val="00621523"/>
    <w:rsid w:val="006227C6"/>
    <w:rsid w:val="00622F5F"/>
    <w:rsid w:val="0062309D"/>
    <w:rsid w:val="0062359D"/>
    <w:rsid w:val="0062446B"/>
    <w:rsid w:val="00625E91"/>
    <w:rsid w:val="006260D0"/>
    <w:rsid w:val="00630AC7"/>
    <w:rsid w:val="00632592"/>
    <w:rsid w:val="006347FB"/>
    <w:rsid w:val="0063670C"/>
    <w:rsid w:val="00642F91"/>
    <w:rsid w:val="0064366D"/>
    <w:rsid w:val="00643702"/>
    <w:rsid w:val="00644B91"/>
    <w:rsid w:val="0064640F"/>
    <w:rsid w:val="006469B8"/>
    <w:rsid w:val="00646E4B"/>
    <w:rsid w:val="0064723D"/>
    <w:rsid w:val="00650995"/>
    <w:rsid w:val="006511CF"/>
    <w:rsid w:val="00651CC6"/>
    <w:rsid w:val="00654C5D"/>
    <w:rsid w:val="00655329"/>
    <w:rsid w:val="006558FD"/>
    <w:rsid w:val="006564E7"/>
    <w:rsid w:val="00656D94"/>
    <w:rsid w:val="00657B6A"/>
    <w:rsid w:val="0066130C"/>
    <w:rsid w:val="00661ADF"/>
    <w:rsid w:val="006629E2"/>
    <w:rsid w:val="00663C36"/>
    <w:rsid w:val="00663E04"/>
    <w:rsid w:val="006645C4"/>
    <w:rsid w:val="006656C7"/>
    <w:rsid w:val="00665B09"/>
    <w:rsid w:val="00665E80"/>
    <w:rsid w:val="00671846"/>
    <w:rsid w:val="006720BB"/>
    <w:rsid w:val="0067306C"/>
    <w:rsid w:val="0067540B"/>
    <w:rsid w:val="00677F0C"/>
    <w:rsid w:val="0068129E"/>
    <w:rsid w:val="00684AD3"/>
    <w:rsid w:val="00685803"/>
    <w:rsid w:val="00685F00"/>
    <w:rsid w:val="00686A93"/>
    <w:rsid w:val="00686D00"/>
    <w:rsid w:val="00687856"/>
    <w:rsid w:val="006902BA"/>
    <w:rsid w:val="00690B3A"/>
    <w:rsid w:val="0069134B"/>
    <w:rsid w:val="00692141"/>
    <w:rsid w:val="00692FF3"/>
    <w:rsid w:val="00694767"/>
    <w:rsid w:val="00695101"/>
    <w:rsid w:val="006955D1"/>
    <w:rsid w:val="00695A98"/>
    <w:rsid w:val="00695FFA"/>
    <w:rsid w:val="006A1843"/>
    <w:rsid w:val="006A41B7"/>
    <w:rsid w:val="006A4D30"/>
    <w:rsid w:val="006A569D"/>
    <w:rsid w:val="006A5980"/>
    <w:rsid w:val="006B07B7"/>
    <w:rsid w:val="006B12F7"/>
    <w:rsid w:val="006B36A9"/>
    <w:rsid w:val="006B3C60"/>
    <w:rsid w:val="006B3E9F"/>
    <w:rsid w:val="006B4D4A"/>
    <w:rsid w:val="006B5F8A"/>
    <w:rsid w:val="006B6CB9"/>
    <w:rsid w:val="006B7046"/>
    <w:rsid w:val="006C0EA5"/>
    <w:rsid w:val="006C26B0"/>
    <w:rsid w:val="006C59A2"/>
    <w:rsid w:val="006C657F"/>
    <w:rsid w:val="006C7904"/>
    <w:rsid w:val="006D133A"/>
    <w:rsid w:val="006D3D12"/>
    <w:rsid w:val="006D4707"/>
    <w:rsid w:val="006D5ED8"/>
    <w:rsid w:val="006D7D54"/>
    <w:rsid w:val="006E0087"/>
    <w:rsid w:val="006E00AF"/>
    <w:rsid w:val="006E0774"/>
    <w:rsid w:val="006E11C3"/>
    <w:rsid w:val="006E28DA"/>
    <w:rsid w:val="006E30D7"/>
    <w:rsid w:val="006E4F9E"/>
    <w:rsid w:val="006E6379"/>
    <w:rsid w:val="006E7AA5"/>
    <w:rsid w:val="006E7FC9"/>
    <w:rsid w:val="006F0BD7"/>
    <w:rsid w:val="006F2802"/>
    <w:rsid w:val="006F2FF6"/>
    <w:rsid w:val="006F4649"/>
    <w:rsid w:val="006F468B"/>
    <w:rsid w:val="006F6284"/>
    <w:rsid w:val="006F754F"/>
    <w:rsid w:val="006F7747"/>
    <w:rsid w:val="00700DAC"/>
    <w:rsid w:val="00701A68"/>
    <w:rsid w:val="00702CE5"/>
    <w:rsid w:val="00703084"/>
    <w:rsid w:val="00704BCF"/>
    <w:rsid w:val="007051D5"/>
    <w:rsid w:val="00707346"/>
    <w:rsid w:val="0071021A"/>
    <w:rsid w:val="00710A41"/>
    <w:rsid w:val="00713422"/>
    <w:rsid w:val="007137B5"/>
    <w:rsid w:val="0071409C"/>
    <w:rsid w:val="00714C7F"/>
    <w:rsid w:val="007173FA"/>
    <w:rsid w:val="00717C0F"/>
    <w:rsid w:val="00720D06"/>
    <w:rsid w:val="00722D30"/>
    <w:rsid w:val="0072577D"/>
    <w:rsid w:val="00725DEF"/>
    <w:rsid w:val="007265F1"/>
    <w:rsid w:val="007268B2"/>
    <w:rsid w:val="00726A90"/>
    <w:rsid w:val="007272CA"/>
    <w:rsid w:val="007273AB"/>
    <w:rsid w:val="007305F8"/>
    <w:rsid w:val="007329EB"/>
    <w:rsid w:val="00732FA5"/>
    <w:rsid w:val="007335E6"/>
    <w:rsid w:val="007337B6"/>
    <w:rsid w:val="00734D68"/>
    <w:rsid w:val="00735D65"/>
    <w:rsid w:val="00736E8E"/>
    <w:rsid w:val="007376E8"/>
    <w:rsid w:val="00740A14"/>
    <w:rsid w:val="007410B6"/>
    <w:rsid w:val="007453C9"/>
    <w:rsid w:val="007471A5"/>
    <w:rsid w:val="007505C5"/>
    <w:rsid w:val="0075123F"/>
    <w:rsid w:val="00751403"/>
    <w:rsid w:val="0075293B"/>
    <w:rsid w:val="007529F8"/>
    <w:rsid w:val="007562AA"/>
    <w:rsid w:val="007569E5"/>
    <w:rsid w:val="0076085F"/>
    <w:rsid w:val="0076146A"/>
    <w:rsid w:val="00761B87"/>
    <w:rsid w:val="00761F5E"/>
    <w:rsid w:val="007637EC"/>
    <w:rsid w:val="00763E7E"/>
    <w:rsid w:val="00763FD9"/>
    <w:rsid w:val="007648CD"/>
    <w:rsid w:val="00765383"/>
    <w:rsid w:val="00765B09"/>
    <w:rsid w:val="00766F4C"/>
    <w:rsid w:val="007707A3"/>
    <w:rsid w:val="007712D9"/>
    <w:rsid w:val="007741BC"/>
    <w:rsid w:val="00777604"/>
    <w:rsid w:val="00781262"/>
    <w:rsid w:val="00781356"/>
    <w:rsid w:val="007816A4"/>
    <w:rsid w:val="0078176E"/>
    <w:rsid w:val="0078383D"/>
    <w:rsid w:val="007843FA"/>
    <w:rsid w:val="00785634"/>
    <w:rsid w:val="00786DE7"/>
    <w:rsid w:val="00787FE6"/>
    <w:rsid w:val="00794D5A"/>
    <w:rsid w:val="00795120"/>
    <w:rsid w:val="00795A21"/>
    <w:rsid w:val="007960BF"/>
    <w:rsid w:val="00796269"/>
    <w:rsid w:val="007967A0"/>
    <w:rsid w:val="00796D40"/>
    <w:rsid w:val="007A2CBD"/>
    <w:rsid w:val="007A33FD"/>
    <w:rsid w:val="007A50C1"/>
    <w:rsid w:val="007A6A0B"/>
    <w:rsid w:val="007A6BFE"/>
    <w:rsid w:val="007B0083"/>
    <w:rsid w:val="007B14A8"/>
    <w:rsid w:val="007B1DEB"/>
    <w:rsid w:val="007B29B0"/>
    <w:rsid w:val="007B34F9"/>
    <w:rsid w:val="007B43FB"/>
    <w:rsid w:val="007B5469"/>
    <w:rsid w:val="007B56D6"/>
    <w:rsid w:val="007B56DD"/>
    <w:rsid w:val="007B5853"/>
    <w:rsid w:val="007C05CE"/>
    <w:rsid w:val="007C15CC"/>
    <w:rsid w:val="007C4A6F"/>
    <w:rsid w:val="007C6F87"/>
    <w:rsid w:val="007D1C74"/>
    <w:rsid w:val="007D272D"/>
    <w:rsid w:val="007D2DB2"/>
    <w:rsid w:val="007D39B2"/>
    <w:rsid w:val="007D534F"/>
    <w:rsid w:val="007D5F11"/>
    <w:rsid w:val="007D6086"/>
    <w:rsid w:val="007D6EAF"/>
    <w:rsid w:val="007D736C"/>
    <w:rsid w:val="007E0F41"/>
    <w:rsid w:val="007E146A"/>
    <w:rsid w:val="007E18D0"/>
    <w:rsid w:val="007E2B41"/>
    <w:rsid w:val="007E48A6"/>
    <w:rsid w:val="007E6C89"/>
    <w:rsid w:val="007E7097"/>
    <w:rsid w:val="007E75AF"/>
    <w:rsid w:val="007F0890"/>
    <w:rsid w:val="007F16AB"/>
    <w:rsid w:val="007F440A"/>
    <w:rsid w:val="007F4CFE"/>
    <w:rsid w:val="007F79DA"/>
    <w:rsid w:val="00801892"/>
    <w:rsid w:val="008023DA"/>
    <w:rsid w:val="0080259F"/>
    <w:rsid w:val="0080340F"/>
    <w:rsid w:val="00803825"/>
    <w:rsid w:val="008038FD"/>
    <w:rsid w:val="00803CA6"/>
    <w:rsid w:val="00804B23"/>
    <w:rsid w:val="0080569E"/>
    <w:rsid w:val="0080648C"/>
    <w:rsid w:val="00807108"/>
    <w:rsid w:val="00807B27"/>
    <w:rsid w:val="00810C5E"/>
    <w:rsid w:val="00814CEA"/>
    <w:rsid w:val="0081523C"/>
    <w:rsid w:val="008166CF"/>
    <w:rsid w:val="008168E9"/>
    <w:rsid w:val="00816FE7"/>
    <w:rsid w:val="008209D0"/>
    <w:rsid w:val="008210B9"/>
    <w:rsid w:val="00822B52"/>
    <w:rsid w:val="0082306B"/>
    <w:rsid w:val="00825354"/>
    <w:rsid w:val="008307C6"/>
    <w:rsid w:val="00830E1F"/>
    <w:rsid w:val="00830E73"/>
    <w:rsid w:val="0083254B"/>
    <w:rsid w:val="00834DF4"/>
    <w:rsid w:val="008351A5"/>
    <w:rsid w:val="00836DCD"/>
    <w:rsid w:val="008371DE"/>
    <w:rsid w:val="00840FE4"/>
    <w:rsid w:val="00841623"/>
    <w:rsid w:val="00841788"/>
    <w:rsid w:val="008430FC"/>
    <w:rsid w:val="00845438"/>
    <w:rsid w:val="00845CD7"/>
    <w:rsid w:val="00846048"/>
    <w:rsid w:val="008479B4"/>
    <w:rsid w:val="00850DF4"/>
    <w:rsid w:val="00853394"/>
    <w:rsid w:val="0085402C"/>
    <w:rsid w:val="008543CF"/>
    <w:rsid w:val="008572DB"/>
    <w:rsid w:val="00857B29"/>
    <w:rsid w:val="0086191F"/>
    <w:rsid w:val="008633D1"/>
    <w:rsid w:val="008638E5"/>
    <w:rsid w:val="008650F8"/>
    <w:rsid w:val="00865303"/>
    <w:rsid w:val="0086543D"/>
    <w:rsid w:val="00865E10"/>
    <w:rsid w:val="00866ECF"/>
    <w:rsid w:val="00867553"/>
    <w:rsid w:val="00872BA5"/>
    <w:rsid w:val="00872FC4"/>
    <w:rsid w:val="008731D1"/>
    <w:rsid w:val="008754D7"/>
    <w:rsid w:val="008802A3"/>
    <w:rsid w:val="008837DA"/>
    <w:rsid w:val="00883BFC"/>
    <w:rsid w:val="00886845"/>
    <w:rsid w:val="00886D5E"/>
    <w:rsid w:val="00886D5F"/>
    <w:rsid w:val="00886E2C"/>
    <w:rsid w:val="008878E9"/>
    <w:rsid w:val="00887E74"/>
    <w:rsid w:val="00892BB4"/>
    <w:rsid w:val="008934BF"/>
    <w:rsid w:val="00893B12"/>
    <w:rsid w:val="0089437D"/>
    <w:rsid w:val="00896E73"/>
    <w:rsid w:val="00897011"/>
    <w:rsid w:val="008A083E"/>
    <w:rsid w:val="008A1796"/>
    <w:rsid w:val="008A192F"/>
    <w:rsid w:val="008A26CB"/>
    <w:rsid w:val="008A2DBA"/>
    <w:rsid w:val="008A3CCB"/>
    <w:rsid w:val="008A40EC"/>
    <w:rsid w:val="008A7CA8"/>
    <w:rsid w:val="008A7E5E"/>
    <w:rsid w:val="008B1289"/>
    <w:rsid w:val="008B1A0F"/>
    <w:rsid w:val="008B210A"/>
    <w:rsid w:val="008B3798"/>
    <w:rsid w:val="008B4437"/>
    <w:rsid w:val="008B67BF"/>
    <w:rsid w:val="008B6AFB"/>
    <w:rsid w:val="008B6EAC"/>
    <w:rsid w:val="008C0C6A"/>
    <w:rsid w:val="008C1494"/>
    <w:rsid w:val="008C1AA3"/>
    <w:rsid w:val="008C291B"/>
    <w:rsid w:val="008C31CA"/>
    <w:rsid w:val="008C342F"/>
    <w:rsid w:val="008C6300"/>
    <w:rsid w:val="008C7BEC"/>
    <w:rsid w:val="008C7E89"/>
    <w:rsid w:val="008D0410"/>
    <w:rsid w:val="008D0BE3"/>
    <w:rsid w:val="008D226C"/>
    <w:rsid w:val="008D3A88"/>
    <w:rsid w:val="008D3CA7"/>
    <w:rsid w:val="008D5EEB"/>
    <w:rsid w:val="008D5F1E"/>
    <w:rsid w:val="008D746D"/>
    <w:rsid w:val="008D76B2"/>
    <w:rsid w:val="008E0502"/>
    <w:rsid w:val="008E206C"/>
    <w:rsid w:val="008E20FA"/>
    <w:rsid w:val="008E49F1"/>
    <w:rsid w:val="008E51D2"/>
    <w:rsid w:val="008E52EA"/>
    <w:rsid w:val="008E57EB"/>
    <w:rsid w:val="008E5D60"/>
    <w:rsid w:val="008E69E5"/>
    <w:rsid w:val="008F0C23"/>
    <w:rsid w:val="008F1E42"/>
    <w:rsid w:val="008F26DA"/>
    <w:rsid w:val="008F7454"/>
    <w:rsid w:val="008F7F32"/>
    <w:rsid w:val="00902617"/>
    <w:rsid w:val="00902675"/>
    <w:rsid w:val="00902901"/>
    <w:rsid w:val="0090305C"/>
    <w:rsid w:val="00904378"/>
    <w:rsid w:val="00904A02"/>
    <w:rsid w:val="00907F49"/>
    <w:rsid w:val="009102BE"/>
    <w:rsid w:val="00911185"/>
    <w:rsid w:val="00911DE7"/>
    <w:rsid w:val="00913F59"/>
    <w:rsid w:val="00915043"/>
    <w:rsid w:val="00916C1E"/>
    <w:rsid w:val="009219A1"/>
    <w:rsid w:val="00921CA6"/>
    <w:rsid w:val="0092504F"/>
    <w:rsid w:val="00925427"/>
    <w:rsid w:val="009262E8"/>
    <w:rsid w:val="0093007A"/>
    <w:rsid w:val="009317FE"/>
    <w:rsid w:val="00932C34"/>
    <w:rsid w:val="00935A87"/>
    <w:rsid w:val="00936690"/>
    <w:rsid w:val="00940673"/>
    <w:rsid w:val="00943BEC"/>
    <w:rsid w:val="00944157"/>
    <w:rsid w:val="00945B1B"/>
    <w:rsid w:val="00946060"/>
    <w:rsid w:val="00946BF3"/>
    <w:rsid w:val="00947BFE"/>
    <w:rsid w:val="0095293D"/>
    <w:rsid w:val="00952E84"/>
    <w:rsid w:val="00953376"/>
    <w:rsid w:val="00953DD3"/>
    <w:rsid w:val="00954315"/>
    <w:rsid w:val="0095618A"/>
    <w:rsid w:val="009563E7"/>
    <w:rsid w:val="00956CDF"/>
    <w:rsid w:val="0096140C"/>
    <w:rsid w:val="009628A9"/>
    <w:rsid w:val="00962C3D"/>
    <w:rsid w:val="00962CC1"/>
    <w:rsid w:val="00963BB7"/>
    <w:rsid w:val="00964434"/>
    <w:rsid w:val="0096759D"/>
    <w:rsid w:val="009679E9"/>
    <w:rsid w:val="009706E1"/>
    <w:rsid w:val="009708D8"/>
    <w:rsid w:val="0097098D"/>
    <w:rsid w:val="009712E4"/>
    <w:rsid w:val="00971A64"/>
    <w:rsid w:val="009721C9"/>
    <w:rsid w:val="00972BAA"/>
    <w:rsid w:val="009730D7"/>
    <w:rsid w:val="009735C1"/>
    <w:rsid w:val="0097488A"/>
    <w:rsid w:val="00974B73"/>
    <w:rsid w:val="00974BB7"/>
    <w:rsid w:val="00974DAD"/>
    <w:rsid w:val="009754DB"/>
    <w:rsid w:val="00975EEB"/>
    <w:rsid w:val="00975F09"/>
    <w:rsid w:val="0097602B"/>
    <w:rsid w:val="00976877"/>
    <w:rsid w:val="0097794E"/>
    <w:rsid w:val="009801F0"/>
    <w:rsid w:val="009811BD"/>
    <w:rsid w:val="00982C66"/>
    <w:rsid w:val="00983359"/>
    <w:rsid w:val="00983B8E"/>
    <w:rsid w:val="00984BA1"/>
    <w:rsid w:val="00984BFA"/>
    <w:rsid w:val="0098503B"/>
    <w:rsid w:val="00986339"/>
    <w:rsid w:val="00986681"/>
    <w:rsid w:val="00987C58"/>
    <w:rsid w:val="009911C0"/>
    <w:rsid w:val="00991803"/>
    <w:rsid w:val="0099276B"/>
    <w:rsid w:val="00992B39"/>
    <w:rsid w:val="00993AE8"/>
    <w:rsid w:val="00994020"/>
    <w:rsid w:val="00994CFA"/>
    <w:rsid w:val="009960C7"/>
    <w:rsid w:val="009A1472"/>
    <w:rsid w:val="009A176E"/>
    <w:rsid w:val="009A2944"/>
    <w:rsid w:val="009A3062"/>
    <w:rsid w:val="009A3069"/>
    <w:rsid w:val="009A30C1"/>
    <w:rsid w:val="009A48AA"/>
    <w:rsid w:val="009A4BD2"/>
    <w:rsid w:val="009A4D65"/>
    <w:rsid w:val="009A5060"/>
    <w:rsid w:val="009A6369"/>
    <w:rsid w:val="009B5346"/>
    <w:rsid w:val="009C1E66"/>
    <w:rsid w:val="009C33F8"/>
    <w:rsid w:val="009C3C09"/>
    <w:rsid w:val="009C4CB3"/>
    <w:rsid w:val="009C5DCC"/>
    <w:rsid w:val="009C7864"/>
    <w:rsid w:val="009D24E3"/>
    <w:rsid w:val="009D4DE3"/>
    <w:rsid w:val="009D5050"/>
    <w:rsid w:val="009D50DB"/>
    <w:rsid w:val="009D7384"/>
    <w:rsid w:val="009E0904"/>
    <w:rsid w:val="009E279F"/>
    <w:rsid w:val="009E32E9"/>
    <w:rsid w:val="009E506E"/>
    <w:rsid w:val="009E535E"/>
    <w:rsid w:val="009E5D7B"/>
    <w:rsid w:val="009E642C"/>
    <w:rsid w:val="009E69C1"/>
    <w:rsid w:val="009E6D37"/>
    <w:rsid w:val="009E77A6"/>
    <w:rsid w:val="009E77B3"/>
    <w:rsid w:val="009E7A71"/>
    <w:rsid w:val="009E7C15"/>
    <w:rsid w:val="009F0E85"/>
    <w:rsid w:val="009F2A62"/>
    <w:rsid w:val="009F4FAA"/>
    <w:rsid w:val="009F50FD"/>
    <w:rsid w:val="009F550B"/>
    <w:rsid w:val="009F5B87"/>
    <w:rsid w:val="009F75A4"/>
    <w:rsid w:val="00A00B78"/>
    <w:rsid w:val="00A016E7"/>
    <w:rsid w:val="00A02D46"/>
    <w:rsid w:val="00A03E2B"/>
    <w:rsid w:val="00A04567"/>
    <w:rsid w:val="00A04BB2"/>
    <w:rsid w:val="00A04C9D"/>
    <w:rsid w:val="00A0550A"/>
    <w:rsid w:val="00A0631E"/>
    <w:rsid w:val="00A07545"/>
    <w:rsid w:val="00A1221E"/>
    <w:rsid w:val="00A1309A"/>
    <w:rsid w:val="00A13B19"/>
    <w:rsid w:val="00A14FB3"/>
    <w:rsid w:val="00A1540A"/>
    <w:rsid w:val="00A169D8"/>
    <w:rsid w:val="00A20DAD"/>
    <w:rsid w:val="00A21151"/>
    <w:rsid w:val="00A2123E"/>
    <w:rsid w:val="00A22597"/>
    <w:rsid w:val="00A2340D"/>
    <w:rsid w:val="00A241B6"/>
    <w:rsid w:val="00A24B67"/>
    <w:rsid w:val="00A2595C"/>
    <w:rsid w:val="00A26537"/>
    <w:rsid w:val="00A2714E"/>
    <w:rsid w:val="00A30228"/>
    <w:rsid w:val="00A30692"/>
    <w:rsid w:val="00A30BEE"/>
    <w:rsid w:val="00A3269E"/>
    <w:rsid w:val="00A33AAC"/>
    <w:rsid w:val="00A35C3B"/>
    <w:rsid w:val="00A3726C"/>
    <w:rsid w:val="00A403F9"/>
    <w:rsid w:val="00A40417"/>
    <w:rsid w:val="00A40EB7"/>
    <w:rsid w:val="00A43425"/>
    <w:rsid w:val="00A43618"/>
    <w:rsid w:val="00A466FF"/>
    <w:rsid w:val="00A479F7"/>
    <w:rsid w:val="00A47C6C"/>
    <w:rsid w:val="00A531C0"/>
    <w:rsid w:val="00A54735"/>
    <w:rsid w:val="00A55AAA"/>
    <w:rsid w:val="00A57538"/>
    <w:rsid w:val="00A57E54"/>
    <w:rsid w:val="00A61302"/>
    <w:rsid w:val="00A615E8"/>
    <w:rsid w:val="00A61AFA"/>
    <w:rsid w:val="00A621AC"/>
    <w:rsid w:val="00A62520"/>
    <w:rsid w:val="00A63D31"/>
    <w:rsid w:val="00A645F5"/>
    <w:rsid w:val="00A64AC4"/>
    <w:rsid w:val="00A66977"/>
    <w:rsid w:val="00A70D48"/>
    <w:rsid w:val="00A71CEF"/>
    <w:rsid w:val="00A72070"/>
    <w:rsid w:val="00A72A86"/>
    <w:rsid w:val="00A7428F"/>
    <w:rsid w:val="00A74C4D"/>
    <w:rsid w:val="00A76B5B"/>
    <w:rsid w:val="00A773F4"/>
    <w:rsid w:val="00A7792A"/>
    <w:rsid w:val="00A77A57"/>
    <w:rsid w:val="00A80BC5"/>
    <w:rsid w:val="00A81E95"/>
    <w:rsid w:val="00A81FFF"/>
    <w:rsid w:val="00A82AAB"/>
    <w:rsid w:val="00A83204"/>
    <w:rsid w:val="00A84986"/>
    <w:rsid w:val="00A85104"/>
    <w:rsid w:val="00A86D0A"/>
    <w:rsid w:val="00A87360"/>
    <w:rsid w:val="00A87848"/>
    <w:rsid w:val="00A91370"/>
    <w:rsid w:val="00A92F34"/>
    <w:rsid w:val="00A93022"/>
    <w:rsid w:val="00A93348"/>
    <w:rsid w:val="00A9423B"/>
    <w:rsid w:val="00A943B0"/>
    <w:rsid w:val="00A96EF0"/>
    <w:rsid w:val="00A976F2"/>
    <w:rsid w:val="00AA09CD"/>
    <w:rsid w:val="00AA3174"/>
    <w:rsid w:val="00AA3A0E"/>
    <w:rsid w:val="00AA41DE"/>
    <w:rsid w:val="00AA4870"/>
    <w:rsid w:val="00AA6165"/>
    <w:rsid w:val="00AA6FCE"/>
    <w:rsid w:val="00AB08AE"/>
    <w:rsid w:val="00AB13DE"/>
    <w:rsid w:val="00AB1524"/>
    <w:rsid w:val="00AB4A1E"/>
    <w:rsid w:val="00AB4B9A"/>
    <w:rsid w:val="00AB5EA9"/>
    <w:rsid w:val="00AC0214"/>
    <w:rsid w:val="00AC0736"/>
    <w:rsid w:val="00AC3525"/>
    <w:rsid w:val="00AC3FC7"/>
    <w:rsid w:val="00AC5A99"/>
    <w:rsid w:val="00AC5B4C"/>
    <w:rsid w:val="00AD1286"/>
    <w:rsid w:val="00AD14BB"/>
    <w:rsid w:val="00AD19C0"/>
    <w:rsid w:val="00AD25E7"/>
    <w:rsid w:val="00AD2C2F"/>
    <w:rsid w:val="00AD2E08"/>
    <w:rsid w:val="00AD34C4"/>
    <w:rsid w:val="00AD3634"/>
    <w:rsid w:val="00AD3710"/>
    <w:rsid w:val="00AD4465"/>
    <w:rsid w:val="00AD5865"/>
    <w:rsid w:val="00AD5F79"/>
    <w:rsid w:val="00AD7FD8"/>
    <w:rsid w:val="00AE058A"/>
    <w:rsid w:val="00AE1153"/>
    <w:rsid w:val="00AE4D09"/>
    <w:rsid w:val="00AE5505"/>
    <w:rsid w:val="00AE6107"/>
    <w:rsid w:val="00AE7945"/>
    <w:rsid w:val="00AE7D4A"/>
    <w:rsid w:val="00AF04F6"/>
    <w:rsid w:val="00AF174D"/>
    <w:rsid w:val="00AF34B0"/>
    <w:rsid w:val="00AF4062"/>
    <w:rsid w:val="00AF7FDB"/>
    <w:rsid w:val="00B00275"/>
    <w:rsid w:val="00B023A1"/>
    <w:rsid w:val="00B0299A"/>
    <w:rsid w:val="00B0511F"/>
    <w:rsid w:val="00B07D42"/>
    <w:rsid w:val="00B103D7"/>
    <w:rsid w:val="00B1270A"/>
    <w:rsid w:val="00B13751"/>
    <w:rsid w:val="00B15E1F"/>
    <w:rsid w:val="00B1630F"/>
    <w:rsid w:val="00B16487"/>
    <w:rsid w:val="00B164D7"/>
    <w:rsid w:val="00B1755E"/>
    <w:rsid w:val="00B178A7"/>
    <w:rsid w:val="00B17E27"/>
    <w:rsid w:val="00B2160F"/>
    <w:rsid w:val="00B225A0"/>
    <w:rsid w:val="00B229ED"/>
    <w:rsid w:val="00B313CD"/>
    <w:rsid w:val="00B316C6"/>
    <w:rsid w:val="00B360C2"/>
    <w:rsid w:val="00B366B6"/>
    <w:rsid w:val="00B367D0"/>
    <w:rsid w:val="00B40235"/>
    <w:rsid w:val="00B41151"/>
    <w:rsid w:val="00B421AE"/>
    <w:rsid w:val="00B42705"/>
    <w:rsid w:val="00B43896"/>
    <w:rsid w:val="00B438F5"/>
    <w:rsid w:val="00B45912"/>
    <w:rsid w:val="00B4601A"/>
    <w:rsid w:val="00B50E74"/>
    <w:rsid w:val="00B5119D"/>
    <w:rsid w:val="00B52FF7"/>
    <w:rsid w:val="00B5417C"/>
    <w:rsid w:val="00B557A8"/>
    <w:rsid w:val="00B55E74"/>
    <w:rsid w:val="00B56B86"/>
    <w:rsid w:val="00B56D5A"/>
    <w:rsid w:val="00B57C71"/>
    <w:rsid w:val="00B62B4C"/>
    <w:rsid w:val="00B64E42"/>
    <w:rsid w:val="00B66B05"/>
    <w:rsid w:val="00B673A8"/>
    <w:rsid w:val="00B67EFC"/>
    <w:rsid w:val="00B70B33"/>
    <w:rsid w:val="00B70F38"/>
    <w:rsid w:val="00B71839"/>
    <w:rsid w:val="00B72291"/>
    <w:rsid w:val="00B72583"/>
    <w:rsid w:val="00B7395D"/>
    <w:rsid w:val="00B752BE"/>
    <w:rsid w:val="00B7695F"/>
    <w:rsid w:val="00B76F2D"/>
    <w:rsid w:val="00B7751A"/>
    <w:rsid w:val="00B80170"/>
    <w:rsid w:val="00B81697"/>
    <w:rsid w:val="00B83628"/>
    <w:rsid w:val="00B83B79"/>
    <w:rsid w:val="00B845F1"/>
    <w:rsid w:val="00B84C87"/>
    <w:rsid w:val="00B85DC7"/>
    <w:rsid w:val="00B86F68"/>
    <w:rsid w:val="00B87053"/>
    <w:rsid w:val="00B878AD"/>
    <w:rsid w:val="00B91011"/>
    <w:rsid w:val="00B91632"/>
    <w:rsid w:val="00B9292B"/>
    <w:rsid w:val="00B94711"/>
    <w:rsid w:val="00B94D2F"/>
    <w:rsid w:val="00B963CC"/>
    <w:rsid w:val="00B96AAB"/>
    <w:rsid w:val="00B9726C"/>
    <w:rsid w:val="00B97D40"/>
    <w:rsid w:val="00BA124D"/>
    <w:rsid w:val="00BA2120"/>
    <w:rsid w:val="00BA2278"/>
    <w:rsid w:val="00BA2344"/>
    <w:rsid w:val="00BA5F01"/>
    <w:rsid w:val="00BA64DA"/>
    <w:rsid w:val="00BB00E3"/>
    <w:rsid w:val="00BB0BE9"/>
    <w:rsid w:val="00BB14AF"/>
    <w:rsid w:val="00BB27E7"/>
    <w:rsid w:val="00BB2C0E"/>
    <w:rsid w:val="00BB4424"/>
    <w:rsid w:val="00BB47FF"/>
    <w:rsid w:val="00BB4F83"/>
    <w:rsid w:val="00BB51A5"/>
    <w:rsid w:val="00BB5EBB"/>
    <w:rsid w:val="00BB5F90"/>
    <w:rsid w:val="00BB74D0"/>
    <w:rsid w:val="00BB77E3"/>
    <w:rsid w:val="00BB7BC0"/>
    <w:rsid w:val="00BC1A92"/>
    <w:rsid w:val="00BC1C4A"/>
    <w:rsid w:val="00BC2B2B"/>
    <w:rsid w:val="00BC2C7F"/>
    <w:rsid w:val="00BC51FD"/>
    <w:rsid w:val="00BC5EA9"/>
    <w:rsid w:val="00BC66EB"/>
    <w:rsid w:val="00BC75EE"/>
    <w:rsid w:val="00BD029A"/>
    <w:rsid w:val="00BD02E4"/>
    <w:rsid w:val="00BD1602"/>
    <w:rsid w:val="00BD2A75"/>
    <w:rsid w:val="00BD32AD"/>
    <w:rsid w:val="00BD3AE1"/>
    <w:rsid w:val="00BD4197"/>
    <w:rsid w:val="00BD43EF"/>
    <w:rsid w:val="00BD4C15"/>
    <w:rsid w:val="00BD6B10"/>
    <w:rsid w:val="00BE16F8"/>
    <w:rsid w:val="00BE21A5"/>
    <w:rsid w:val="00BE2667"/>
    <w:rsid w:val="00BE296C"/>
    <w:rsid w:val="00BE3589"/>
    <w:rsid w:val="00BE38A6"/>
    <w:rsid w:val="00BE4816"/>
    <w:rsid w:val="00BF0FC8"/>
    <w:rsid w:val="00BF2151"/>
    <w:rsid w:val="00BF2F8D"/>
    <w:rsid w:val="00BF406E"/>
    <w:rsid w:val="00BF410A"/>
    <w:rsid w:val="00BF5230"/>
    <w:rsid w:val="00BF5B37"/>
    <w:rsid w:val="00BF6802"/>
    <w:rsid w:val="00BF76EB"/>
    <w:rsid w:val="00C0181C"/>
    <w:rsid w:val="00C050A7"/>
    <w:rsid w:val="00C06261"/>
    <w:rsid w:val="00C108B9"/>
    <w:rsid w:val="00C10B90"/>
    <w:rsid w:val="00C10BD2"/>
    <w:rsid w:val="00C11771"/>
    <w:rsid w:val="00C13B74"/>
    <w:rsid w:val="00C14E11"/>
    <w:rsid w:val="00C15EEC"/>
    <w:rsid w:val="00C1648E"/>
    <w:rsid w:val="00C16DBF"/>
    <w:rsid w:val="00C17920"/>
    <w:rsid w:val="00C20BC6"/>
    <w:rsid w:val="00C21561"/>
    <w:rsid w:val="00C21E32"/>
    <w:rsid w:val="00C22696"/>
    <w:rsid w:val="00C22AA1"/>
    <w:rsid w:val="00C23234"/>
    <w:rsid w:val="00C23239"/>
    <w:rsid w:val="00C26C64"/>
    <w:rsid w:val="00C27A1D"/>
    <w:rsid w:val="00C27F61"/>
    <w:rsid w:val="00C30185"/>
    <w:rsid w:val="00C30D5B"/>
    <w:rsid w:val="00C31B2B"/>
    <w:rsid w:val="00C31F02"/>
    <w:rsid w:val="00C3228F"/>
    <w:rsid w:val="00C32DD1"/>
    <w:rsid w:val="00C3323E"/>
    <w:rsid w:val="00C33374"/>
    <w:rsid w:val="00C349FF"/>
    <w:rsid w:val="00C41BC9"/>
    <w:rsid w:val="00C4519F"/>
    <w:rsid w:val="00C462E9"/>
    <w:rsid w:val="00C46FF5"/>
    <w:rsid w:val="00C50D77"/>
    <w:rsid w:val="00C50D9B"/>
    <w:rsid w:val="00C53299"/>
    <w:rsid w:val="00C54BAB"/>
    <w:rsid w:val="00C55545"/>
    <w:rsid w:val="00C570B9"/>
    <w:rsid w:val="00C57BE8"/>
    <w:rsid w:val="00C625B8"/>
    <w:rsid w:val="00C630B4"/>
    <w:rsid w:val="00C634DE"/>
    <w:rsid w:val="00C67E2D"/>
    <w:rsid w:val="00C70164"/>
    <w:rsid w:val="00C7116D"/>
    <w:rsid w:val="00C717EB"/>
    <w:rsid w:val="00C7270C"/>
    <w:rsid w:val="00C74413"/>
    <w:rsid w:val="00C748AA"/>
    <w:rsid w:val="00C75CF2"/>
    <w:rsid w:val="00C77F75"/>
    <w:rsid w:val="00C80B50"/>
    <w:rsid w:val="00C8177D"/>
    <w:rsid w:val="00C819A7"/>
    <w:rsid w:val="00C81C30"/>
    <w:rsid w:val="00C8264B"/>
    <w:rsid w:val="00C83915"/>
    <w:rsid w:val="00C84BC9"/>
    <w:rsid w:val="00C87B51"/>
    <w:rsid w:val="00C906AD"/>
    <w:rsid w:val="00C944F0"/>
    <w:rsid w:val="00C94B38"/>
    <w:rsid w:val="00C95822"/>
    <w:rsid w:val="00C96162"/>
    <w:rsid w:val="00C967FA"/>
    <w:rsid w:val="00C96ABF"/>
    <w:rsid w:val="00CA07DF"/>
    <w:rsid w:val="00CA0C56"/>
    <w:rsid w:val="00CA1CB8"/>
    <w:rsid w:val="00CA56B6"/>
    <w:rsid w:val="00CA5DF8"/>
    <w:rsid w:val="00CA6CA3"/>
    <w:rsid w:val="00CA7CB6"/>
    <w:rsid w:val="00CB27C0"/>
    <w:rsid w:val="00CB40C1"/>
    <w:rsid w:val="00CB5579"/>
    <w:rsid w:val="00CB5BC1"/>
    <w:rsid w:val="00CB5D46"/>
    <w:rsid w:val="00CC01D8"/>
    <w:rsid w:val="00CC1296"/>
    <w:rsid w:val="00CC1616"/>
    <w:rsid w:val="00CC1679"/>
    <w:rsid w:val="00CC3707"/>
    <w:rsid w:val="00CC42E5"/>
    <w:rsid w:val="00CC4680"/>
    <w:rsid w:val="00CC4A81"/>
    <w:rsid w:val="00CC4EDC"/>
    <w:rsid w:val="00CC5390"/>
    <w:rsid w:val="00CC6833"/>
    <w:rsid w:val="00CC6FBF"/>
    <w:rsid w:val="00CC71AC"/>
    <w:rsid w:val="00CC7311"/>
    <w:rsid w:val="00CC75D8"/>
    <w:rsid w:val="00CD0793"/>
    <w:rsid w:val="00CD07B0"/>
    <w:rsid w:val="00CD1066"/>
    <w:rsid w:val="00CD1AFD"/>
    <w:rsid w:val="00CD22BC"/>
    <w:rsid w:val="00CD3938"/>
    <w:rsid w:val="00CD535C"/>
    <w:rsid w:val="00CD5E39"/>
    <w:rsid w:val="00CD646A"/>
    <w:rsid w:val="00CD726F"/>
    <w:rsid w:val="00CD7C86"/>
    <w:rsid w:val="00CE13B8"/>
    <w:rsid w:val="00CE1804"/>
    <w:rsid w:val="00CE1AC9"/>
    <w:rsid w:val="00CE45FE"/>
    <w:rsid w:val="00CE4E3D"/>
    <w:rsid w:val="00CE54C8"/>
    <w:rsid w:val="00CE5A11"/>
    <w:rsid w:val="00CE5A46"/>
    <w:rsid w:val="00CF1EB3"/>
    <w:rsid w:val="00CF3B84"/>
    <w:rsid w:val="00CF559A"/>
    <w:rsid w:val="00CF5728"/>
    <w:rsid w:val="00CF63D7"/>
    <w:rsid w:val="00D00BBF"/>
    <w:rsid w:val="00D021AE"/>
    <w:rsid w:val="00D05154"/>
    <w:rsid w:val="00D051E5"/>
    <w:rsid w:val="00D055E0"/>
    <w:rsid w:val="00D0590C"/>
    <w:rsid w:val="00D06201"/>
    <w:rsid w:val="00D06D8F"/>
    <w:rsid w:val="00D0785E"/>
    <w:rsid w:val="00D07F52"/>
    <w:rsid w:val="00D10560"/>
    <w:rsid w:val="00D11129"/>
    <w:rsid w:val="00D11EBB"/>
    <w:rsid w:val="00D1309B"/>
    <w:rsid w:val="00D15A3B"/>
    <w:rsid w:val="00D16164"/>
    <w:rsid w:val="00D172AD"/>
    <w:rsid w:val="00D17C0B"/>
    <w:rsid w:val="00D20735"/>
    <w:rsid w:val="00D233AE"/>
    <w:rsid w:val="00D23803"/>
    <w:rsid w:val="00D2798D"/>
    <w:rsid w:val="00D305B9"/>
    <w:rsid w:val="00D307A2"/>
    <w:rsid w:val="00D30AC7"/>
    <w:rsid w:val="00D31A1B"/>
    <w:rsid w:val="00D31FA0"/>
    <w:rsid w:val="00D32E81"/>
    <w:rsid w:val="00D33177"/>
    <w:rsid w:val="00D341C0"/>
    <w:rsid w:val="00D36174"/>
    <w:rsid w:val="00D36518"/>
    <w:rsid w:val="00D37875"/>
    <w:rsid w:val="00D37DFC"/>
    <w:rsid w:val="00D422B1"/>
    <w:rsid w:val="00D42A8E"/>
    <w:rsid w:val="00D42DBE"/>
    <w:rsid w:val="00D4305D"/>
    <w:rsid w:val="00D4359C"/>
    <w:rsid w:val="00D436F9"/>
    <w:rsid w:val="00D43ED3"/>
    <w:rsid w:val="00D45730"/>
    <w:rsid w:val="00D46CEF"/>
    <w:rsid w:val="00D5256D"/>
    <w:rsid w:val="00D52588"/>
    <w:rsid w:val="00D53614"/>
    <w:rsid w:val="00D544E6"/>
    <w:rsid w:val="00D55D11"/>
    <w:rsid w:val="00D60526"/>
    <w:rsid w:val="00D61081"/>
    <w:rsid w:val="00D61FDB"/>
    <w:rsid w:val="00D62BEC"/>
    <w:rsid w:val="00D6355C"/>
    <w:rsid w:val="00D63EA7"/>
    <w:rsid w:val="00D642EB"/>
    <w:rsid w:val="00D6476E"/>
    <w:rsid w:val="00D65708"/>
    <w:rsid w:val="00D657C6"/>
    <w:rsid w:val="00D65D60"/>
    <w:rsid w:val="00D70A1F"/>
    <w:rsid w:val="00D739E5"/>
    <w:rsid w:val="00D73A7D"/>
    <w:rsid w:val="00D74277"/>
    <w:rsid w:val="00D7609E"/>
    <w:rsid w:val="00D8045D"/>
    <w:rsid w:val="00D80F3B"/>
    <w:rsid w:val="00D81F22"/>
    <w:rsid w:val="00D8381F"/>
    <w:rsid w:val="00D8474A"/>
    <w:rsid w:val="00D84A01"/>
    <w:rsid w:val="00D85D5D"/>
    <w:rsid w:val="00D870B0"/>
    <w:rsid w:val="00D90C92"/>
    <w:rsid w:val="00D91E83"/>
    <w:rsid w:val="00D91ED6"/>
    <w:rsid w:val="00D923FC"/>
    <w:rsid w:val="00D930CD"/>
    <w:rsid w:val="00D93D87"/>
    <w:rsid w:val="00D941CD"/>
    <w:rsid w:val="00D96F63"/>
    <w:rsid w:val="00DA40EF"/>
    <w:rsid w:val="00DA4524"/>
    <w:rsid w:val="00DA4E2A"/>
    <w:rsid w:val="00DA523A"/>
    <w:rsid w:val="00DA5A41"/>
    <w:rsid w:val="00DB1B01"/>
    <w:rsid w:val="00DB28ED"/>
    <w:rsid w:val="00DB309E"/>
    <w:rsid w:val="00DB548C"/>
    <w:rsid w:val="00DB581E"/>
    <w:rsid w:val="00DB674B"/>
    <w:rsid w:val="00DC0CA2"/>
    <w:rsid w:val="00DC140D"/>
    <w:rsid w:val="00DC2BAD"/>
    <w:rsid w:val="00DC327B"/>
    <w:rsid w:val="00DC336A"/>
    <w:rsid w:val="00DC4497"/>
    <w:rsid w:val="00DC5F7B"/>
    <w:rsid w:val="00DC6789"/>
    <w:rsid w:val="00DC68F4"/>
    <w:rsid w:val="00DC7906"/>
    <w:rsid w:val="00DC7FD1"/>
    <w:rsid w:val="00DD0BDB"/>
    <w:rsid w:val="00DD1F05"/>
    <w:rsid w:val="00DD227B"/>
    <w:rsid w:val="00DD552C"/>
    <w:rsid w:val="00DD7B19"/>
    <w:rsid w:val="00DE14EE"/>
    <w:rsid w:val="00DE3A68"/>
    <w:rsid w:val="00DE47E9"/>
    <w:rsid w:val="00DF003E"/>
    <w:rsid w:val="00DF107B"/>
    <w:rsid w:val="00DF1D44"/>
    <w:rsid w:val="00DF287B"/>
    <w:rsid w:val="00DF3187"/>
    <w:rsid w:val="00DF5171"/>
    <w:rsid w:val="00DF5C1A"/>
    <w:rsid w:val="00DF6315"/>
    <w:rsid w:val="00DF79CD"/>
    <w:rsid w:val="00E00C9E"/>
    <w:rsid w:val="00E02BA7"/>
    <w:rsid w:val="00E04949"/>
    <w:rsid w:val="00E04FBC"/>
    <w:rsid w:val="00E11C09"/>
    <w:rsid w:val="00E129CA"/>
    <w:rsid w:val="00E13466"/>
    <w:rsid w:val="00E1349B"/>
    <w:rsid w:val="00E1459C"/>
    <w:rsid w:val="00E14663"/>
    <w:rsid w:val="00E154F4"/>
    <w:rsid w:val="00E15EB3"/>
    <w:rsid w:val="00E1760D"/>
    <w:rsid w:val="00E2162D"/>
    <w:rsid w:val="00E21739"/>
    <w:rsid w:val="00E21F64"/>
    <w:rsid w:val="00E226CB"/>
    <w:rsid w:val="00E264F3"/>
    <w:rsid w:val="00E270BC"/>
    <w:rsid w:val="00E308D3"/>
    <w:rsid w:val="00E315C0"/>
    <w:rsid w:val="00E319B1"/>
    <w:rsid w:val="00E31E23"/>
    <w:rsid w:val="00E352C0"/>
    <w:rsid w:val="00E35B0B"/>
    <w:rsid w:val="00E42EE4"/>
    <w:rsid w:val="00E43363"/>
    <w:rsid w:val="00E4440B"/>
    <w:rsid w:val="00E44DB1"/>
    <w:rsid w:val="00E46E52"/>
    <w:rsid w:val="00E47A59"/>
    <w:rsid w:val="00E50542"/>
    <w:rsid w:val="00E50DCB"/>
    <w:rsid w:val="00E5257F"/>
    <w:rsid w:val="00E54AED"/>
    <w:rsid w:val="00E54E53"/>
    <w:rsid w:val="00E56772"/>
    <w:rsid w:val="00E5721D"/>
    <w:rsid w:val="00E579CA"/>
    <w:rsid w:val="00E60121"/>
    <w:rsid w:val="00E607C7"/>
    <w:rsid w:val="00E60B2C"/>
    <w:rsid w:val="00E615B0"/>
    <w:rsid w:val="00E6568C"/>
    <w:rsid w:val="00E67F17"/>
    <w:rsid w:val="00E7037E"/>
    <w:rsid w:val="00E70B5F"/>
    <w:rsid w:val="00E71EA3"/>
    <w:rsid w:val="00E73598"/>
    <w:rsid w:val="00E7389D"/>
    <w:rsid w:val="00E73DD5"/>
    <w:rsid w:val="00E7437B"/>
    <w:rsid w:val="00E755AD"/>
    <w:rsid w:val="00E7674C"/>
    <w:rsid w:val="00E76A4D"/>
    <w:rsid w:val="00E80D25"/>
    <w:rsid w:val="00E80D41"/>
    <w:rsid w:val="00E8187C"/>
    <w:rsid w:val="00E832C7"/>
    <w:rsid w:val="00E8566D"/>
    <w:rsid w:val="00E85E6F"/>
    <w:rsid w:val="00E86DD3"/>
    <w:rsid w:val="00E8796F"/>
    <w:rsid w:val="00E91A49"/>
    <w:rsid w:val="00E924B6"/>
    <w:rsid w:val="00E948A7"/>
    <w:rsid w:val="00EA150B"/>
    <w:rsid w:val="00EA1931"/>
    <w:rsid w:val="00EA223F"/>
    <w:rsid w:val="00EA2820"/>
    <w:rsid w:val="00EA28AD"/>
    <w:rsid w:val="00EA4D7A"/>
    <w:rsid w:val="00EA6362"/>
    <w:rsid w:val="00EA6CBD"/>
    <w:rsid w:val="00EA7E60"/>
    <w:rsid w:val="00EA7EAB"/>
    <w:rsid w:val="00EB0020"/>
    <w:rsid w:val="00EB0C5B"/>
    <w:rsid w:val="00EB156E"/>
    <w:rsid w:val="00EB190D"/>
    <w:rsid w:val="00EB3DBF"/>
    <w:rsid w:val="00EB4624"/>
    <w:rsid w:val="00EB5874"/>
    <w:rsid w:val="00EB59BE"/>
    <w:rsid w:val="00EB608D"/>
    <w:rsid w:val="00EC0864"/>
    <w:rsid w:val="00EC28DC"/>
    <w:rsid w:val="00EC5EFD"/>
    <w:rsid w:val="00EC64A5"/>
    <w:rsid w:val="00EC72B2"/>
    <w:rsid w:val="00EC74B8"/>
    <w:rsid w:val="00ED1E2E"/>
    <w:rsid w:val="00ED506E"/>
    <w:rsid w:val="00ED798D"/>
    <w:rsid w:val="00EE22E5"/>
    <w:rsid w:val="00EE4FAE"/>
    <w:rsid w:val="00EE76CD"/>
    <w:rsid w:val="00EE7752"/>
    <w:rsid w:val="00EF0438"/>
    <w:rsid w:val="00EF07B0"/>
    <w:rsid w:val="00EF1414"/>
    <w:rsid w:val="00EF20E4"/>
    <w:rsid w:val="00EF2FAF"/>
    <w:rsid w:val="00EF3868"/>
    <w:rsid w:val="00EF4735"/>
    <w:rsid w:val="00EF678E"/>
    <w:rsid w:val="00EF6864"/>
    <w:rsid w:val="00F01016"/>
    <w:rsid w:val="00F036F6"/>
    <w:rsid w:val="00F03A85"/>
    <w:rsid w:val="00F04B8B"/>
    <w:rsid w:val="00F04D12"/>
    <w:rsid w:val="00F0684D"/>
    <w:rsid w:val="00F068A2"/>
    <w:rsid w:val="00F06985"/>
    <w:rsid w:val="00F0711C"/>
    <w:rsid w:val="00F07870"/>
    <w:rsid w:val="00F10674"/>
    <w:rsid w:val="00F114DA"/>
    <w:rsid w:val="00F11BB3"/>
    <w:rsid w:val="00F13E7A"/>
    <w:rsid w:val="00F15487"/>
    <w:rsid w:val="00F17748"/>
    <w:rsid w:val="00F20349"/>
    <w:rsid w:val="00F22520"/>
    <w:rsid w:val="00F23119"/>
    <w:rsid w:val="00F24205"/>
    <w:rsid w:val="00F247B3"/>
    <w:rsid w:val="00F26763"/>
    <w:rsid w:val="00F27496"/>
    <w:rsid w:val="00F275F4"/>
    <w:rsid w:val="00F27A65"/>
    <w:rsid w:val="00F3059C"/>
    <w:rsid w:val="00F30DBF"/>
    <w:rsid w:val="00F30E7F"/>
    <w:rsid w:val="00F329B2"/>
    <w:rsid w:val="00F32DD6"/>
    <w:rsid w:val="00F34919"/>
    <w:rsid w:val="00F35291"/>
    <w:rsid w:val="00F353A9"/>
    <w:rsid w:val="00F354C5"/>
    <w:rsid w:val="00F36E80"/>
    <w:rsid w:val="00F3729B"/>
    <w:rsid w:val="00F43963"/>
    <w:rsid w:val="00F4526F"/>
    <w:rsid w:val="00F46593"/>
    <w:rsid w:val="00F46602"/>
    <w:rsid w:val="00F46669"/>
    <w:rsid w:val="00F469B7"/>
    <w:rsid w:val="00F46A92"/>
    <w:rsid w:val="00F51C7A"/>
    <w:rsid w:val="00F52402"/>
    <w:rsid w:val="00F52F91"/>
    <w:rsid w:val="00F54BC3"/>
    <w:rsid w:val="00F5523F"/>
    <w:rsid w:val="00F562DF"/>
    <w:rsid w:val="00F56E32"/>
    <w:rsid w:val="00F57131"/>
    <w:rsid w:val="00F5750E"/>
    <w:rsid w:val="00F57ADB"/>
    <w:rsid w:val="00F60605"/>
    <w:rsid w:val="00F60A08"/>
    <w:rsid w:val="00F65DC8"/>
    <w:rsid w:val="00F66B28"/>
    <w:rsid w:val="00F7060D"/>
    <w:rsid w:val="00F70F60"/>
    <w:rsid w:val="00F729CB"/>
    <w:rsid w:val="00F74333"/>
    <w:rsid w:val="00F7508A"/>
    <w:rsid w:val="00F7552E"/>
    <w:rsid w:val="00F76CFA"/>
    <w:rsid w:val="00F80C28"/>
    <w:rsid w:val="00F81A6D"/>
    <w:rsid w:val="00F82FB2"/>
    <w:rsid w:val="00F83BF2"/>
    <w:rsid w:val="00F86EC3"/>
    <w:rsid w:val="00F872F1"/>
    <w:rsid w:val="00F902F0"/>
    <w:rsid w:val="00F90BEC"/>
    <w:rsid w:val="00F91047"/>
    <w:rsid w:val="00F91A52"/>
    <w:rsid w:val="00F93638"/>
    <w:rsid w:val="00F9456D"/>
    <w:rsid w:val="00F947A0"/>
    <w:rsid w:val="00F961B9"/>
    <w:rsid w:val="00F9783C"/>
    <w:rsid w:val="00FA0E70"/>
    <w:rsid w:val="00FA1FC4"/>
    <w:rsid w:val="00FA2ED2"/>
    <w:rsid w:val="00FA3D09"/>
    <w:rsid w:val="00FA675F"/>
    <w:rsid w:val="00FA7D43"/>
    <w:rsid w:val="00FA7E74"/>
    <w:rsid w:val="00FB0237"/>
    <w:rsid w:val="00FB0CB4"/>
    <w:rsid w:val="00FB189A"/>
    <w:rsid w:val="00FB1FCB"/>
    <w:rsid w:val="00FB4744"/>
    <w:rsid w:val="00FB52F3"/>
    <w:rsid w:val="00FB6E6F"/>
    <w:rsid w:val="00FC0F7A"/>
    <w:rsid w:val="00FC36D2"/>
    <w:rsid w:val="00FC41DA"/>
    <w:rsid w:val="00FC4B34"/>
    <w:rsid w:val="00FC5141"/>
    <w:rsid w:val="00FC71CB"/>
    <w:rsid w:val="00FC75F8"/>
    <w:rsid w:val="00FD0EDA"/>
    <w:rsid w:val="00FD295F"/>
    <w:rsid w:val="00FD387F"/>
    <w:rsid w:val="00FD6928"/>
    <w:rsid w:val="00FD6E66"/>
    <w:rsid w:val="00FD757D"/>
    <w:rsid w:val="00FD7DB5"/>
    <w:rsid w:val="00FE03F6"/>
    <w:rsid w:val="00FE1BC4"/>
    <w:rsid w:val="00FE4F6A"/>
    <w:rsid w:val="00FE7159"/>
    <w:rsid w:val="00FE7530"/>
    <w:rsid w:val="00FE7595"/>
    <w:rsid w:val="00FF0F62"/>
    <w:rsid w:val="00FF1A62"/>
    <w:rsid w:val="00FF2758"/>
    <w:rsid w:val="00FF2F6F"/>
    <w:rsid w:val="00FF3277"/>
    <w:rsid w:val="00FF5A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0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7380"/>
    <w:pPr>
      <w:ind w:left="720"/>
      <w:contextualSpacing/>
    </w:pPr>
  </w:style>
  <w:style w:type="table" w:styleId="TableGrid">
    <w:name w:val="Table Grid"/>
    <w:basedOn w:val="TableNormal"/>
    <w:uiPriority w:val="99"/>
    <w:rsid w:val="00CE13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7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CE3"/>
    <w:rPr>
      <w:rFonts w:ascii="Tahoma" w:hAnsi="Tahoma" w:cs="Tahoma"/>
      <w:sz w:val="16"/>
      <w:szCs w:val="16"/>
    </w:rPr>
  </w:style>
  <w:style w:type="paragraph" w:styleId="Header">
    <w:name w:val="header"/>
    <w:basedOn w:val="Normal"/>
    <w:link w:val="HeaderChar"/>
    <w:uiPriority w:val="99"/>
    <w:rsid w:val="00EF38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3868"/>
    <w:rPr>
      <w:rFonts w:cs="Times New Roman"/>
    </w:rPr>
  </w:style>
  <w:style w:type="paragraph" w:styleId="Footer">
    <w:name w:val="footer"/>
    <w:basedOn w:val="Normal"/>
    <w:link w:val="FooterChar"/>
    <w:uiPriority w:val="99"/>
    <w:rsid w:val="00EF386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3868"/>
    <w:rPr>
      <w:rFonts w:cs="Times New Roman"/>
    </w:rPr>
  </w:style>
  <w:style w:type="character" w:styleId="CommentReference">
    <w:name w:val="annotation reference"/>
    <w:basedOn w:val="DefaultParagraphFont"/>
    <w:uiPriority w:val="99"/>
    <w:semiHidden/>
    <w:rsid w:val="00607A54"/>
    <w:rPr>
      <w:rFonts w:cs="Times New Roman"/>
      <w:sz w:val="16"/>
      <w:szCs w:val="16"/>
    </w:rPr>
  </w:style>
  <w:style w:type="paragraph" w:styleId="CommentText">
    <w:name w:val="annotation text"/>
    <w:basedOn w:val="Normal"/>
    <w:link w:val="CommentTextChar"/>
    <w:uiPriority w:val="99"/>
    <w:semiHidden/>
    <w:rsid w:val="00607A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7A54"/>
    <w:rPr>
      <w:rFonts w:cs="Times New Roman"/>
      <w:sz w:val="20"/>
      <w:szCs w:val="20"/>
    </w:rPr>
  </w:style>
  <w:style w:type="paragraph" w:styleId="CommentSubject">
    <w:name w:val="annotation subject"/>
    <w:basedOn w:val="CommentText"/>
    <w:next w:val="CommentText"/>
    <w:link w:val="CommentSubjectChar"/>
    <w:uiPriority w:val="99"/>
    <w:semiHidden/>
    <w:rsid w:val="00607A54"/>
    <w:rPr>
      <w:b/>
      <w:bCs/>
    </w:rPr>
  </w:style>
  <w:style w:type="character" w:customStyle="1" w:styleId="CommentSubjectChar">
    <w:name w:val="Comment Subject Char"/>
    <w:basedOn w:val="CommentTextChar"/>
    <w:link w:val="CommentSubject"/>
    <w:uiPriority w:val="99"/>
    <w:semiHidden/>
    <w:locked/>
    <w:rsid w:val="00607A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1496</Words>
  <Characters>8533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LaNae Schaal </cp:lastModifiedBy>
  <cp:revision>2</cp:revision>
  <dcterms:created xsi:type="dcterms:W3CDTF">2015-01-20T20:06:00Z</dcterms:created>
  <dcterms:modified xsi:type="dcterms:W3CDTF">2015-02-02T14:58:00Z</dcterms:modified>
</cp:coreProperties>
</file>