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6267A" w14:textId="77777777" w:rsidR="00C93A29" w:rsidRDefault="005053FD" w:rsidP="00A24EFB">
      <w:pPr>
        <w:autoSpaceDE w:val="0"/>
        <w:autoSpaceDN w:val="0"/>
        <w:adjustRightInd w:val="0"/>
        <w:spacing w:after="120"/>
        <w:jc w:val="center"/>
        <w:rPr>
          <w:b/>
          <w:color w:val="000000"/>
          <w:sz w:val="22"/>
          <w:szCs w:val="22"/>
        </w:rPr>
      </w:pPr>
      <w:r>
        <w:rPr>
          <w:b/>
          <w:color w:val="000000"/>
          <w:sz w:val="22"/>
          <w:szCs w:val="22"/>
        </w:rPr>
        <w:t>BIOST</w:t>
      </w:r>
      <w:r w:rsidR="002F0282">
        <w:rPr>
          <w:b/>
          <w:color w:val="000000"/>
          <w:sz w:val="22"/>
          <w:szCs w:val="22"/>
        </w:rPr>
        <w:t xml:space="preserve"> 518</w:t>
      </w:r>
      <w:r>
        <w:rPr>
          <w:b/>
          <w:color w:val="000000"/>
          <w:sz w:val="22"/>
          <w:szCs w:val="22"/>
        </w:rPr>
        <w:t>/515</w:t>
      </w:r>
      <w:r w:rsidR="00C93A29" w:rsidRPr="0036127B">
        <w:rPr>
          <w:b/>
          <w:color w:val="000000"/>
          <w:sz w:val="22"/>
          <w:szCs w:val="22"/>
        </w:rPr>
        <w:t xml:space="preserve">: </w:t>
      </w:r>
      <w:r w:rsidR="002F0282">
        <w:rPr>
          <w:b/>
          <w:color w:val="000000"/>
          <w:sz w:val="22"/>
          <w:szCs w:val="22"/>
        </w:rPr>
        <w:t>Applied Biostatistics II</w:t>
      </w:r>
      <w:r>
        <w:rPr>
          <w:b/>
          <w:color w:val="000000"/>
          <w:sz w:val="22"/>
          <w:szCs w:val="22"/>
        </w:rPr>
        <w:t>/Biostatistics II</w:t>
      </w:r>
    </w:p>
    <w:p w14:paraId="2DAF1B18" w14:textId="77777777" w:rsidR="00C93A29" w:rsidRPr="0036127B" w:rsidRDefault="004D1292" w:rsidP="00A24EFB">
      <w:pPr>
        <w:autoSpaceDE w:val="0"/>
        <w:autoSpaceDN w:val="0"/>
        <w:adjustRightInd w:val="0"/>
        <w:spacing w:after="120"/>
        <w:jc w:val="center"/>
        <w:rPr>
          <w:color w:val="000000"/>
          <w:sz w:val="22"/>
          <w:szCs w:val="22"/>
        </w:rPr>
      </w:pPr>
      <w:r>
        <w:rPr>
          <w:color w:val="000000"/>
          <w:sz w:val="22"/>
          <w:szCs w:val="22"/>
        </w:rPr>
        <w:t xml:space="preserve">Emerson, </w:t>
      </w:r>
      <w:r w:rsidR="00B95181">
        <w:rPr>
          <w:color w:val="000000"/>
          <w:sz w:val="22"/>
          <w:szCs w:val="22"/>
        </w:rPr>
        <w:t>Winter 2015</w:t>
      </w:r>
    </w:p>
    <w:p w14:paraId="31AF3C77" w14:textId="77777777" w:rsidR="00C93A29" w:rsidRPr="0036127B" w:rsidRDefault="00C93A29" w:rsidP="00A24EFB">
      <w:pPr>
        <w:autoSpaceDE w:val="0"/>
        <w:autoSpaceDN w:val="0"/>
        <w:adjustRightInd w:val="0"/>
        <w:spacing w:after="120"/>
        <w:jc w:val="center"/>
        <w:rPr>
          <w:b/>
          <w:color w:val="000000"/>
          <w:sz w:val="22"/>
          <w:szCs w:val="22"/>
        </w:rPr>
      </w:pPr>
    </w:p>
    <w:p w14:paraId="2AAF656B" w14:textId="77777777" w:rsidR="00C93A29" w:rsidRPr="0036127B" w:rsidRDefault="005053FD" w:rsidP="00A24EFB">
      <w:pPr>
        <w:autoSpaceDE w:val="0"/>
        <w:autoSpaceDN w:val="0"/>
        <w:adjustRightInd w:val="0"/>
        <w:spacing w:after="120"/>
        <w:jc w:val="center"/>
        <w:rPr>
          <w:b/>
          <w:color w:val="000000"/>
          <w:sz w:val="22"/>
          <w:szCs w:val="22"/>
        </w:rPr>
      </w:pPr>
      <w:r>
        <w:rPr>
          <w:b/>
          <w:color w:val="000000"/>
          <w:sz w:val="22"/>
          <w:szCs w:val="22"/>
        </w:rPr>
        <w:t>Homework 0</w:t>
      </w:r>
      <w:r w:rsidR="002F0282">
        <w:rPr>
          <w:b/>
          <w:color w:val="000000"/>
          <w:sz w:val="22"/>
          <w:szCs w:val="22"/>
        </w:rPr>
        <w:t>1</w:t>
      </w:r>
    </w:p>
    <w:p w14:paraId="25D27897" w14:textId="77777777" w:rsidR="00C93A29" w:rsidRPr="0036127B" w:rsidRDefault="005053FD" w:rsidP="00A24EFB">
      <w:pPr>
        <w:autoSpaceDE w:val="0"/>
        <w:autoSpaceDN w:val="0"/>
        <w:adjustRightInd w:val="0"/>
        <w:spacing w:after="120"/>
        <w:jc w:val="center"/>
        <w:rPr>
          <w:color w:val="000000"/>
          <w:sz w:val="22"/>
          <w:szCs w:val="22"/>
        </w:rPr>
      </w:pPr>
      <w:r>
        <w:rPr>
          <w:color w:val="000000"/>
          <w:sz w:val="22"/>
          <w:szCs w:val="22"/>
        </w:rPr>
        <w:fldChar w:fldCharType="begin"/>
      </w:r>
      <w:r>
        <w:rPr>
          <w:color w:val="000000"/>
          <w:sz w:val="22"/>
          <w:szCs w:val="22"/>
        </w:rPr>
        <w:instrText xml:space="preserve"> DATE \@ "MMMM d, yyyy" </w:instrText>
      </w:r>
      <w:r>
        <w:rPr>
          <w:color w:val="000000"/>
          <w:sz w:val="22"/>
          <w:szCs w:val="22"/>
        </w:rPr>
        <w:fldChar w:fldCharType="separate"/>
      </w:r>
      <w:r w:rsidR="00E500A9">
        <w:rPr>
          <w:noProof/>
          <w:color w:val="000000"/>
          <w:sz w:val="22"/>
          <w:szCs w:val="22"/>
        </w:rPr>
        <w:t>January 19, 2015</w:t>
      </w:r>
      <w:r>
        <w:rPr>
          <w:color w:val="000000"/>
          <w:sz w:val="22"/>
          <w:szCs w:val="22"/>
        </w:rPr>
        <w:fldChar w:fldCharType="end"/>
      </w:r>
    </w:p>
    <w:p w14:paraId="1668ED9C" w14:textId="77777777" w:rsidR="0062265F" w:rsidRPr="0062265F" w:rsidRDefault="0062265F" w:rsidP="00A24EFB">
      <w:pPr>
        <w:autoSpaceDE w:val="0"/>
        <w:autoSpaceDN w:val="0"/>
        <w:adjustRightInd w:val="0"/>
        <w:spacing w:after="120"/>
        <w:rPr>
          <w:i/>
          <w:iCs/>
          <w:color w:val="000000"/>
          <w:sz w:val="22"/>
          <w:szCs w:val="22"/>
        </w:rPr>
      </w:pPr>
    </w:p>
    <w:p w14:paraId="5270285A" w14:textId="77777777" w:rsidR="0045417E" w:rsidRPr="00471806" w:rsidRDefault="00261CFB" w:rsidP="00A24EFB">
      <w:pPr>
        <w:autoSpaceDE w:val="0"/>
        <w:autoSpaceDN w:val="0"/>
        <w:adjustRightInd w:val="0"/>
        <w:spacing w:after="120"/>
        <w:rPr>
          <w:i/>
          <w:color w:val="7F7F7F" w:themeColor="text1" w:themeTint="80"/>
          <w:sz w:val="22"/>
          <w:szCs w:val="22"/>
        </w:rPr>
      </w:pPr>
      <w:r w:rsidRPr="00471806">
        <w:rPr>
          <w:i/>
          <w:color w:val="7F7F7F" w:themeColor="text1" w:themeTint="80"/>
          <w:sz w:val="22"/>
          <w:szCs w:val="22"/>
        </w:rPr>
        <w:t xml:space="preserve">All questions relate to </w:t>
      </w:r>
      <w:r w:rsidR="00132BA1" w:rsidRPr="00471806">
        <w:rPr>
          <w:i/>
          <w:color w:val="7F7F7F" w:themeColor="text1" w:themeTint="80"/>
          <w:sz w:val="22"/>
          <w:szCs w:val="22"/>
        </w:rPr>
        <w:t xml:space="preserve">associations between death from any cause and serum </w:t>
      </w:r>
      <w:r w:rsidR="00B95181" w:rsidRPr="00471806">
        <w:rPr>
          <w:i/>
          <w:color w:val="7F7F7F" w:themeColor="text1" w:themeTint="80"/>
          <w:sz w:val="22"/>
          <w:szCs w:val="22"/>
        </w:rPr>
        <w:t xml:space="preserve">C reactive </w:t>
      </w:r>
      <w:r w:rsidR="00132BA1" w:rsidRPr="00471806">
        <w:rPr>
          <w:i/>
          <w:color w:val="7F7F7F" w:themeColor="text1" w:themeTint="80"/>
          <w:sz w:val="22"/>
          <w:szCs w:val="22"/>
        </w:rPr>
        <w:t>protein (</w:t>
      </w:r>
      <w:r w:rsidR="00B95181" w:rsidRPr="00471806">
        <w:rPr>
          <w:i/>
          <w:color w:val="7F7F7F" w:themeColor="text1" w:themeTint="80"/>
          <w:sz w:val="22"/>
          <w:szCs w:val="22"/>
        </w:rPr>
        <w:t>CRP</w:t>
      </w:r>
      <w:r w:rsidR="00132BA1" w:rsidRPr="00471806">
        <w:rPr>
          <w:i/>
          <w:color w:val="7F7F7F" w:themeColor="text1" w:themeTint="80"/>
          <w:sz w:val="22"/>
          <w:szCs w:val="22"/>
        </w:rPr>
        <w:t xml:space="preserve">) levels in a population of generally healthy elderly subjects in four U.S. communities. This homework uses the subset of information that was collected to examine </w:t>
      </w:r>
      <w:r w:rsidR="00B95181" w:rsidRPr="00471806">
        <w:rPr>
          <w:i/>
          <w:color w:val="7F7F7F" w:themeColor="text1" w:themeTint="80"/>
          <w:sz w:val="22"/>
          <w:szCs w:val="22"/>
        </w:rPr>
        <w:t>inflammatory biomarkers and mortality</w:t>
      </w:r>
      <w:r w:rsidR="00132BA1" w:rsidRPr="00471806">
        <w:rPr>
          <w:i/>
          <w:color w:val="7F7F7F" w:themeColor="text1" w:themeTint="80"/>
          <w:sz w:val="22"/>
          <w:szCs w:val="22"/>
        </w:rPr>
        <w:t xml:space="preserve">. The data can be found on the class web page (follow the link to Datasets) in the file labeled </w:t>
      </w:r>
      <w:r w:rsidR="00B95181" w:rsidRPr="00471806">
        <w:rPr>
          <w:i/>
          <w:color w:val="7F7F7F" w:themeColor="text1" w:themeTint="80"/>
          <w:sz w:val="22"/>
          <w:szCs w:val="22"/>
        </w:rPr>
        <w:t>inflamm</w:t>
      </w:r>
      <w:r w:rsidR="00132BA1" w:rsidRPr="00471806">
        <w:rPr>
          <w:i/>
          <w:color w:val="7F7F7F" w:themeColor="text1" w:themeTint="80"/>
          <w:sz w:val="22"/>
          <w:szCs w:val="22"/>
        </w:rPr>
        <w:t>.txt. Docu</w:t>
      </w:r>
      <w:r w:rsidR="00FB663C" w:rsidRPr="00471806">
        <w:rPr>
          <w:i/>
          <w:color w:val="7F7F7F" w:themeColor="text1" w:themeTint="80"/>
          <w:sz w:val="22"/>
          <w:szCs w:val="22"/>
        </w:rPr>
        <w:t xml:space="preserve">mentation is in the file </w:t>
      </w:r>
      <w:r w:rsidR="00B95181" w:rsidRPr="00471806">
        <w:rPr>
          <w:i/>
          <w:color w:val="7F7F7F" w:themeColor="text1" w:themeTint="80"/>
          <w:sz w:val="22"/>
          <w:szCs w:val="22"/>
        </w:rPr>
        <w:t>inflamm</w:t>
      </w:r>
      <w:r w:rsidR="00FB663C" w:rsidRPr="00471806">
        <w:rPr>
          <w:i/>
          <w:color w:val="7F7F7F" w:themeColor="text1" w:themeTint="80"/>
          <w:sz w:val="22"/>
          <w:szCs w:val="22"/>
        </w:rPr>
        <w:t xml:space="preserve">.pdf. The data is in free-field format, and can be read into </w:t>
      </w:r>
      <w:r w:rsidR="00601D47" w:rsidRPr="00471806">
        <w:rPr>
          <w:i/>
          <w:color w:val="7F7F7F" w:themeColor="text1" w:themeTint="80"/>
          <w:sz w:val="22"/>
          <w:szCs w:val="22"/>
        </w:rPr>
        <w:t xml:space="preserve">R by </w:t>
      </w:r>
    </w:p>
    <w:p w14:paraId="33C8E4C1" w14:textId="77777777" w:rsidR="00C55091" w:rsidRPr="00471806" w:rsidRDefault="00C55091" w:rsidP="00A24EFB">
      <w:pPr>
        <w:autoSpaceDE w:val="0"/>
        <w:autoSpaceDN w:val="0"/>
        <w:adjustRightInd w:val="0"/>
        <w:spacing w:after="120"/>
        <w:rPr>
          <w:i/>
          <w:color w:val="7F7F7F" w:themeColor="text1" w:themeTint="80"/>
          <w:sz w:val="22"/>
          <w:szCs w:val="22"/>
        </w:rPr>
      </w:pPr>
      <w:r w:rsidRPr="00471806">
        <w:rPr>
          <w:i/>
          <w:color w:val="7F7F7F" w:themeColor="text1" w:themeTint="80"/>
          <w:sz w:val="22"/>
          <w:szCs w:val="22"/>
        </w:rPr>
        <w:t xml:space="preserve">Recommendations for risk of cardiovascular disease according to serum </w:t>
      </w:r>
      <w:r w:rsidR="003F5F38" w:rsidRPr="00471806">
        <w:rPr>
          <w:i/>
          <w:color w:val="7F7F7F" w:themeColor="text1" w:themeTint="80"/>
          <w:sz w:val="22"/>
          <w:szCs w:val="22"/>
        </w:rPr>
        <w:t>CRP</w:t>
      </w:r>
      <w:r w:rsidRPr="00471806">
        <w:rPr>
          <w:i/>
          <w:color w:val="7F7F7F" w:themeColor="text1" w:themeTint="80"/>
          <w:sz w:val="22"/>
          <w:szCs w:val="22"/>
        </w:rPr>
        <w:t xml:space="preserve"> levels are as follows (taken from the Mayo Clinic website):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9"/>
        <w:gridCol w:w="2783"/>
      </w:tblGrid>
      <w:tr w:rsidR="00471806" w:rsidRPr="00471806" w14:paraId="2F9D9D1B" w14:textId="77777777" w:rsidTr="002A16B9">
        <w:trPr>
          <w:jc w:val="center"/>
        </w:trPr>
        <w:tc>
          <w:tcPr>
            <w:tcW w:w="0" w:type="auto"/>
            <w:shd w:val="clear" w:color="auto" w:fill="auto"/>
          </w:tcPr>
          <w:p w14:paraId="3CFC94B5" w14:textId="77777777" w:rsidR="00C55091" w:rsidRPr="00471806" w:rsidRDefault="00C55091" w:rsidP="00A24EFB">
            <w:pPr>
              <w:spacing w:after="120"/>
              <w:jc w:val="center"/>
              <w:rPr>
                <w:i/>
                <w:color w:val="7F7F7F" w:themeColor="text1" w:themeTint="80"/>
                <w:sz w:val="22"/>
                <w:szCs w:val="22"/>
              </w:rPr>
            </w:pPr>
            <w:r w:rsidRPr="00471806">
              <w:rPr>
                <w:i/>
                <w:color w:val="7F7F7F" w:themeColor="text1" w:themeTint="80"/>
                <w:sz w:val="22"/>
                <w:szCs w:val="22"/>
              </w:rPr>
              <w:t xml:space="preserve">Below </w:t>
            </w:r>
            <w:r w:rsidR="003F5F38" w:rsidRPr="00471806">
              <w:rPr>
                <w:i/>
                <w:color w:val="7F7F7F" w:themeColor="text1" w:themeTint="80"/>
                <w:sz w:val="22"/>
                <w:szCs w:val="22"/>
              </w:rPr>
              <w:t>1 mg/</w:t>
            </w:r>
            <w:r w:rsidRPr="00471806">
              <w:rPr>
                <w:i/>
                <w:color w:val="7F7F7F" w:themeColor="text1" w:themeTint="80"/>
                <w:sz w:val="22"/>
                <w:szCs w:val="22"/>
              </w:rPr>
              <w:t>L</w:t>
            </w:r>
          </w:p>
        </w:tc>
        <w:tc>
          <w:tcPr>
            <w:tcW w:w="0" w:type="auto"/>
            <w:shd w:val="clear" w:color="auto" w:fill="auto"/>
          </w:tcPr>
          <w:p w14:paraId="40E1C05E" w14:textId="77777777" w:rsidR="00C55091" w:rsidRPr="00471806" w:rsidRDefault="003F5F38" w:rsidP="00A24EFB">
            <w:pPr>
              <w:spacing w:after="120"/>
              <w:jc w:val="center"/>
              <w:rPr>
                <w:i/>
                <w:color w:val="7F7F7F" w:themeColor="text1" w:themeTint="80"/>
                <w:sz w:val="22"/>
                <w:szCs w:val="22"/>
              </w:rPr>
            </w:pPr>
            <w:r w:rsidRPr="00471806">
              <w:rPr>
                <w:i/>
                <w:color w:val="7F7F7F" w:themeColor="text1" w:themeTint="80"/>
                <w:sz w:val="22"/>
                <w:szCs w:val="22"/>
              </w:rPr>
              <w:t>Low</w:t>
            </w:r>
            <w:r w:rsidR="00C55091" w:rsidRPr="00471806">
              <w:rPr>
                <w:i/>
                <w:color w:val="7F7F7F" w:themeColor="text1" w:themeTint="80"/>
                <w:sz w:val="22"/>
                <w:szCs w:val="22"/>
              </w:rPr>
              <w:t xml:space="preserve"> risk of heart disease</w:t>
            </w:r>
          </w:p>
        </w:tc>
      </w:tr>
      <w:tr w:rsidR="00471806" w:rsidRPr="00471806" w14:paraId="20276072" w14:textId="77777777" w:rsidTr="002A16B9">
        <w:trPr>
          <w:jc w:val="center"/>
        </w:trPr>
        <w:tc>
          <w:tcPr>
            <w:tcW w:w="0" w:type="auto"/>
            <w:shd w:val="clear" w:color="auto" w:fill="auto"/>
          </w:tcPr>
          <w:p w14:paraId="4CA0EF2C" w14:textId="77777777" w:rsidR="003F5F38" w:rsidRPr="00471806" w:rsidRDefault="003F5F38" w:rsidP="00A24EFB">
            <w:pPr>
              <w:spacing w:after="120"/>
              <w:jc w:val="center"/>
              <w:rPr>
                <w:i/>
                <w:color w:val="7F7F7F" w:themeColor="text1" w:themeTint="80"/>
                <w:sz w:val="22"/>
                <w:szCs w:val="22"/>
              </w:rPr>
            </w:pPr>
            <w:r w:rsidRPr="00471806">
              <w:rPr>
                <w:i/>
                <w:color w:val="7F7F7F" w:themeColor="text1" w:themeTint="80"/>
                <w:sz w:val="22"/>
                <w:szCs w:val="22"/>
              </w:rPr>
              <w:t>1 - 3 mg/L</w:t>
            </w:r>
          </w:p>
        </w:tc>
        <w:tc>
          <w:tcPr>
            <w:tcW w:w="0" w:type="auto"/>
            <w:shd w:val="clear" w:color="auto" w:fill="auto"/>
          </w:tcPr>
          <w:p w14:paraId="55044712" w14:textId="77777777" w:rsidR="003F5F38" w:rsidRPr="00471806" w:rsidRDefault="003F5F38" w:rsidP="00A24EFB">
            <w:pPr>
              <w:spacing w:after="120"/>
              <w:jc w:val="center"/>
              <w:rPr>
                <w:i/>
                <w:color w:val="7F7F7F" w:themeColor="text1" w:themeTint="80"/>
                <w:sz w:val="22"/>
                <w:szCs w:val="22"/>
              </w:rPr>
            </w:pPr>
            <w:r w:rsidRPr="00471806">
              <w:rPr>
                <w:i/>
                <w:color w:val="7F7F7F" w:themeColor="text1" w:themeTint="80"/>
                <w:sz w:val="22"/>
                <w:szCs w:val="22"/>
              </w:rPr>
              <w:t>Average risk of heart disease</w:t>
            </w:r>
          </w:p>
        </w:tc>
      </w:tr>
      <w:tr w:rsidR="00471806" w:rsidRPr="00471806" w14:paraId="533AA107" w14:textId="77777777" w:rsidTr="002A16B9">
        <w:trPr>
          <w:jc w:val="center"/>
        </w:trPr>
        <w:tc>
          <w:tcPr>
            <w:tcW w:w="0" w:type="auto"/>
            <w:shd w:val="clear" w:color="auto" w:fill="auto"/>
          </w:tcPr>
          <w:p w14:paraId="21ABC644" w14:textId="77777777" w:rsidR="003F5F38" w:rsidRPr="00471806" w:rsidRDefault="003F5F38" w:rsidP="00A24EFB">
            <w:pPr>
              <w:spacing w:after="120"/>
              <w:jc w:val="center"/>
              <w:rPr>
                <w:i/>
                <w:color w:val="7F7F7F" w:themeColor="text1" w:themeTint="80"/>
                <w:sz w:val="22"/>
                <w:szCs w:val="22"/>
              </w:rPr>
            </w:pPr>
            <w:r w:rsidRPr="00471806">
              <w:rPr>
                <w:i/>
                <w:color w:val="7F7F7F" w:themeColor="text1" w:themeTint="80"/>
                <w:sz w:val="22"/>
                <w:szCs w:val="22"/>
              </w:rPr>
              <w:t>Above 3 mg/L</w:t>
            </w:r>
          </w:p>
        </w:tc>
        <w:tc>
          <w:tcPr>
            <w:tcW w:w="0" w:type="auto"/>
            <w:shd w:val="clear" w:color="auto" w:fill="auto"/>
          </w:tcPr>
          <w:p w14:paraId="55E1D1CE" w14:textId="77777777" w:rsidR="003F5F38" w:rsidRPr="00471806" w:rsidRDefault="003F5F38" w:rsidP="00A24EFB">
            <w:pPr>
              <w:spacing w:after="120"/>
              <w:jc w:val="center"/>
              <w:rPr>
                <w:i/>
                <w:color w:val="7F7F7F" w:themeColor="text1" w:themeTint="80"/>
                <w:sz w:val="22"/>
                <w:szCs w:val="22"/>
              </w:rPr>
            </w:pPr>
            <w:r w:rsidRPr="00471806">
              <w:rPr>
                <w:i/>
                <w:color w:val="7F7F7F" w:themeColor="text1" w:themeTint="80"/>
                <w:sz w:val="22"/>
                <w:szCs w:val="22"/>
              </w:rPr>
              <w:t>High risk of heart disease</w:t>
            </w:r>
          </w:p>
        </w:tc>
      </w:tr>
    </w:tbl>
    <w:p w14:paraId="0B40778B" w14:textId="77777777" w:rsidR="00A24EFB" w:rsidRPr="00471806" w:rsidRDefault="00A24EFB" w:rsidP="00A24EFB">
      <w:pPr>
        <w:autoSpaceDE w:val="0"/>
        <w:autoSpaceDN w:val="0"/>
        <w:adjustRightInd w:val="0"/>
        <w:spacing w:after="120"/>
        <w:rPr>
          <w:i/>
          <w:color w:val="7F7F7F" w:themeColor="text1" w:themeTint="80"/>
          <w:sz w:val="22"/>
          <w:szCs w:val="22"/>
        </w:rPr>
      </w:pPr>
    </w:p>
    <w:p w14:paraId="4336B57C" w14:textId="77777777" w:rsidR="00762DE6" w:rsidRPr="00471806" w:rsidRDefault="00A24EFB" w:rsidP="00A24EFB">
      <w:pPr>
        <w:autoSpaceDE w:val="0"/>
        <w:autoSpaceDN w:val="0"/>
        <w:adjustRightInd w:val="0"/>
        <w:spacing w:after="120"/>
        <w:rPr>
          <w:color w:val="7F7F7F" w:themeColor="text1" w:themeTint="80"/>
          <w:sz w:val="22"/>
          <w:szCs w:val="22"/>
        </w:rPr>
      </w:pPr>
      <w:r w:rsidRPr="00471806">
        <w:rPr>
          <w:i/>
          <w:color w:val="7F7F7F" w:themeColor="text1" w:themeTint="80"/>
          <w:sz w:val="22"/>
          <w:szCs w:val="22"/>
        </w:rPr>
        <w:t xml:space="preserve">1. </w:t>
      </w:r>
      <w:r w:rsidR="00762DE6" w:rsidRPr="00471806">
        <w:rPr>
          <w:i/>
          <w:color w:val="7F7F7F" w:themeColor="text1" w:themeTint="80"/>
          <w:sz w:val="22"/>
          <w:szCs w:val="22"/>
        </w:rPr>
        <w:t xml:space="preserve">The observations of time to death in this data are subject to (right) censoring. Nevertheless, problems </w:t>
      </w:r>
      <w:r w:rsidR="00B457A7" w:rsidRPr="00471806">
        <w:rPr>
          <w:i/>
          <w:color w:val="7F7F7F" w:themeColor="text1" w:themeTint="80"/>
          <w:sz w:val="22"/>
          <w:szCs w:val="22"/>
        </w:rPr>
        <w:t>2</w:t>
      </w:r>
      <w:r w:rsidR="00762DE6" w:rsidRPr="00471806">
        <w:rPr>
          <w:i/>
          <w:color w:val="7F7F7F" w:themeColor="text1" w:themeTint="80"/>
          <w:sz w:val="22"/>
          <w:szCs w:val="22"/>
        </w:rPr>
        <w:t xml:space="preserve"> –</w:t>
      </w:r>
      <w:r w:rsidR="009D5804" w:rsidRPr="00471806">
        <w:rPr>
          <w:i/>
          <w:color w:val="7F7F7F" w:themeColor="text1" w:themeTint="80"/>
          <w:sz w:val="22"/>
          <w:szCs w:val="22"/>
        </w:rPr>
        <w:t xml:space="preserve"> 6</w:t>
      </w:r>
      <w:r w:rsidR="00762DE6" w:rsidRPr="00471806">
        <w:rPr>
          <w:i/>
          <w:color w:val="7F7F7F" w:themeColor="text1" w:themeTint="80"/>
          <w:sz w:val="22"/>
          <w:szCs w:val="22"/>
        </w:rPr>
        <w:t xml:space="preserve"> ask you to dichotomize the time to d</w:t>
      </w:r>
      <w:r w:rsidR="00B95181" w:rsidRPr="00471806">
        <w:rPr>
          <w:i/>
          <w:color w:val="7F7F7F" w:themeColor="text1" w:themeTint="80"/>
          <w:sz w:val="22"/>
          <w:szCs w:val="22"/>
        </w:rPr>
        <w:t>eath according to death within 4</w:t>
      </w:r>
      <w:r w:rsidR="00762DE6" w:rsidRPr="00471806">
        <w:rPr>
          <w:i/>
          <w:color w:val="7F7F7F" w:themeColor="text1" w:themeTint="80"/>
          <w:sz w:val="22"/>
          <w:szCs w:val="22"/>
        </w:rPr>
        <w:t xml:space="preserve"> years of study en</w:t>
      </w:r>
      <w:r w:rsidR="00B95181" w:rsidRPr="00471806">
        <w:rPr>
          <w:i/>
          <w:color w:val="7F7F7F" w:themeColor="text1" w:themeTint="80"/>
          <w:sz w:val="22"/>
          <w:szCs w:val="22"/>
        </w:rPr>
        <w:t>rolment or death after 4</w:t>
      </w:r>
      <w:r w:rsidR="00762DE6" w:rsidRPr="00471806">
        <w:rPr>
          <w:i/>
          <w:color w:val="7F7F7F" w:themeColor="text1" w:themeTint="80"/>
          <w:sz w:val="22"/>
          <w:szCs w:val="22"/>
        </w:rPr>
        <w:t xml:space="preserve"> years. Why is this valid? Provide </w:t>
      </w:r>
      <w:r w:rsidR="00261CFB" w:rsidRPr="00471806">
        <w:rPr>
          <w:i/>
          <w:color w:val="7F7F7F" w:themeColor="text1" w:themeTint="80"/>
          <w:sz w:val="22"/>
          <w:szCs w:val="22"/>
        </w:rPr>
        <w:t>descriptive statistics</w:t>
      </w:r>
      <w:r w:rsidR="00762DE6" w:rsidRPr="00471806">
        <w:rPr>
          <w:i/>
          <w:color w:val="7F7F7F" w:themeColor="text1" w:themeTint="80"/>
          <w:sz w:val="22"/>
          <w:szCs w:val="22"/>
        </w:rPr>
        <w:t xml:space="preserve"> that support your answer.</w:t>
      </w:r>
    </w:p>
    <w:p w14:paraId="24DD3369" w14:textId="77777777" w:rsidR="00A24EFB" w:rsidRPr="000461AE" w:rsidRDefault="000461AE" w:rsidP="00A24EFB">
      <w:pPr>
        <w:autoSpaceDE w:val="0"/>
        <w:autoSpaceDN w:val="0"/>
        <w:adjustRightInd w:val="0"/>
        <w:spacing w:after="120"/>
        <w:rPr>
          <w:b/>
          <w:sz w:val="22"/>
          <w:szCs w:val="22"/>
          <w:u w:val="single"/>
        </w:rPr>
      </w:pPr>
      <w:r w:rsidRPr="000461AE">
        <w:rPr>
          <w:b/>
          <w:sz w:val="22"/>
          <w:szCs w:val="22"/>
          <w:u w:val="single"/>
        </w:rPr>
        <w:t>Answer:</w:t>
      </w:r>
    </w:p>
    <w:p w14:paraId="550A030F" w14:textId="77777777" w:rsidR="000461AE" w:rsidRDefault="005A6440" w:rsidP="00A24EFB">
      <w:pPr>
        <w:autoSpaceDE w:val="0"/>
        <w:autoSpaceDN w:val="0"/>
        <w:adjustRightInd w:val="0"/>
        <w:spacing w:after="120"/>
        <w:rPr>
          <w:sz w:val="22"/>
          <w:szCs w:val="22"/>
        </w:rPr>
      </w:pPr>
      <w:r>
        <w:rPr>
          <w:sz w:val="22"/>
          <w:szCs w:val="22"/>
        </w:rPr>
        <w:t>Typically, for (right) censoring data, Kaplan Meier estimates are used instead of sample descriptive statistics, because we only know the lower bounds of follow-up times for censored observations but not their exact values.</w:t>
      </w:r>
    </w:p>
    <w:p w14:paraId="7C242DF6" w14:textId="77777777" w:rsidR="005A6440" w:rsidRDefault="005A6440" w:rsidP="00A24EFB">
      <w:pPr>
        <w:autoSpaceDE w:val="0"/>
        <w:autoSpaceDN w:val="0"/>
        <w:adjustRightInd w:val="0"/>
        <w:spacing w:after="120"/>
        <w:rPr>
          <w:sz w:val="22"/>
          <w:szCs w:val="22"/>
        </w:rPr>
      </w:pPr>
      <w:r>
        <w:rPr>
          <w:sz w:val="22"/>
          <w:szCs w:val="22"/>
        </w:rPr>
        <w:t xml:space="preserve">Nevertheless, problems 2-6 ask to dichotomize the time to death according to death within 4 years of study enrolment or death after 4 years. This is valid because among the 3,879 censored observations, the minimum follow-up time </w:t>
      </w:r>
      <w:r w:rsidR="002B6356">
        <w:rPr>
          <w:sz w:val="22"/>
          <w:szCs w:val="22"/>
        </w:rPr>
        <w:t>is 1,480 days, which is approximately 4.05 years (assuming an average of 365.25 days per year). This means that all censored observations survived at least through 4 years and dichotomizing the time to death according to death within 4 years of study enrolment and death after 4 years will not give an incorrect or biased categorization of time to death.</w:t>
      </w:r>
    </w:p>
    <w:p w14:paraId="13043C91" w14:textId="77777777" w:rsidR="00A34FC3" w:rsidRPr="009D5804" w:rsidRDefault="00A34FC3" w:rsidP="00A24EFB">
      <w:pPr>
        <w:autoSpaceDE w:val="0"/>
        <w:autoSpaceDN w:val="0"/>
        <w:adjustRightInd w:val="0"/>
        <w:spacing w:after="120"/>
        <w:rPr>
          <w:sz w:val="22"/>
          <w:szCs w:val="22"/>
        </w:rPr>
      </w:pPr>
    </w:p>
    <w:p w14:paraId="24944671" w14:textId="77777777" w:rsidR="00261CFB" w:rsidRPr="00D10798" w:rsidRDefault="00B93391" w:rsidP="00A24EFB">
      <w:pPr>
        <w:autoSpaceDE w:val="0"/>
        <w:autoSpaceDN w:val="0"/>
        <w:adjustRightInd w:val="0"/>
        <w:spacing w:after="120"/>
        <w:rPr>
          <w:i/>
          <w:sz w:val="22"/>
          <w:szCs w:val="22"/>
        </w:rPr>
      </w:pPr>
      <w:r w:rsidRPr="00471806">
        <w:rPr>
          <w:i/>
          <w:color w:val="7F7F7F" w:themeColor="text1" w:themeTint="80"/>
          <w:sz w:val="22"/>
          <w:szCs w:val="22"/>
        </w:rPr>
        <w:t xml:space="preserve">2. </w:t>
      </w:r>
      <w:r w:rsidR="00762DE6" w:rsidRPr="00471806">
        <w:rPr>
          <w:i/>
          <w:color w:val="7F7F7F" w:themeColor="text1" w:themeTint="80"/>
          <w:sz w:val="22"/>
          <w:szCs w:val="22"/>
        </w:rPr>
        <w:t>Provide a suitable descriptive statistical analysis for selected variables in this</w:t>
      </w:r>
      <w:r w:rsidR="00261CFB" w:rsidRPr="00471806">
        <w:rPr>
          <w:i/>
          <w:color w:val="7F7F7F" w:themeColor="text1" w:themeTint="80"/>
          <w:sz w:val="22"/>
          <w:szCs w:val="22"/>
        </w:rPr>
        <w:t xml:space="preserve"> dataset as might be presented in T</w:t>
      </w:r>
      <w:r w:rsidR="00762DE6" w:rsidRPr="00471806">
        <w:rPr>
          <w:i/>
          <w:color w:val="7F7F7F" w:themeColor="text1" w:themeTint="80"/>
          <w:sz w:val="22"/>
          <w:szCs w:val="22"/>
        </w:rPr>
        <w:t xml:space="preserve">able 1 of a manuscript exploring the association between serum </w:t>
      </w:r>
      <w:r w:rsidR="00B95181" w:rsidRPr="00471806">
        <w:rPr>
          <w:i/>
          <w:color w:val="7F7F7F" w:themeColor="text1" w:themeTint="80"/>
          <w:sz w:val="22"/>
          <w:szCs w:val="22"/>
        </w:rPr>
        <w:t>CRP and 4</w:t>
      </w:r>
      <w:r w:rsidR="00762DE6" w:rsidRPr="00471806">
        <w:rPr>
          <w:i/>
          <w:color w:val="7F7F7F" w:themeColor="text1" w:themeTint="80"/>
          <w:sz w:val="22"/>
          <w:szCs w:val="22"/>
        </w:rPr>
        <w:t xml:space="preserve"> year all-cause mortality</w:t>
      </w:r>
      <w:r w:rsidR="00261CFB" w:rsidRPr="00471806">
        <w:rPr>
          <w:i/>
          <w:color w:val="7F7F7F" w:themeColor="text1" w:themeTint="80"/>
          <w:sz w:val="22"/>
          <w:szCs w:val="22"/>
        </w:rPr>
        <w:t xml:space="preserve"> in the medical literature. </w:t>
      </w:r>
      <w:r w:rsidR="00762DE6" w:rsidRPr="00471806">
        <w:rPr>
          <w:i/>
          <w:color w:val="7F7F7F" w:themeColor="text1" w:themeTint="80"/>
          <w:sz w:val="22"/>
          <w:szCs w:val="22"/>
        </w:rPr>
        <w:t xml:space="preserve">In </w:t>
      </w:r>
      <w:r w:rsidR="003F5F38" w:rsidRPr="00471806">
        <w:rPr>
          <w:i/>
          <w:color w:val="7F7F7F" w:themeColor="text1" w:themeTint="80"/>
          <w:sz w:val="22"/>
          <w:szCs w:val="22"/>
        </w:rPr>
        <w:t>addition</w:t>
      </w:r>
      <w:r w:rsidR="00762DE6" w:rsidRPr="00471806">
        <w:rPr>
          <w:i/>
          <w:color w:val="7F7F7F" w:themeColor="text1" w:themeTint="80"/>
          <w:sz w:val="22"/>
          <w:szCs w:val="22"/>
        </w:rPr>
        <w:t xml:space="preserve"> to the two variables of primary interest, you may restrict attention to age, sex, </w:t>
      </w:r>
      <w:r w:rsidR="003F5F38" w:rsidRPr="00471806">
        <w:rPr>
          <w:i/>
          <w:color w:val="7F7F7F" w:themeColor="text1" w:themeTint="80"/>
          <w:sz w:val="22"/>
          <w:szCs w:val="22"/>
        </w:rPr>
        <w:t>BMI</w:t>
      </w:r>
      <w:r w:rsidR="00C55091" w:rsidRPr="00471806">
        <w:rPr>
          <w:i/>
          <w:color w:val="7F7F7F" w:themeColor="text1" w:themeTint="80"/>
          <w:sz w:val="22"/>
          <w:szCs w:val="22"/>
        </w:rPr>
        <w:t xml:space="preserve">, smoking history, </w:t>
      </w:r>
      <w:r w:rsidR="003F5F38" w:rsidRPr="00471806">
        <w:rPr>
          <w:i/>
          <w:color w:val="7F7F7F" w:themeColor="text1" w:themeTint="80"/>
          <w:sz w:val="22"/>
          <w:szCs w:val="22"/>
        </w:rPr>
        <w:t xml:space="preserve">cholesterol, </w:t>
      </w:r>
      <w:r w:rsidR="00C55091" w:rsidRPr="00471806">
        <w:rPr>
          <w:i/>
          <w:color w:val="7F7F7F" w:themeColor="text1" w:themeTint="80"/>
          <w:sz w:val="22"/>
          <w:szCs w:val="22"/>
        </w:rPr>
        <w:t>and prior history of cardiovascular disease.</w:t>
      </w:r>
    </w:p>
    <w:p w14:paraId="675F26A1" w14:textId="77777777" w:rsidR="00A34FC3" w:rsidRDefault="00E96AD0" w:rsidP="00A24EFB">
      <w:pPr>
        <w:autoSpaceDE w:val="0"/>
        <w:autoSpaceDN w:val="0"/>
        <w:adjustRightInd w:val="0"/>
        <w:spacing w:after="120"/>
        <w:rPr>
          <w:sz w:val="22"/>
          <w:szCs w:val="22"/>
        </w:rPr>
      </w:pPr>
      <w:r>
        <w:rPr>
          <w:b/>
          <w:sz w:val="22"/>
          <w:szCs w:val="22"/>
          <w:u w:val="single"/>
        </w:rPr>
        <w:t>Methods:</w:t>
      </w:r>
    </w:p>
    <w:p w14:paraId="4859D690" w14:textId="77777777" w:rsidR="00985196" w:rsidRDefault="00E96AD0" w:rsidP="00A24EFB">
      <w:pPr>
        <w:autoSpaceDE w:val="0"/>
        <w:autoSpaceDN w:val="0"/>
        <w:adjustRightInd w:val="0"/>
        <w:spacing w:after="120"/>
        <w:rPr>
          <w:sz w:val="22"/>
          <w:szCs w:val="22"/>
        </w:rPr>
      </w:pPr>
      <w:r>
        <w:rPr>
          <w:sz w:val="22"/>
          <w:szCs w:val="22"/>
        </w:rPr>
        <w:t xml:space="preserve">I provide two tables, 1a and 1b, for the selected variables in this dataset. An indicator variable was create for death within 4 years of study enrolment based on the original time-to-death variable in the dataset. </w:t>
      </w:r>
    </w:p>
    <w:p w14:paraId="3989379E" w14:textId="77777777" w:rsidR="00C320DC" w:rsidRDefault="00985196" w:rsidP="00A24EFB">
      <w:pPr>
        <w:autoSpaceDE w:val="0"/>
        <w:autoSpaceDN w:val="0"/>
        <w:adjustRightInd w:val="0"/>
        <w:spacing w:after="120"/>
        <w:rPr>
          <w:sz w:val="22"/>
          <w:szCs w:val="22"/>
        </w:rPr>
      </w:pPr>
      <w:r>
        <w:rPr>
          <w:sz w:val="22"/>
          <w:szCs w:val="22"/>
        </w:rPr>
        <w:t xml:space="preserve">For table 1a, descriptive statistics are shown within groups defined by serum CRP level (below 1mg/L, between 1 and 3 mg/L, and above 3 mg/L) as well as for the entire sample. Descriptive statistics included for continuous variables (age, BMI, cholesterol) are (arithmetic) mean, standard deviation, minimum and </w:t>
      </w:r>
      <w:r>
        <w:rPr>
          <w:sz w:val="22"/>
          <w:szCs w:val="22"/>
        </w:rPr>
        <w:lastRenderedPageBreak/>
        <w:t xml:space="preserve">maximum. Descriptive statistics included for binary variables (death within 4 years of study enrolment, sex, smoking history, prior history of cardiovascular disease) are percentages. </w:t>
      </w:r>
    </w:p>
    <w:p w14:paraId="6027720D" w14:textId="77777777" w:rsidR="00985196" w:rsidRDefault="005A07D9" w:rsidP="00A24EFB">
      <w:pPr>
        <w:autoSpaceDE w:val="0"/>
        <w:autoSpaceDN w:val="0"/>
        <w:adjustRightInd w:val="0"/>
        <w:spacing w:after="120"/>
        <w:rPr>
          <w:sz w:val="22"/>
          <w:szCs w:val="22"/>
        </w:rPr>
      </w:pPr>
      <w:r>
        <w:rPr>
          <w:sz w:val="22"/>
          <w:szCs w:val="22"/>
        </w:rPr>
        <w:t>Table 1b gives number of observations with missing data for selected variable (rows) as well as subgroups and the entire sample (columns).</w:t>
      </w:r>
    </w:p>
    <w:p w14:paraId="644F4BC4" w14:textId="77777777" w:rsidR="005A07D9" w:rsidRDefault="00881504" w:rsidP="00A24EFB">
      <w:pPr>
        <w:autoSpaceDE w:val="0"/>
        <w:autoSpaceDN w:val="0"/>
        <w:adjustRightInd w:val="0"/>
        <w:spacing w:after="120"/>
        <w:rPr>
          <w:sz w:val="22"/>
          <w:szCs w:val="22"/>
        </w:rPr>
      </w:pPr>
      <w:r>
        <w:rPr>
          <w:b/>
          <w:sz w:val="22"/>
          <w:szCs w:val="22"/>
          <w:u w:val="single"/>
        </w:rPr>
        <w:t>Results:</w:t>
      </w:r>
    </w:p>
    <w:p w14:paraId="511A7F62" w14:textId="77777777" w:rsidR="00881504" w:rsidRDefault="00796A88" w:rsidP="00A24EFB">
      <w:pPr>
        <w:autoSpaceDE w:val="0"/>
        <w:autoSpaceDN w:val="0"/>
        <w:adjustRightInd w:val="0"/>
        <w:spacing w:after="120"/>
        <w:rPr>
          <w:sz w:val="22"/>
          <w:szCs w:val="22"/>
        </w:rPr>
      </w:pPr>
      <w:r>
        <w:rPr>
          <w:sz w:val="22"/>
          <w:szCs w:val="22"/>
        </w:rPr>
        <w:t>The total number of observ</w:t>
      </w:r>
      <w:r w:rsidR="00983500">
        <w:rPr>
          <w:sz w:val="22"/>
          <w:szCs w:val="22"/>
        </w:rPr>
        <w:t>ations in the dataset is 5,000. None of the subjects is missing data follow-up time from enrolment to death/end of study. H</w:t>
      </w:r>
      <w:r>
        <w:rPr>
          <w:sz w:val="22"/>
          <w:szCs w:val="22"/>
        </w:rPr>
        <w:t>owever, 67</w:t>
      </w:r>
      <w:r w:rsidR="00983500">
        <w:rPr>
          <w:sz w:val="22"/>
          <w:szCs w:val="22"/>
        </w:rPr>
        <w:t xml:space="preserve"> of those subjects (11 who died within 4 years and 56 died after 4 years) are missing data on serum C reactive protein (CRP) level. These subjects should be omitted from all analyses. There is no additional information to determine how these omissions may impact our analysis. </w:t>
      </w:r>
    </w:p>
    <w:p w14:paraId="0095C300" w14:textId="77777777" w:rsidR="00983500" w:rsidRDefault="00BE5509" w:rsidP="00A24EFB">
      <w:pPr>
        <w:autoSpaceDE w:val="0"/>
        <w:autoSpaceDN w:val="0"/>
        <w:adjustRightInd w:val="0"/>
        <w:spacing w:after="120"/>
        <w:rPr>
          <w:sz w:val="22"/>
          <w:szCs w:val="22"/>
        </w:rPr>
      </w:pPr>
      <w:r>
        <w:rPr>
          <w:sz w:val="22"/>
          <w:szCs w:val="22"/>
        </w:rPr>
        <w:t>There are missing data on other variables, including BMI, smoking history, and cholesterol level. Table 1b presents the number of observations with missing data on these variables by subgroups as well as all su</w:t>
      </w:r>
      <w:r w:rsidR="00CD006A">
        <w:rPr>
          <w:sz w:val="22"/>
          <w:szCs w:val="22"/>
        </w:rPr>
        <w:t>bjects (excluding the 67 observations omitted as mentioned earlier</w:t>
      </w:r>
      <w:r>
        <w:rPr>
          <w:sz w:val="22"/>
          <w:szCs w:val="22"/>
        </w:rPr>
        <w:t>)</w:t>
      </w:r>
      <w:r w:rsidR="00A420BA">
        <w:rPr>
          <w:sz w:val="22"/>
          <w:szCs w:val="22"/>
        </w:rPr>
        <w:t xml:space="preserve">. Since we are interested in the association between serum CRP and 4-year all-cause mortality, such observations with missing data on other variables are not omitted from later analysis. </w:t>
      </w:r>
    </w:p>
    <w:p w14:paraId="0C6675CD" w14:textId="77777777" w:rsidR="00B15890" w:rsidRDefault="00B15890" w:rsidP="00A24EFB">
      <w:pPr>
        <w:autoSpaceDE w:val="0"/>
        <w:autoSpaceDN w:val="0"/>
        <w:adjustRightInd w:val="0"/>
        <w:spacing w:after="120"/>
        <w:rPr>
          <w:sz w:val="22"/>
          <w:szCs w:val="22"/>
        </w:rPr>
      </w:pPr>
      <w:r>
        <w:rPr>
          <w:sz w:val="22"/>
          <w:szCs w:val="22"/>
        </w:rPr>
        <w:t>Of the 4,933</w:t>
      </w:r>
      <w:r w:rsidR="00A420BA">
        <w:rPr>
          <w:sz w:val="22"/>
          <w:szCs w:val="22"/>
        </w:rPr>
        <w:t xml:space="preserve"> subjects with available CRP measurements, 428 had serum CRP measurements less than 1mg/L (low risk of heart disease), 3,330 had measurements between 1 and 3 mg/L (average risk), and 1,175 had measurements above 3mg/L (high risk). </w:t>
      </w:r>
      <w:r w:rsidR="008055A7">
        <w:rPr>
          <w:sz w:val="22"/>
          <w:szCs w:val="22"/>
        </w:rPr>
        <w:t xml:space="preserve">Table 1a </w:t>
      </w:r>
      <w:r w:rsidR="00427148">
        <w:rPr>
          <w:sz w:val="22"/>
          <w:szCs w:val="22"/>
        </w:rPr>
        <w:t>shows the descriptive statistics within these subgroups and all subjects.</w:t>
      </w:r>
    </w:p>
    <w:p w14:paraId="51C1DFB0" w14:textId="77777777" w:rsidR="00427148" w:rsidRDefault="00427148" w:rsidP="00A24EFB">
      <w:pPr>
        <w:autoSpaceDE w:val="0"/>
        <w:autoSpaceDN w:val="0"/>
        <w:adjustRightInd w:val="0"/>
        <w:spacing w:after="120"/>
        <w:rPr>
          <w:sz w:val="22"/>
          <w:szCs w:val="22"/>
        </w:rPr>
      </w:pPr>
      <w:r>
        <w:rPr>
          <w:sz w:val="22"/>
          <w:szCs w:val="22"/>
        </w:rPr>
        <w:t xml:space="preserve">Not surprisingly, subjects in the low-risk group had the lowest 4-year all-cause mortality rate while subjects in the high-risk group had the highest rate. There is no apparent trend across subgroups in age. </w:t>
      </w:r>
      <w:r w:rsidR="007D0F1E">
        <w:rPr>
          <w:sz w:val="22"/>
          <w:szCs w:val="22"/>
        </w:rPr>
        <w:t xml:space="preserve">The percentage of male was slightly lower in the high-risk group compared to the other two. </w:t>
      </w:r>
      <w:r w:rsidR="003E3926">
        <w:rPr>
          <w:sz w:val="22"/>
          <w:szCs w:val="22"/>
        </w:rPr>
        <w:t>Subjects in the low-risk group had the</w:t>
      </w:r>
      <w:r w:rsidR="009373A2">
        <w:rPr>
          <w:sz w:val="22"/>
          <w:szCs w:val="22"/>
        </w:rPr>
        <w:t xml:space="preserve"> lowest mean BMI and smallest BMI range, while those in the high-risk group had the highest mean BMI and largest BMI range. The proportions of smokers in the low-risk and average-risk groups are slightly different and smaller than that of the high-risk group. There is no clear trend in the cholesterol level across subgroups. The mean cholesterol levels are slightly different, with high standard deviations and wide ranges of measurements. </w:t>
      </w:r>
      <w:r w:rsidR="00BD6C81">
        <w:rPr>
          <w:sz w:val="22"/>
          <w:szCs w:val="22"/>
        </w:rPr>
        <w:t xml:space="preserve">Also unsurprisingly, the low-risk group had the smallest percentage of prior cardiovascular disease while this percentage was the highest among those in the high-risk group. </w:t>
      </w:r>
    </w:p>
    <w:p w14:paraId="15AF3A58" w14:textId="77777777" w:rsidR="002A3BBC" w:rsidRPr="002A3BBC" w:rsidRDefault="002A3BBC" w:rsidP="002A3BBC">
      <w:pPr>
        <w:autoSpaceDE w:val="0"/>
        <w:autoSpaceDN w:val="0"/>
        <w:adjustRightInd w:val="0"/>
        <w:jc w:val="center"/>
        <w:rPr>
          <w:b/>
          <w:sz w:val="19"/>
          <w:szCs w:val="19"/>
        </w:rPr>
      </w:pPr>
      <w:r w:rsidRPr="002A3BBC">
        <w:rPr>
          <w:b/>
          <w:sz w:val="19"/>
          <w:szCs w:val="19"/>
        </w:rPr>
        <w:t>Table 1a. Descriptive Statistics within Groups by Serum CRP Level and Sample</w:t>
      </w:r>
    </w:p>
    <w:tbl>
      <w:tblPr>
        <w:tblW w:w="5824"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41"/>
        <w:gridCol w:w="1979"/>
        <w:gridCol w:w="2296"/>
        <w:gridCol w:w="1892"/>
        <w:gridCol w:w="2079"/>
      </w:tblGrid>
      <w:tr w:rsidR="002A3BBC" w:rsidRPr="009B770D" w14:paraId="6476AEB7" w14:textId="77777777" w:rsidTr="002A3BBC">
        <w:trPr>
          <w:trHeight w:val="360"/>
          <w:jc w:val="center"/>
        </w:trPr>
        <w:tc>
          <w:tcPr>
            <w:tcW w:w="1280" w:type="pct"/>
            <w:vMerge w:val="restart"/>
            <w:tcBorders>
              <w:right w:val="single" w:sz="4" w:space="0" w:color="auto"/>
            </w:tcBorders>
            <w:shd w:val="clear" w:color="auto" w:fill="auto"/>
            <w:noWrap/>
            <w:vAlign w:val="bottom"/>
            <w:hideMark/>
          </w:tcPr>
          <w:p w14:paraId="7E5E0434" w14:textId="77777777" w:rsidR="002A3BBC" w:rsidRPr="002A3BBC" w:rsidRDefault="002A3BBC" w:rsidP="002A3BBC">
            <w:pPr>
              <w:jc w:val="center"/>
              <w:rPr>
                <w:b/>
                <w:sz w:val="19"/>
                <w:szCs w:val="19"/>
              </w:rPr>
            </w:pPr>
            <w:r w:rsidRPr="002A3BBC">
              <w:rPr>
                <w:b/>
                <w:sz w:val="19"/>
                <w:szCs w:val="19"/>
              </w:rPr>
              <w:t>Variable</w:t>
            </w:r>
          </w:p>
          <w:p w14:paraId="77D42E9B" w14:textId="77777777" w:rsidR="002A3BBC" w:rsidRPr="0099067D" w:rsidRDefault="002A3BBC" w:rsidP="002A3BBC">
            <w:pPr>
              <w:rPr>
                <w:b/>
                <w:sz w:val="19"/>
                <w:szCs w:val="19"/>
              </w:rPr>
            </w:pPr>
          </w:p>
        </w:tc>
        <w:tc>
          <w:tcPr>
            <w:tcW w:w="3720" w:type="pct"/>
            <w:gridSpan w:val="4"/>
            <w:tcBorders>
              <w:top w:val="single" w:sz="4" w:space="0" w:color="auto"/>
              <w:left w:val="single" w:sz="4" w:space="0" w:color="auto"/>
              <w:bottom w:val="single" w:sz="4" w:space="0" w:color="auto"/>
            </w:tcBorders>
            <w:shd w:val="clear" w:color="auto" w:fill="auto"/>
            <w:noWrap/>
            <w:vAlign w:val="center"/>
            <w:hideMark/>
          </w:tcPr>
          <w:p w14:paraId="220CE9EB" w14:textId="77777777" w:rsidR="002A3BBC" w:rsidRPr="0099067D" w:rsidRDefault="002A3BBC" w:rsidP="002A3BBC">
            <w:pPr>
              <w:jc w:val="center"/>
              <w:rPr>
                <w:b/>
                <w:sz w:val="19"/>
                <w:szCs w:val="19"/>
              </w:rPr>
            </w:pPr>
            <w:r>
              <w:rPr>
                <w:b/>
                <w:sz w:val="19"/>
                <w:szCs w:val="19"/>
              </w:rPr>
              <w:t>Serum C Reactive Protein (CRP) Level</w:t>
            </w:r>
          </w:p>
        </w:tc>
      </w:tr>
      <w:tr w:rsidR="002A3BBC" w:rsidRPr="009B770D" w14:paraId="02B0C748" w14:textId="77777777" w:rsidTr="002A3BBC">
        <w:trPr>
          <w:trHeight w:val="360"/>
          <w:jc w:val="center"/>
        </w:trPr>
        <w:tc>
          <w:tcPr>
            <w:tcW w:w="1280" w:type="pct"/>
            <w:vMerge/>
            <w:tcBorders>
              <w:bottom w:val="single" w:sz="4" w:space="0" w:color="auto"/>
              <w:right w:val="single" w:sz="4" w:space="0" w:color="auto"/>
            </w:tcBorders>
            <w:shd w:val="clear" w:color="auto" w:fill="auto"/>
            <w:noWrap/>
            <w:vAlign w:val="center"/>
            <w:hideMark/>
          </w:tcPr>
          <w:p w14:paraId="38199439" w14:textId="77777777" w:rsidR="002A3BBC" w:rsidRPr="0099067D" w:rsidRDefault="002A3BBC" w:rsidP="002A3BBC">
            <w:pPr>
              <w:jc w:val="center"/>
              <w:rPr>
                <w:b/>
                <w:sz w:val="19"/>
                <w:szCs w:val="19"/>
              </w:rPr>
            </w:pPr>
          </w:p>
        </w:tc>
        <w:tc>
          <w:tcPr>
            <w:tcW w:w="9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81E35" w14:textId="77777777" w:rsidR="002A3BBC" w:rsidRPr="002A3BBC" w:rsidRDefault="002A3BBC" w:rsidP="002A3BBC">
            <w:pPr>
              <w:jc w:val="center"/>
              <w:rPr>
                <w:b/>
                <w:color w:val="000000"/>
                <w:sz w:val="19"/>
                <w:szCs w:val="19"/>
              </w:rPr>
            </w:pPr>
            <w:r w:rsidRPr="002A3BBC">
              <w:rPr>
                <w:b/>
                <w:color w:val="000000"/>
                <w:sz w:val="19"/>
                <w:szCs w:val="19"/>
              </w:rPr>
              <w:t>Low Risk (&lt; 1mg/L)</w:t>
            </w:r>
          </w:p>
          <w:p w14:paraId="778BA660" w14:textId="77777777" w:rsidR="002A3BBC" w:rsidRPr="0099067D" w:rsidRDefault="002A3BBC" w:rsidP="002A3BBC">
            <w:pPr>
              <w:jc w:val="center"/>
              <w:rPr>
                <w:b/>
                <w:color w:val="000000"/>
                <w:sz w:val="19"/>
                <w:szCs w:val="19"/>
              </w:rPr>
            </w:pPr>
            <w:r w:rsidRPr="002A3BBC">
              <w:rPr>
                <w:b/>
                <w:color w:val="000000"/>
                <w:sz w:val="19"/>
                <w:szCs w:val="19"/>
              </w:rPr>
              <w:t xml:space="preserve">(n = </w:t>
            </w:r>
            <w:r w:rsidRPr="0099067D">
              <w:rPr>
                <w:b/>
                <w:color w:val="000000"/>
                <w:sz w:val="19"/>
                <w:szCs w:val="19"/>
              </w:rPr>
              <w:t>428</w:t>
            </w:r>
            <w:r w:rsidRPr="002A3BBC">
              <w:rPr>
                <w:b/>
                <w:color w:val="000000"/>
                <w:sz w:val="19"/>
                <w:szCs w:val="19"/>
              </w:rPr>
              <w:t>)</w:t>
            </w:r>
          </w:p>
        </w:tc>
        <w:tc>
          <w:tcPr>
            <w:tcW w:w="10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AA9E2" w14:textId="77777777" w:rsidR="002A3BBC" w:rsidRPr="002A3BBC" w:rsidRDefault="002A3BBC" w:rsidP="002A3BBC">
            <w:pPr>
              <w:jc w:val="center"/>
              <w:rPr>
                <w:b/>
                <w:color w:val="000000"/>
                <w:sz w:val="19"/>
                <w:szCs w:val="19"/>
              </w:rPr>
            </w:pPr>
            <w:r w:rsidRPr="002A3BBC">
              <w:rPr>
                <w:b/>
                <w:color w:val="000000"/>
                <w:sz w:val="19"/>
                <w:szCs w:val="19"/>
              </w:rPr>
              <w:t>Average Risk (1 – 3mg/L)</w:t>
            </w:r>
          </w:p>
          <w:p w14:paraId="53D42A6D" w14:textId="77777777" w:rsidR="002A3BBC" w:rsidRPr="0099067D" w:rsidRDefault="002A3BBC" w:rsidP="002A3BBC">
            <w:pPr>
              <w:jc w:val="center"/>
              <w:rPr>
                <w:b/>
                <w:color w:val="000000"/>
                <w:sz w:val="19"/>
                <w:szCs w:val="19"/>
              </w:rPr>
            </w:pPr>
            <w:r w:rsidRPr="002A3BBC">
              <w:rPr>
                <w:b/>
                <w:color w:val="000000"/>
                <w:sz w:val="19"/>
                <w:szCs w:val="19"/>
              </w:rPr>
              <w:t xml:space="preserve">(n = </w:t>
            </w:r>
            <w:r w:rsidRPr="0099067D">
              <w:rPr>
                <w:b/>
                <w:color w:val="000000"/>
                <w:sz w:val="19"/>
                <w:szCs w:val="19"/>
              </w:rPr>
              <w:t>3</w:t>
            </w:r>
            <w:r w:rsidR="00B15890">
              <w:rPr>
                <w:b/>
                <w:color w:val="000000"/>
                <w:sz w:val="19"/>
                <w:szCs w:val="19"/>
              </w:rPr>
              <w:t>,</w:t>
            </w:r>
            <w:r w:rsidRPr="0099067D">
              <w:rPr>
                <w:b/>
                <w:color w:val="000000"/>
                <w:sz w:val="19"/>
                <w:szCs w:val="19"/>
              </w:rPr>
              <w:t>330</w:t>
            </w:r>
            <w:r w:rsidRPr="002A3BBC">
              <w:rPr>
                <w:b/>
                <w:color w:val="000000"/>
                <w:sz w:val="19"/>
                <w:szCs w:val="19"/>
              </w:rPr>
              <w:t>)</w:t>
            </w:r>
          </w:p>
        </w:tc>
        <w:tc>
          <w:tcPr>
            <w:tcW w:w="8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C83F3" w14:textId="77777777" w:rsidR="002A3BBC" w:rsidRPr="002A3BBC" w:rsidRDefault="002A3BBC" w:rsidP="002A3BBC">
            <w:pPr>
              <w:jc w:val="center"/>
              <w:rPr>
                <w:b/>
                <w:color w:val="000000"/>
                <w:sz w:val="19"/>
                <w:szCs w:val="19"/>
              </w:rPr>
            </w:pPr>
            <w:r w:rsidRPr="002A3BBC">
              <w:rPr>
                <w:b/>
                <w:color w:val="000000"/>
                <w:sz w:val="19"/>
                <w:szCs w:val="19"/>
              </w:rPr>
              <w:t>High Risk (&gt; 3mg/L)</w:t>
            </w:r>
          </w:p>
          <w:p w14:paraId="170EA76B" w14:textId="77777777" w:rsidR="002A3BBC" w:rsidRPr="0099067D" w:rsidRDefault="002A3BBC" w:rsidP="002A3BBC">
            <w:pPr>
              <w:jc w:val="center"/>
              <w:rPr>
                <w:b/>
                <w:color w:val="000000"/>
                <w:sz w:val="19"/>
                <w:szCs w:val="19"/>
              </w:rPr>
            </w:pPr>
            <w:r w:rsidRPr="002A3BBC">
              <w:rPr>
                <w:b/>
                <w:color w:val="000000"/>
                <w:sz w:val="19"/>
                <w:szCs w:val="19"/>
              </w:rPr>
              <w:t xml:space="preserve">(n = </w:t>
            </w:r>
            <w:r w:rsidRPr="0099067D">
              <w:rPr>
                <w:b/>
                <w:color w:val="000000"/>
                <w:sz w:val="19"/>
                <w:szCs w:val="19"/>
              </w:rPr>
              <w:t>1</w:t>
            </w:r>
            <w:r w:rsidR="00B15890">
              <w:rPr>
                <w:b/>
                <w:color w:val="000000"/>
                <w:sz w:val="19"/>
                <w:szCs w:val="19"/>
              </w:rPr>
              <w:t>,</w:t>
            </w:r>
            <w:r w:rsidRPr="0099067D">
              <w:rPr>
                <w:b/>
                <w:color w:val="000000"/>
                <w:sz w:val="19"/>
                <w:szCs w:val="19"/>
              </w:rPr>
              <w:t>175</w:t>
            </w:r>
            <w:r w:rsidRPr="002A3BBC">
              <w:rPr>
                <w:b/>
                <w:color w:val="000000"/>
                <w:sz w:val="19"/>
                <w:szCs w:val="19"/>
              </w:rPr>
              <w:t>)</w:t>
            </w:r>
          </w:p>
        </w:tc>
        <w:tc>
          <w:tcPr>
            <w:tcW w:w="926" w:type="pct"/>
            <w:tcBorders>
              <w:top w:val="single" w:sz="4" w:space="0" w:color="auto"/>
              <w:left w:val="single" w:sz="4" w:space="0" w:color="auto"/>
              <w:bottom w:val="single" w:sz="4" w:space="0" w:color="auto"/>
            </w:tcBorders>
            <w:shd w:val="clear" w:color="auto" w:fill="auto"/>
            <w:noWrap/>
            <w:vAlign w:val="center"/>
            <w:hideMark/>
          </w:tcPr>
          <w:p w14:paraId="283978CF" w14:textId="77777777" w:rsidR="002A3BBC" w:rsidRPr="002A3BBC" w:rsidRDefault="002A3BBC" w:rsidP="002A3BBC">
            <w:pPr>
              <w:jc w:val="center"/>
              <w:rPr>
                <w:b/>
                <w:color w:val="000000"/>
                <w:sz w:val="19"/>
                <w:szCs w:val="19"/>
              </w:rPr>
            </w:pPr>
            <w:r w:rsidRPr="002A3BBC">
              <w:rPr>
                <w:b/>
                <w:color w:val="000000"/>
                <w:sz w:val="19"/>
                <w:szCs w:val="19"/>
              </w:rPr>
              <w:t>All Subjects (any level)</w:t>
            </w:r>
          </w:p>
          <w:p w14:paraId="3FDC54DF" w14:textId="77777777" w:rsidR="002A3BBC" w:rsidRPr="0099067D" w:rsidRDefault="002A3BBC" w:rsidP="002A3BBC">
            <w:pPr>
              <w:jc w:val="center"/>
              <w:rPr>
                <w:b/>
                <w:color w:val="000000"/>
                <w:sz w:val="19"/>
                <w:szCs w:val="19"/>
              </w:rPr>
            </w:pPr>
            <w:r w:rsidRPr="002A3BBC">
              <w:rPr>
                <w:b/>
                <w:color w:val="000000"/>
                <w:sz w:val="19"/>
                <w:szCs w:val="19"/>
              </w:rPr>
              <w:t xml:space="preserve">(n = </w:t>
            </w:r>
            <w:r w:rsidR="006F1418">
              <w:rPr>
                <w:b/>
                <w:color w:val="000000"/>
                <w:sz w:val="19"/>
                <w:szCs w:val="19"/>
              </w:rPr>
              <w:t>4</w:t>
            </w:r>
            <w:r w:rsidR="00B15890">
              <w:rPr>
                <w:b/>
                <w:color w:val="000000"/>
                <w:sz w:val="19"/>
                <w:szCs w:val="19"/>
              </w:rPr>
              <w:t>,</w:t>
            </w:r>
            <w:r w:rsidR="006F1418">
              <w:rPr>
                <w:b/>
                <w:color w:val="000000"/>
                <w:sz w:val="19"/>
                <w:szCs w:val="19"/>
              </w:rPr>
              <w:t>933</w:t>
            </w:r>
            <w:r w:rsidRPr="002A3BBC">
              <w:rPr>
                <w:b/>
                <w:color w:val="000000"/>
                <w:sz w:val="19"/>
                <w:szCs w:val="19"/>
              </w:rPr>
              <w:t>)</w:t>
            </w:r>
          </w:p>
        </w:tc>
      </w:tr>
      <w:tr w:rsidR="000154E9" w:rsidRPr="009B770D" w14:paraId="7F5D1068" w14:textId="77777777" w:rsidTr="002A3BBC">
        <w:trPr>
          <w:trHeight w:val="360"/>
          <w:jc w:val="center"/>
        </w:trPr>
        <w:tc>
          <w:tcPr>
            <w:tcW w:w="1280" w:type="pct"/>
            <w:tcBorders>
              <w:top w:val="single" w:sz="4" w:space="0" w:color="auto"/>
              <w:right w:val="single" w:sz="4" w:space="0" w:color="auto"/>
            </w:tcBorders>
            <w:shd w:val="clear" w:color="auto" w:fill="auto"/>
            <w:noWrap/>
            <w:vAlign w:val="center"/>
            <w:hideMark/>
          </w:tcPr>
          <w:p w14:paraId="52D9C795" w14:textId="77777777" w:rsidR="0099067D" w:rsidRPr="0099067D" w:rsidRDefault="0099067D" w:rsidP="002A3BBC">
            <w:pPr>
              <w:rPr>
                <w:b/>
                <w:color w:val="000000"/>
                <w:sz w:val="19"/>
                <w:szCs w:val="19"/>
              </w:rPr>
            </w:pPr>
            <w:r w:rsidRPr="0099067D">
              <w:rPr>
                <w:b/>
                <w:color w:val="000000"/>
                <w:sz w:val="19"/>
                <w:szCs w:val="19"/>
              </w:rPr>
              <w:t>Death within 4 years (%)</w:t>
            </w:r>
          </w:p>
        </w:tc>
        <w:tc>
          <w:tcPr>
            <w:tcW w:w="909" w:type="pct"/>
            <w:tcBorders>
              <w:top w:val="single" w:sz="4" w:space="0" w:color="auto"/>
              <w:left w:val="single" w:sz="4" w:space="0" w:color="auto"/>
              <w:bottom w:val="nil"/>
              <w:right w:val="single" w:sz="4" w:space="0" w:color="auto"/>
            </w:tcBorders>
            <w:shd w:val="clear" w:color="auto" w:fill="auto"/>
            <w:noWrap/>
            <w:vAlign w:val="center"/>
            <w:hideMark/>
          </w:tcPr>
          <w:p w14:paraId="07CA8257" w14:textId="77777777" w:rsidR="0099067D" w:rsidRPr="0099067D" w:rsidRDefault="0099067D" w:rsidP="002A3BBC">
            <w:pPr>
              <w:jc w:val="center"/>
              <w:rPr>
                <w:color w:val="000000"/>
                <w:sz w:val="19"/>
                <w:szCs w:val="19"/>
              </w:rPr>
            </w:pPr>
            <w:r w:rsidRPr="0099067D">
              <w:rPr>
                <w:color w:val="000000"/>
                <w:sz w:val="19"/>
                <w:szCs w:val="19"/>
              </w:rPr>
              <w:t>4.9%</w:t>
            </w:r>
          </w:p>
        </w:tc>
        <w:tc>
          <w:tcPr>
            <w:tcW w:w="1020" w:type="pct"/>
            <w:tcBorders>
              <w:top w:val="single" w:sz="4" w:space="0" w:color="auto"/>
              <w:left w:val="single" w:sz="4" w:space="0" w:color="auto"/>
              <w:right w:val="single" w:sz="4" w:space="0" w:color="auto"/>
            </w:tcBorders>
            <w:shd w:val="clear" w:color="auto" w:fill="auto"/>
            <w:noWrap/>
            <w:vAlign w:val="center"/>
            <w:hideMark/>
          </w:tcPr>
          <w:p w14:paraId="7EF6FA99" w14:textId="77777777" w:rsidR="0099067D" w:rsidRPr="0099067D" w:rsidRDefault="0099067D" w:rsidP="002A3BBC">
            <w:pPr>
              <w:jc w:val="center"/>
              <w:rPr>
                <w:color w:val="000000"/>
                <w:sz w:val="19"/>
                <w:szCs w:val="19"/>
              </w:rPr>
            </w:pPr>
            <w:r w:rsidRPr="0099067D">
              <w:rPr>
                <w:color w:val="000000"/>
                <w:sz w:val="19"/>
                <w:szCs w:val="19"/>
              </w:rPr>
              <w:t>8.4%</w:t>
            </w:r>
          </w:p>
        </w:tc>
        <w:tc>
          <w:tcPr>
            <w:tcW w:w="865" w:type="pct"/>
            <w:tcBorders>
              <w:top w:val="single" w:sz="4" w:space="0" w:color="auto"/>
              <w:left w:val="single" w:sz="4" w:space="0" w:color="auto"/>
              <w:bottom w:val="nil"/>
              <w:right w:val="single" w:sz="4" w:space="0" w:color="auto"/>
            </w:tcBorders>
            <w:shd w:val="clear" w:color="auto" w:fill="auto"/>
            <w:noWrap/>
            <w:vAlign w:val="center"/>
            <w:hideMark/>
          </w:tcPr>
          <w:p w14:paraId="63F8CC38" w14:textId="77777777" w:rsidR="0099067D" w:rsidRPr="0099067D" w:rsidRDefault="0099067D" w:rsidP="002A3BBC">
            <w:pPr>
              <w:jc w:val="center"/>
              <w:rPr>
                <w:color w:val="000000"/>
                <w:sz w:val="19"/>
                <w:szCs w:val="19"/>
              </w:rPr>
            </w:pPr>
            <w:r w:rsidRPr="0099067D">
              <w:rPr>
                <w:color w:val="000000"/>
                <w:sz w:val="19"/>
                <w:szCs w:val="19"/>
              </w:rPr>
              <w:t>15.6%</w:t>
            </w:r>
          </w:p>
        </w:tc>
        <w:tc>
          <w:tcPr>
            <w:tcW w:w="926" w:type="pct"/>
            <w:tcBorders>
              <w:top w:val="single" w:sz="4" w:space="0" w:color="auto"/>
              <w:left w:val="single" w:sz="4" w:space="0" w:color="auto"/>
            </w:tcBorders>
            <w:shd w:val="clear" w:color="auto" w:fill="auto"/>
            <w:noWrap/>
            <w:vAlign w:val="center"/>
            <w:hideMark/>
          </w:tcPr>
          <w:p w14:paraId="5ABF7E4C" w14:textId="77777777" w:rsidR="0099067D" w:rsidRPr="0099067D" w:rsidRDefault="006F1418" w:rsidP="002A3BBC">
            <w:pPr>
              <w:jc w:val="center"/>
              <w:rPr>
                <w:color w:val="000000"/>
                <w:sz w:val="19"/>
                <w:szCs w:val="19"/>
              </w:rPr>
            </w:pPr>
            <w:r>
              <w:rPr>
                <w:color w:val="000000"/>
                <w:sz w:val="19"/>
                <w:szCs w:val="19"/>
              </w:rPr>
              <w:t>10.0</w:t>
            </w:r>
            <w:r w:rsidR="0099067D" w:rsidRPr="0099067D">
              <w:rPr>
                <w:color w:val="000000"/>
                <w:sz w:val="19"/>
                <w:szCs w:val="19"/>
              </w:rPr>
              <w:t>%</w:t>
            </w:r>
          </w:p>
        </w:tc>
      </w:tr>
      <w:tr w:rsidR="000154E9" w:rsidRPr="009B770D" w14:paraId="511E6070" w14:textId="77777777" w:rsidTr="002A3BBC">
        <w:trPr>
          <w:trHeight w:val="360"/>
          <w:jc w:val="center"/>
        </w:trPr>
        <w:tc>
          <w:tcPr>
            <w:tcW w:w="1280" w:type="pct"/>
            <w:tcBorders>
              <w:right w:val="single" w:sz="4" w:space="0" w:color="auto"/>
            </w:tcBorders>
            <w:shd w:val="clear" w:color="auto" w:fill="auto"/>
            <w:noWrap/>
            <w:vAlign w:val="center"/>
            <w:hideMark/>
          </w:tcPr>
          <w:p w14:paraId="304B6E14" w14:textId="77777777" w:rsidR="0099067D" w:rsidRPr="0099067D" w:rsidRDefault="0099067D" w:rsidP="002A3BBC">
            <w:pPr>
              <w:rPr>
                <w:b/>
                <w:color w:val="000000"/>
                <w:sz w:val="19"/>
                <w:szCs w:val="19"/>
                <w:vertAlign w:val="superscript"/>
              </w:rPr>
            </w:pPr>
            <w:r w:rsidRPr="0099067D">
              <w:rPr>
                <w:b/>
                <w:color w:val="000000"/>
                <w:sz w:val="19"/>
                <w:szCs w:val="19"/>
              </w:rPr>
              <w:t>Age (years)</w:t>
            </w:r>
            <w:r w:rsidR="002A3BBC" w:rsidRPr="002A3BBC">
              <w:rPr>
                <w:b/>
                <w:color w:val="000000"/>
                <w:sz w:val="19"/>
                <w:szCs w:val="19"/>
                <w:vertAlign w:val="superscript"/>
              </w:rPr>
              <w:t>1</w:t>
            </w:r>
          </w:p>
        </w:tc>
        <w:tc>
          <w:tcPr>
            <w:tcW w:w="909" w:type="pct"/>
            <w:tcBorders>
              <w:top w:val="nil"/>
              <w:left w:val="single" w:sz="4" w:space="0" w:color="auto"/>
              <w:bottom w:val="nil"/>
              <w:right w:val="single" w:sz="4" w:space="0" w:color="auto"/>
            </w:tcBorders>
            <w:shd w:val="clear" w:color="auto" w:fill="auto"/>
            <w:noWrap/>
            <w:vAlign w:val="center"/>
            <w:hideMark/>
          </w:tcPr>
          <w:p w14:paraId="58CAB853" w14:textId="77777777" w:rsidR="0099067D" w:rsidRPr="0099067D" w:rsidRDefault="0099067D" w:rsidP="002A3BBC">
            <w:pPr>
              <w:jc w:val="center"/>
              <w:rPr>
                <w:color w:val="000000"/>
                <w:sz w:val="19"/>
                <w:szCs w:val="19"/>
              </w:rPr>
            </w:pPr>
            <w:r w:rsidRPr="0099067D">
              <w:rPr>
                <w:color w:val="000000"/>
                <w:sz w:val="19"/>
                <w:szCs w:val="19"/>
              </w:rPr>
              <w:t>73.5 (5.8; 65 - 94)</w:t>
            </w:r>
          </w:p>
        </w:tc>
        <w:tc>
          <w:tcPr>
            <w:tcW w:w="1020" w:type="pct"/>
            <w:tcBorders>
              <w:left w:val="single" w:sz="4" w:space="0" w:color="auto"/>
              <w:right w:val="single" w:sz="4" w:space="0" w:color="auto"/>
            </w:tcBorders>
            <w:shd w:val="clear" w:color="auto" w:fill="auto"/>
            <w:noWrap/>
            <w:vAlign w:val="center"/>
            <w:hideMark/>
          </w:tcPr>
          <w:p w14:paraId="740E37CB" w14:textId="77777777" w:rsidR="0099067D" w:rsidRPr="0099067D" w:rsidRDefault="0099067D" w:rsidP="002A3BBC">
            <w:pPr>
              <w:jc w:val="center"/>
              <w:rPr>
                <w:color w:val="000000"/>
                <w:sz w:val="19"/>
                <w:szCs w:val="19"/>
              </w:rPr>
            </w:pPr>
            <w:r w:rsidRPr="0099067D">
              <w:rPr>
                <w:color w:val="000000"/>
                <w:sz w:val="19"/>
                <w:szCs w:val="19"/>
              </w:rPr>
              <w:t>72.7 (5.5; 65 - 100)</w:t>
            </w:r>
          </w:p>
        </w:tc>
        <w:tc>
          <w:tcPr>
            <w:tcW w:w="865" w:type="pct"/>
            <w:tcBorders>
              <w:top w:val="nil"/>
              <w:left w:val="single" w:sz="4" w:space="0" w:color="auto"/>
              <w:bottom w:val="nil"/>
              <w:right w:val="single" w:sz="4" w:space="0" w:color="auto"/>
            </w:tcBorders>
            <w:shd w:val="clear" w:color="auto" w:fill="auto"/>
            <w:noWrap/>
            <w:vAlign w:val="center"/>
            <w:hideMark/>
          </w:tcPr>
          <w:p w14:paraId="607F594F" w14:textId="77777777" w:rsidR="0099067D" w:rsidRPr="0099067D" w:rsidRDefault="0099067D" w:rsidP="002A3BBC">
            <w:pPr>
              <w:jc w:val="center"/>
              <w:rPr>
                <w:color w:val="000000"/>
                <w:sz w:val="19"/>
                <w:szCs w:val="19"/>
              </w:rPr>
            </w:pPr>
            <w:r w:rsidRPr="0099067D">
              <w:rPr>
                <w:color w:val="000000"/>
                <w:sz w:val="19"/>
                <w:szCs w:val="19"/>
              </w:rPr>
              <w:t>72.7 (5.6; 65 - 93)</w:t>
            </w:r>
          </w:p>
        </w:tc>
        <w:tc>
          <w:tcPr>
            <w:tcW w:w="926" w:type="pct"/>
            <w:tcBorders>
              <w:left w:val="single" w:sz="4" w:space="0" w:color="auto"/>
            </w:tcBorders>
            <w:shd w:val="clear" w:color="auto" w:fill="auto"/>
            <w:noWrap/>
            <w:vAlign w:val="center"/>
            <w:hideMark/>
          </w:tcPr>
          <w:p w14:paraId="10922191" w14:textId="77777777" w:rsidR="0099067D" w:rsidRPr="0099067D" w:rsidRDefault="0099067D" w:rsidP="002A3BBC">
            <w:pPr>
              <w:jc w:val="center"/>
              <w:rPr>
                <w:color w:val="000000"/>
                <w:sz w:val="19"/>
                <w:szCs w:val="19"/>
              </w:rPr>
            </w:pPr>
            <w:r w:rsidRPr="0099067D">
              <w:rPr>
                <w:color w:val="000000"/>
                <w:sz w:val="19"/>
                <w:szCs w:val="19"/>
              </w:rPr>
              <w:t>72.8 (5.6; 65 - 100)</w:t>
            </w:r>
          </w:p>
        </w:tc>
      </w:tr>
      <w:tr w:rsidR="000154E9" w:rsidRPr="009B770D" w14:paraId="4D86D8F7" w14:textId="77777777" w:rsidTr="002A3BBC">
        <w:trPr>
          <w:trHeight w:val="360"/>
          <w:jc w:val="center"/>
        </w:trPr>
        <w:tc>
          <w:tcPr>
            <w:tcW w:w="1280" w:type="pct"/>
            <w:tcBorders>
              <w:right w:val="single" w:sz="4" w:space="0" w:color="auto"/>
            </w:tcBorders>
            <w:shd w:val="clear" w:color="auto" w:fill="auto"/>
            <w:noWrap/>
            <w:vAlign w:val="center"/>
            <w:hideMark/>
          </w:tcPr>
          <w:p w14:paraId="15667B56" w14:textId="77777777" w:rsidR="0099067D" w:rsidRPr="0099067D" w:rsidRDefault="0099067D" w:rsidP="002A3BBC">
            <w:pPr>
              <w:rPr>
                <w:b/>
                <w:color w:val="000000"/>
                <w:sz w:val="19"/>
                <w:szCs w:val="19"/>
              </w:rPr>
            </w:pPr>
            <w:r w:rsidRPr="0099067D">
              <w:rPr>
                <w:b/>
                <w:color w:val="000000"/>
                <w:sz w:val="19"/>
                <w:szCs w:val="19"/>
              </w:rPr>
              <w:t>Male (%)</w:t>
            </w:r>
          </w:p>
        </w:tc>
        <w:tc>
          <w:tcPr>
            <w:tcW w:w="909" w:type="pct"/>
            <w:tcBorders>
              <w:top w:val="nil"/>
              <w:left w:val="single" w:sz="4" w:space="0" w:color="auto"/>
              <w:bottom w:val="nil"/>
              <w:right w:val="single" w:sz="4" w:space="0" w:color="auto"/>
            </w:tcBorders>
            <w:shd w:val="clear" w:color="auto" w:fill="auto"/>
            <w:noWrap/>
            <w:vAlign w:val="center"/>
            <w:hideMark/>
          </w:tcPr>
          <w:p w14:paraId="17965322" w14:textId="77777777" w:rsidR="0099067D" w:rsidRPr="0099067D" w:rsidRDefault="0099067D" w:rsidP="002A3BBC">
            <w:pPr>
              <w:jc w:val="center"/>
              <w:rPr>
                <w:color w:val="000000"/>
                <w:sz w:val="19"/>
                <w:szCs w:val="19"/>
              </w:rPr>
            </w:pPr>
            <w:r w:rsidRPr="0099067D">
              <w:rPr>
                <w:color w:val="000000"/>
                <w:sz w:val="19"/>
                <w:szCs w:val="19"/>
              </w:rPr>
              <w:t>45.6%</w:t>
            </w:r>
          </w:p>
        </w:tc>
        <w:tc>
          <w:tcPr>
            <w:tcW w:w="1020" w:type="pct"/>
            <w:tcBorders>
              <w:left w:val="single" w:sz="4" w:space="0" w:color="auto"/>
              <w:right w:val="single" w:sz="4" w:space="0" w:color="auto"/>
            </w:tcBorders>
            <w:shd w:val="clear" w:color="auto" w:fill="auto"/>
            <w:noWrap/>
            <w:vAlign w:val="center"/>
            <w:hideMark/>
          </w:tcPr>
          <w:p w14:paraId="7CFFFE5D" w14:textId="77777777" w:rsidR="0099067D" w:rsidRPr="0099067D" w:rsidRDefault="0099067D" w:rsidP="002A3BBC">
            <w:pPr>
              <w:jc w:val="center"/>
              <w:rPr>
                <w:color w:val="000000"/>
                <w:sz w:val="19"/>
                <w:szCs w:val="19"/>
              </w:rPr>
            </w:pPr>
            <w:r w:rsidRPr="0099067D">
              <w:rPr>
                <w:color w:val="000000"/>
                <w:sz w:val="19"/>
                <w:szCs w:val="19"/>
              </w:rPr>
              <w:t>43.3%</w:t>
            </w:r>
          </w:p>
        </w:tc>
        <w:tc>
          <w:tcPr>
            <w:tcW w:w="865" w:type="pct"/>
            <w:tcBorders>
              <w:top w:val="nil"/>
              <w:left w:val="single" w:sz="4" w:space="0" w:color="auto"/>
              <w:bottom w:val="nil"/>
              <w:right w:val="single" w:sz="4" w:space="0" w:color="auto"/>
            </w:tcBorders>
            <w:shd w:val="clear" w:color="auto" w:fill="auto"/>
            <w:noWrap/>
            <w:vAlign w:val="center"/>
            <w:hideMark/>
          </w:tcPr>
          <w:p w14:paraId="03CE2CC6" w14:textId="77777777" w:rsidR="0099067D" w:rsidRPr="0099067D" w:rsidRDefault="0099067D" w:rsidP="002A3BBC">
            <w:pPr>
              <w:jc w:val="center"/>
              <w:rPr>
                <w:color w:val="000000"/>
                <w:sz w:val="19"/>
                <w:szCs w:val="19"/>
              </w:rPr>
            </w:pPr>
            <w:r w:rsidRPr="0099067D">
              <w:rPr>
                <w:color w:val="000000"/>
                <w:sz w:val="19"/>
                <w:szCs w:val="19"/>
              </w:rPr>
              <w:t>37.0%</w:t>
            </w:r>
          </w:p>
        </w:tc>
        <w:tc>
          <w:tcPr>
            <w:tcW w:w="926" w:type="pct"/>
            <w:tcBorders>
              <w:left w:val="single" w:sz="4" w:space="0" w:color="auto"/>
            </w:tcBorders>
            <w:shd w:val="clear" w:color="auto" w:fill="auto"/>
            <w:noWrap/>
            <w:vAlign w:val="center"/>
            <w:hideMark/>
          </w:tcPr>
          <w:p w14:paraId="17986C7E" w14:textId="77777777" w:rsidR="0099067D" w:rsidRPr="0099067D" w:rsidRDefault="006F1418" w:rsidP="002A3BBC">
            <w:pPr>
              <w:jc w:val="center"/>
              <w:rPr>
                <w:color w:val="000000"/>
                <w:sz w:val="19"/>
                <w:szCs w:val="19"/>
              </w:rPr>
            </w:pPr>
            <w:r>
              <w:rPr>
                <w:color w:val="000000"/>
                <w:sz w:val="19"/>
                <w:szCs w:val="19"/>
              </w:rPr>
              <w:t>42.5</w:t>
            </w:r>
            <w:r w:rsidR="0099067D" w:rsidRPr="0099067D">
              <w:rPr>
                <w:color w:val="000000"/>
                <w:sz w:val="19"/>
                <w:szCs w:val="19"/>
              </w:rPr>
              <w:t>%</w:t>
            </w:r>
          </w:p>
        </w:tc>
      </w:tr>
      <w:tr w:rsidR="000154E9" w:rsidRPr="009B770D" w14:paraId="71E4112A" w14:textId="77777777" w:rsidTr="002A3BBC">
        <w:trPr>
          <w:trHeight w:val="360"/>
          <w:jc w:val="center"/>
        </w:trPr>
        <w:tc>
          <w:tcPr>
            <w:tcW w:w="1280" w:type="pct"/>
            <w:tcBorders>
              <w:right w:val="single" w:sz="4" w:space="0" w:color="auto"/>
            </w:tcBorders>
            <w:shd w:val="clear" w:color="auto" w:fill="auto"/>
            <w:noWrap/>
            <w:vAlign w:val="center"/>
            <w:hideMark/>
          </w:tcPr>
          <w:p w14:paraId="493E689A" w14:textId="77777777" w:rsidR="0099067D" w:rsidRPr="0099067D" w:rsidRDefault="0099067D" w:rsidP="002A3BBC">
            <w:pPr>
              <w:rPr>
                <w:b/>
                <w:color w:val="000000"/>
                <w:sz w:val="19"/>
                <w:szCs w:val="19"/>
                <w:vertAlign w:val="superscript"/>
              </w:rPr>
            </w:pPr>
            <w:r w:rsidRPr="0099067D">
              <w:rPr>
                <w:b/>
                <w:color w:val="000000"/>
                <w:sz w:val="19"/>
                <w:szCs w:val="19"/>
              </w:rPr>
              <w:t>BMI</w:t>
            </w:r>
            <w:r w:rsidR="002A3BBC" w:rsidRPr="002A3BBC">
              <w:rPr>
                <w:b/>
                <w:color w:val="000000"/>
                <w:sz w:val="19"/>
                <w:szCs w:val="19"/>
                <w:vertAlign w:val="superscript"/>
              </w:rPr>
              <w:t>1</w:t>
            </w:r>
          </w:p>
        </w:tc>
        <w:tc>
          <w:tcPr>
            <w:tcW w:w="909" w:type="pct"/>
            <w:tcBorders>
              <w:top w:val="nil"/>
              <w:left w:val="single" w:sz="4" w:space="0" w:color="auto"/>
              <w:bottom w:val="nil"/>
              <w:right w:val="single" w:sz="4" w:space="0" w:color="auto"/>
            </w:tcBorders>
            <w:shd w:val="clear" w:color="auto" w:fill="auto"/>
            <w:noWrap/>
            <w:vAlign w:val="center"/>
            <w:hideMark/>
          </w:tcPr>
          <w:p w14:paraId="7A3FB2DC" w14:textId="77777777" w:rsidR="0099067D" w:rsidRPr="0099067D" w:rsidRDefault="0099067D" w:rsidP="002A3BBC">
            <w:pPr>
              <w:jc w:val="center"/>
              <w:rPr>
                <w:color w:val="000000"/>
                <w:sz w:val="19"/>
                <w:szCs w:val="19"/>
              </w:rPr>
            </w:pPr>
            <w:r w:rsidRPr="0099067D">
              <w:rPr>
                <w:color w:val="000000"/>
                <w:sz w:val="19"/>
                <w:szCs w:val="19"/>
              </w:rPr>
              <w:t>23.8 (3.6; 15.6 - 38.6)</w:t>
            </w:r>
          </w:p>
        </w:tc>
        <w:tc>
          <w:tcPr>
            <w:tcW w:w="1020" w:type="pct"/>
            <w:tcBorders>
              <w:left w:val="single" w:sz="4" w:space="0" w:color="auto"/>
              <w:right w:val="single" w:sz="4" w:space="0" w:color="auto"/>
            </w:tcBorders>
            <w:shd w:val="clear" w:color="auto" w:fill="auto"/>
            <w:noWrap/>
            <w:vAlign w:val="center"/>
            <w:hideMark/>
          </w:tcPr>
          <w:p w14:paraId="78BD96BB" w14:textId="77777777" w:rsidR="0099067D" w:rsidRPr="0099067D" w:rsidRDefault="0099067D" w:rsidP="002A3BBC">
            <w:pPr>
              <w:jc w:val="center"/>
              <w:rPr>
                <w:color w:val="000000"/>
                <w:sz w:val="19"/>
                <w:szCs w:val="19"/>
              </w:rPr>
            </w:pPr>
            <w:r w:rsidRPr="0099067D">
              <w:rPr>
                <w:color w:val="000000"/>
                <w:sz w:val="19"/>
                <w:szCs w:val="19"/>
              </w:rPr>
              <w:t>26.4 (4.3; 14.7 - 53.2)</w:t>
            </w:r>
          </w:p>
        </w:tc>
        <w:tc>
          <w:tcPr>
            <w:tcW w:w="865" w:type="pct"/>
            <w:tcBorders>
              <w:top w:val="nil"/>
              <w:left w:val="single" w:sz="4" w:space="0" w:color="auto"/>
              <w:bottom w:val="nil"/>
              <w:right w:val="single" w:sz="4" w:space="0" w:color="auto"/>
            </w:tcBorders>
            <w:shd w:val="clear" w:color="auto" w:fill="auto"/>
            <w:noWrap/>
            <w:vAlign w:val="center"/>
            <w:hideMark/>
          </w:tcPr>
          <w:p w14:paraId="1C4C8B08" w14:textId="77777777" w:rsidR="0099067D" w:rsidRPr="0099067D" w:rsidRDefault="0099067D" w:rsidP="002A3BBC">
            <w:pPr>
              <w:jc w:val="center"/>
              <w:rPr>
                <w:color w:val="000000"/>
                <w:sz w:val="19"/>
                <w:szCs w:val="19"/>
              </w:rPr>
            </w:pPr>
            <w:r w:rsidRPr="0099067D">
              <w:rPr>
                <w:color w:val="000000"/>
                <w:sz w:val="19"/>
                <w:szCs w:val="19"/>
              </w:rPr>
              <w:t>28.5 (5.5; 15.3 - 58.8)</w:t>
            </w:r>
          </w:p>
        </w:tc>
        <w:tc>
          <w:tcPr>
            <w:tcW w:w="926" w:type="pct"/>
            <w:tcBorders>
              <w:left w:val="single" w:sz="4" w:space="0" w:color="auto"/>
            </w:tcBorders>
            <w:shd w:val="clear" w:color="auto" w:fill="auto"/>
            <w:noWrap/>
            <w:vAlign w:val="center"/>
            <w:hideMark/>
          </w:tcPr>
          <w:p w14:paraId="3F7E7890" w14:textId="77777777" w:rsidR="0099067D" w:rsidRPr="0099067D" w:rsidRDefault="0099067D" w:rsidP="002A3BBC">
            <w:pPr>
              <w:jc w:val="center"/>
              <w:rPr>
                <w:color w:val="000000"/>
                <w:sz w:val="19"/>
                <w:szCs w:val="19"/>
              </w:rPr>
            </w:pPr>
            <w:r w:rsidRPr="0099067D">
              <w:rPr>
                <w:color w:val="000000"/>
                <w:sz w:val="19"/>
                <w:szCs w:val="19"/>
              </w:rPr>
              <w:t>26.7 (4.7; 14.7 - 58.8)</w:t>
            </w:r>
          </w:p>
        </w:tc>
      </w:tr>
      <w:tr w:rsidR="000154E9" w:rsidRPr="009B770D" w14:paraId="09E86001" w14:textId="77777777" w:rsidTr="002A3BBC">
        <w:trPr>
          <w:trHeight w:val="360"/>
          <w:jc w:val="center"/>
        </w:trPr>
        <w:tc>
          <w:tcPr>
            <w:tcW w:w="1280" w:type="pct"/>
            <w:tcBorders>
              <w:right w:val="single" w:sz="4" w:space="0" w:color="auto"/>
            </w:tcBorders>
            <w:shd w:val="clear" w:color="auto" w:fill="auto"/>
            <w:noWrap/>
            <w:vAlign w:val="center"/>
            <w:hideMark/>
          </w:tcPr>
          <w:p w14:paraId="557364D4" w14:textId="77777777" w:rsidR="0099067D" w:rsidRPr="0099067D" w:rsidRDefault="0099067D" w:rsidP="002A3BBC">
            <w:pPr>
              <w:rPr>
                <w:b/>
                <w:color w:val="000000"/>
                <w:sz w:val="19"/>
                <w:szCs w:val="19"/>
              </w:rPr>
            </w:pPr>
            <w:r w:rsidRPr="0099067D">
              <w:rPr>
                <w:b/>
                <w:color w:val="000000"/>
                <w:sz w:val="19"/>
                <w:szCs w:val="19"/>
              </w:rPr>
              <w:t>Smoker (%)</w:t>
            </w:r>
          </w:p>
        </w:tc>
        <w:tc>
          <w:tcPr>
            <w:tcW w:w="909" w:type="pct"/>
            <w:tcBorders>
              <w:top w:val="nil"/>
              <w:left w:val="single" w:sz="4" w:space="0" w:color="auto"/>
              <w:bottom w:val="nil"/>
              <w:right w:val="single" w:sz="4" w:space="0" w:color="auto"/>
            </w:tcBorders>
            <w:shd w:val="clear" w:color="auto" w:fill="auto"/>
            <w:noWrap/>
            <w:vAlign w:val="center"/>
            <w:hideMark/>
          </w:tcPr>
          <w:p w14:paraId="46EFFA7F" w14:textId="77777777" w:rsidR="0099067D" w:rsidRPr="0099067D" w:rsidRDefault="0099067D" w:rsidP="002A3BBC">
            <w:pPr>
              <w:jc w:val="center"/>
              <w:rPr>
                <w:color w:val="000000"/>
                <w:sz w:val="19"/>
                <w:szCs w:val="19"/>
              </w:rPr>
            </w:pPr>
            <w:r w:rsidRPr="0099067D">
              <w:rPr>
                <w:color w:val="000000"/>
                <w:sz w:val="19"/>
                <w:szCs w:val="19"/>
              </w:rPr>
              <w:t>9.6%</w:t>
            </w:r>
          </w:p>
        </w:tc>
        <w:tc>
          <w:tcPr>
            <w:tcW w:w="1020" w:type="pct"/>
            <w:tcBorders>
              <w:left w:val="single" w:sz="4" w:space="0" w:color="auto"/>
              <w:right w:val="single" w:sz="4" w:space="0" w:color="auto"/>
            </w:tcBorders>
            <w:shd w:val="clear" w:color="auto" w:fill="auto"/>
            <w:noWrap/>
            <w:vAlign w:val="center"/>
            <w:hideMark/>
          </w:tcPr>
          <w:p w14:paraId="7F69C009" w14:textId="77777777" w:rsidR="0099067D" w:rsidRPr="0099067D" w:rsidRDefault="0099067D" w:rsidP="002A3BBC">
            <w:pPr>
              <w:jc w:val="center"/>
              <w:rPr>
                <w:color w:val="000000"/>
                <w:sz w:val="19"/>
                <w:szCs w:val="19"/>
              </w:rPr>
            </w:pPr>
            <w:r w:rsidRPr="0099067D">
              <w:rPr>
                <w:color w:val="000000"/>
                <w:sz w:val="19"/>
                <w:szCs w:val="19"/>
              </w:rPr>
              <w:t>11.0%</w:t>
            </w:r>
          </w:p>
        </w:tc>
        <w:tc>
          <w:tcPr>
            <w:tcW w:w="865" w:type="pct"/>
            <w:tcBorders>
              <w:top w:val="nil"/>
              <w:left w:val="single" w:sz="4" w:space="0" w:color="auto"/>
              <w:bottom w:val="nil"/>
              <w:right w:val="single" w:sz="4" w:space="0" w:color="auto"/>
            </w:tcBorders>
            <w:shd w:val="clear" w:color="auto" w:fill="auto"/>
            <w:noWrap/>
            <w:vAlign w:val="center"/>
            <w:hideMark/>
          </w:tcPr>
          <w:p w14:paraId="16F91AAC" w14:textId="77777777" w:rsidR="0099067D" w:rsidRPr="0099067D" w:rsidRDefault="0099067D" w:rsidP="002A3BBC">
            <w:pPr>
              <w:jc w:val="center"/>
              <w:rPr>
                <w:color w:val="000000"/>
                <w:sz w:val="19"/>
                <w:szCs w:val="19"/>
              </w:rPr>
            </w:pPr>
            <w:r w:rsidRPr="0099067D">
              <w:rPr>
                <w:color w:val="000000"/>
                <w:sz w:val="19"/>
                <w:szCs w:val="19"/>
              </w:rPr>
              <w:t>16.4%</w:t>
            </w:r>
          </w:p>
        </w:tc>
        <w:tc>
          <w:tcPr>
            <w:tcW w:w="926" w:type="pct"/>
            <w:tcBorders>
              <w:left w:val="single" w:sz="4" w:space="0" w:color="auto"/>
            </w:tcBorders>
            <w:shd w:val="clear" w:color="auto" w:fill="auto"/>
            <w:noWrap/>
            <w:vAlign w:val="center"/>
            <w:hideMark/>
          </w:tcPr>
          <w:p w14:paraId="6D8106A2" w14:textId="77777777" w:rsidR="0099067D" w:rsidRPr="0099067D" w:rsidRDefault="006F1418" w:rsidP="002A3BBC">
            <w:pPr>
              <w:jc w:val="center"/>
              <w:rPr>
                <w:color w:val="000000"/>
                <w:sz w:val="19"/>
                <w:szCs w:val="19"/>
              </w:rPr>
            </w:pPr>
            <w:r>
              <w:rPr>
                <w:color w:val="000000"/>
                <w:sz w:val="19"/>
                <w:szCs w:val="19"/>
              </w:rPr>
              <w:t>12.2</w:t>
            </w:r>
            <w:r w:rsidR="0099067D" w:rsidRPr="0099067D">
              <w:rPr>
                <w:color w:val="000000"/>
                <w:sz w:val="19"/>
                <w:szCs w:val="19"/>
              </w:rPr>
              <w:t>%</w:t>
            </w:r>
          </w:p>
        </w:tc>
      </w:tr>
      <w:tr w:rsidR="000154E9" w:rsidRPr="009B770D" w14:paraId="71ED7118" w14:textId="77777777" w:rsidTr="002A3BBC">
        <w:trPr>
          <w:trHeight w:val="360"/>
          <w:jc w:val="center"/>
        </w:trPr>
        <w:tc>
          <w:tcPr>
            <w:tcW w:w="1280" w:type="pct"/>
            <w:tcBorders>
              <w:right w:val="single" w:sz="4" w:space="0" w:color="auto"/>
            </w:tcBorders>
            <w:shd w:val="clear" w:color="auto" w:fill="auto"/>
            <w:noWrap/>
            <w:vAlign w:val="center"/>
            <w:hideMark/>
          </w:tcPr>
          <w:p w14:paraId="32B7B040" w14:textId="77777777" w:rsidR="0099067D" w:rsidRPr="0099067D" w:rsidRDefault="009B459D" w:rsidP="002A3BBC">
            <w:pPr>
              <w:rPr>
                <w:b/>
                <w:color w:val="000000"/>
                <w:sz w:val="19"/>
                <w:szCs w:val="19"/>
                <w:vertAlign w:val="superscript"/>
              </w:rPr>
            </w:pPr>
            <w:r w:rsidRPr="002A3BBC">
              <w:rPr>
                <w:b/>
                <w:color w:val="000000"/>
                <w:sz w:val="19"/>
                <w:szCs w:val="19"/>
              </w:rPr>
              <w:t>Cholesterol (mg/dL</w:t>
            </w:r>
            <w:r w:rsidR="0099067D" w:rsidRPr="0099067D">
              <w:rPr>
                <w:b/>
                <w:color w:val="000000"/>
                <w:sz w:val="19"/>
                <w:szCs w:val="19"/>
              </w:rPr>
              <w:t>)</w:t>
            </w:r>
            <w:r w:rsidR="002A3BBC" w:rsidRPr="002A3BBC">
              <w:rPr>
                <w:b/>
                <w:color w:val="000000"/>
                <w:sz w:val="19"/>
                <w:szCs w:val="19"/>
                <w:vertAlign w:val="superscript"/>
              </w:rPr>
              <w:t>1</w:t>
            </w:r>
          </w:p>
        </w:tc>
        <w:tc>
          <w:tcPr>
            <w:tcW w:w="909" w:type="pct"/>
            <w:tcBorders>
              <w:top w:val="nil"/>
              <w:left w:val="single" w:sz="4" w:space="0" w:color="auto"/>
              <w:bottom w:val="nil"/>
              <w:right w:val="single" w:sz="4" w:space="0" w:color="auto"/>
            </w:tcBorders>
            <w:shd w:val="clear" w:color="auto" w:fill="auto"/>
            <w:noWrap/>
            <w:vAlign w:val="center"/>
            <w:hideMark/>
          </w:tcPr>
          <w:p w14:paraId="4BF14F55" w14:textId="77777777" w:rsidR="0099067D" w:rsidRPr="0099067D" w:rsidRDefault="0099067D" w:rsidP="002A3BBC">
            <w:pPr>
              <w:jc w:val="center"/>
              <w:rPr>
                <w:color w:val="000000"/>
                <w:sz w:val="19"/>
                <w:szCs w:val="19"/>
              </w:rPr>
            </w:pPr>
            <w:r w:rsidRPr="0099067D">
              <w:rPr>
                <w:color w:val="000000"/>
                <w:sz w:val="19"/>
                <w:szCs w:val="19"/>
              </w:rPr>
              <w:t>206.0 (40.5; 109 - 407)</w:t>
            </w:r>
          </w:p>
        </w:tc>
        <w:tc>
          <w:tcPr>
            <w:tcW w:w="1020" w:type="pct"/>
            <w:tcBorders>
              <w:left w:val="single" w:sz="4" w:space="0" w:color="auto"/>
              <w:right w:val="single" w:sz="4" w:space="0" w:color="auto"/>
            </w:tcBorders>
            <w:shd w:val="clear" w:color="auto" w:fill="auto"/>
            <w:noWrap/>
            <w:vAlign w:val="center"/>
            <w:hideMark/>
          </w:tcPr>
          <w:p w14:paraId="037D3FAE" w14:textId="77777777" w:rsidR="0099067D" w:rsidRPr="0099067D" w:rsidRDefault="0099067D" w:rsidP="002A3BBC">
            <w:pPr>
              <w:jc w:val="center"/>
              <w:rPr>
                <w:color w:val="000000"/>
                <w:sz w:val="19"/>
                <w:szCs w:val="19"/>
              </w:rPr>
            </w:pPr>
            <w:r w:rsidRPr="0099067D">
              <w:rPr>
                <w:color w:val="000000"/>
                <w:sz w:val="19"/>
                <w:szCs w:val="19"/>
              </w:rPr>
              <w:t>212.8 (38.6; 73 - 363)</w:t>
            </w:r>
          </w:p>
        </w:tc>
        <w:tc>
          <w:tcPr>
            <w:tcW w:w="865" w:type="pct"/>
            <w:tcBorders>
              <w:top w:val="nil"/>
              <w:left w:val="single" w:sz="4" w:space="0" w:color="auto"/>
              <w:bottom w:val="nil"/>
              <w:right w:val="single" w:sz="4" w:space="0" w:color="auto"/>
            </w:tcBorders>
            <w:shd w:val="clear" w:color="auto" w:fill="auto"/>
            <w:noWrap/>
            <w:vAlign w:val="center"/>
            <w:hideMark/>
          </w:tcPr>
          <w:p w14:paraId="7700BAD8" w14:textId="77777777" w:rsidR="0099067D" w:rsidRPr="0099067D" w:rsidRDefault="0099067D" w:rsidP="002A3BBC">
            <w:pPr>
              <w:jc w:val="center"/>
              <w:rPr>
                <w:color w:val="000000"/>
                <w:sz w:val="19"/>
                <w:szCs w:val="19"/>
              </w:rPr>
            </w:pPr>
            <w:r w:rsidRPr="0099067D">
              <w:rPr>
                <w:color w:val="000000"/>
                <w:sz w:val="19"/>
                <w:szCs w:val="19"/>
              </w:rPr>
              <w:t>210.5 (40.4; 97 - 430)</w:t>
            </w:r>
          </w:p>
        </w:tc>
        <w:tc>
          <w:tcPr>
            <w:tcW w:w="926" w:type="pct"/>
            <w:tcBorders>
              <w:left w:val="single" w:sz="4" w:space="0" w:color="auto"/>
            </w:tcBorders>
            <w:shd w:val="clear" w:color="auto" w:fill="auto"/>
            <w:noWrap/>
            <w:vAlign w:val="center"/>
            <w:hideMark/>
          </w:tcPr>
          <w:p w14:paraId="720CD8FE" w14:textId="77777777" w:rsidR="0099067D" w:rsidRPr="0099067D" w:rsidRDefault="0099067D" w:rsidP="002A3BBC">
            <w:pPr>
              <w:jc w:val="center"/>
              <w:rPr>
                <w:color w:val="000000"/>
                <w:sz w:val="19"/>
                <w:szCs w:val="19"/>
              </w:rPr>
            </w:pPr>
            <w:r w:rsidRPr="0099067D">
              <w:rPr>
                <w:color w:val="000000"/>
                <w:sz w:val="19"/>
                <w:szCs w:val="19"/>
              </w:rPr>
              <w:t>211.7 (39.3; 73 - 430)</w:t>
            </w:r>
          </w:p>
        </w:tc>
      </w:tr>
      <w:tr w:rsidR="000154E9" w:rsidRPr="009B770D" w14:paraId="14943A07" w14:textId="77777777" w:rsidTr="002A3BBC">
        <w:trPr>
          <w:trHeight w:val="360"/>
          <w:jc w:val="center"/>
        </w:trPr>
        <w:tc>
          <w:tcPr>
            <w:tcW w:w="1280" w:type="pct"/>
            <w:tcBorders>
              <w:right w:val="single" w:sz="4" w:space="0" w:color="auto"/>
            </w:tcBorders>
            <w:shd w:val="clear" w:color="auto" w:fill="auto"/>
            <w:noWrap/>
            <w:vAlign w:val="center"/>
            <w:hideMark/>
          </w:tcPr>
          <w:p w14:paraId="3D18AA6B" w14:textId="77777777" w:rsidR="0099067D" w:rsidRPr="0099067D" w:rsidRDefault="0099067D" w:rsidP="002A3BBC">
            <w:pPr>
              <w:rPr>
                <w:b/>
                <w:color w:val="000000"/>
                <w:sz w:val="19"/>
                <w:szCs w:val="19"/>
                <w:vertAlign w:val="superscript"/>
              </w:rPr>
            </w:pPr>
            <w:r w:rsidRPr="0099067D">
              <w:rPr>
                <w:b/>
                <w:color w:val="000000"/>
                <w:sz w:val="19"/>
                <w:szCs w:val="19"/>
              </w:rPr>
              <w:t>Prior cardiovascular disease (%)</w:t>
            </w:r>
            <w:r w:rsidR="002A3BBC" w:rsidRPr="002A3BBC">
              <w:rPr>
                <w:b/>
                <w:color w:val="000000"/>
                <w:sz w:val="19"/>
                <w:szCs w:val="19"/>
                <w:vertAlign w:val="superscript"/>
              </w:rPr>
              <w:t>2</w:t>
            </w:r>
          </w:p>
        </w:tc>
        <w:tc>
          <w:tcPr>
            <w:tcW w:w="909" w:type="pct"/>
            <w:tcBorders>
              <w:top w:val="nil"/>
              <w:left w:val="single" w:sz="4" w:space="0" w:color="auto"/>
              <w:bottom w:val="single" w:sz="4" w:space="0" w:color="auto"/>
              <w:right w:val="single" w:sz="4" w:space="0" w:color="auto"/>
            </w:tcBorders>
            <w:shd w:val="clear" w:color="auto" w:fill="auto"/>
            <w:noWrap/>
            <w:vAlign w:val="center"/>
            <w:hideMark/>
          </w:tcPr>
          <w:p w14:paraId="764E98B8" w14:textId="77777777" w:rsidR="0099067D" w:rsidRPr="0099067D" w:rsidRDefault="0099067D" w:rsidP="002A3BBC">
            <w:pPr>
              <w:jc w:val="center"/>
              <w:rPr>
                <w:color w:val="000000"/>
                <w:sz w:val="19"/>
                <w:szCs w:val="19"/>
              </w:rPr>
            </w:pPr>
            <w:r w:rsidRPr="0099067D">
              <w:rPr>
                <w:color w:val="000000"/>
                <w:sz w:val="19"/>
                <w:szCs w:val="19"/>
              </w:rPr>
              <w:t>18.2%</w:t>
            </w:r>
          </w:p>
        </w:tc>
        <w:tc>
          <w:tcPr>
            <w:tcW w:w="1020" w:type="pct"/>
            <w:tcBorders>
              <w:left w:val="single" w:sz="4" w:space="0" w:color="auto"/>
              <w:right w:val="single" w:sz="4" w:space="0" w:color="auto"/>
            </w:tcBorders>
            <w:shd w:val="clear" w:color="auto" w:fill="auto"/>
            <w:noWrap/>
            <w:vAlign w:val="center"/>
            <w:hideMark/>
          </w:tcPr>
          <w:p w14:paraId="4045C07B" w14:textId="77777777" w:rsidR="0099067D" w:rsidRPr="0099067D" w:rsidRDefault="0099067D" w:rsidP="002A3BBC">
            <w:pPr>
              <w:jc w:val="center"/>
              <w:rPr>
                <w:color w:val="000000"/>
                <w:sz w:val="19"/>
                <w:szCs w:val="19"/>
              </w:rPr>
            </w:pPr>
            <w:r w:rsidRPr="0099067D">
              <w:rPr>
                <w:color w:val="000000"/>
                <w:sz w:val="19"/>
                <w:szCs w:val="19"/>
              </w:rPr>
              <w:t>21.5%</w:t>
            </w:r>
          </w:p>
        </w:tc>
        <w:tc>
          <w:tcPr>
            <w:tcW w:w="865" w:type="pct"/>
            <w:tcBorders>
              <w:top w:val="nil"/>
              <w:left w:val="single" w:sz="4" w:space="0" w:color="auto"/>
              <w:bottom w:val="single" w:sz="4" w:space="0" w:color="auto"/>
              <w:right w:val="single" w:sz="4" w:space="0" w:color="auto"/>
            </w:tcBorders>
            <w:shd w:val="clear" w:color="auto" w:fill="auto"/>
            <w:noWrap/>
            <w:vAlign w:val="center"/>
            <w:hideMark/>
          </w:tcPr>
          <w:p w14:paraId="4EF60F6A" w14:textId="77777777" w:rsidR="0099067D" w:rsidRPr="0099067D" w:rsidRDefault="0099067D" w:rsidP="002A3BBC">
            <w:pPr>
              <w:jc w:val="center"/>
              <w:rPr>
                <w:color w:val="000000"/>
                <w:sz w:val="19"/>
                <w:szCs w:val="19"/>
              </w:rPr>
            </w:pPr>
            <w:r w:rsidRPr="0099067D">
              <w:rPr>
                <w:color w:val="000000"/>
                <w:sz w:val="19"/>
                <w:szCs w:val="19"/>
              </w:rPr>
              <w:t>28.8%</w:t>
            </w:r>
          </w:p>
        </w:tc>
        <w:tc>
          <w:tcPr>
            <w:tcW w:w="926" w:type="pct"/>
            <w:tcBorders>
              <w:left w:val="single" w:sz="4" w:space="0" w:color="auto"/>
            </w:tcBorders>
            <w:shd w:val="clear" w:color="auto" w:fill="auto"/>
            <w:noWrap/>
            <w:vAlign w:val="center"/>
            <w:hideMark/>
          </w:tcPr>
          <w:p w14:paraId="50BA4274" w14:textId="77777777" w:rsidR="0099067D" w:rsidRPr="0099067D" w:rsidRDefault="006F1418" w:rsidP="002A3BBC">
            <w:pPr>
              <w:jc w:val="center"/>
              <w:rPr>
                <w:color w:val="000000"/>
                <w:sz w:val="19"/>
                <w:szCs w:val="19"/>
              </w:rPr>
            </w:pPr>
            <w:r>
              <w:rPr>
                <w:color w:val="000000"/>
                <w:sz w:val="19"/>
                <w:szCs w:val="19"/>
              </w:rPr>
              <w:t>23.3</w:t>
            </w:r>
            <w:r w:rsidR="0099067D" w:rsidRPr="0099067D">
              <w:rPr>
                <w:color w:val="000000"/>
                <w:sz w:val="19"/>
                <w:szCs w:val="19"/>
              </w:rPr>
              <w:t>%</w:t>
            </w:r>
          </w:p>
        </w:tc>
      </w:tr>
    </w:tbl>
    <w:p w14:paraId="1582E8E0" w14:textId="77777777" w:rsidR="0099067D" w:rsidRPr="002A3BBC" w:rsidRDefault="002A3BBC" w:rsidP="002A3BBC">
      <w:pPr>
        <w:autoSpaceDE w:val="0"/>
        <w:autoSpaceDN w:val="0"/>
        <w:adjustRightInd w:val="0"/>
        <w:rPr>
          <w:i/>
          <w:sz w:val="19"/>
          <w:szCs w:val="19"/>
        </w:rPr>
      </w:pPr>
      <w:r w:rsidRPr="002A3BBC">
        <w:rPr>
          <w:i/>
          <w:sz w:val="22"/>
          <w:szCs w:val="22"/>
          <w:vertAlign w:val="superscript"/>
        </w:rPr>
        <w:t>1</w:t>
      </w:r>
      <w:r w:rsidRPr="002A3BBC">
        <w:rPr>
          <w:i/>
          <w:sz w:val="22"/>
          <w:szCs w:val="22"/>
        </w:rPr>
        <w:t xml:space="preserve"> </w:t>
      </w:r>
      <w:r w:rsidRPr="002A3BBC">
        <w:rPr>
          <w:i/>
          <w:sz w:val="19"/>
          <w:szCs w:val="19"/>
        </w:rPr>
        <w:t>Descriptive statistics presented are: mean (standard deviation; minimum – maximum)</w:t>
      </w:r>
    </w:p>
    <w:p w14:paraId="5A2C940B" w14:textId="77777777" w:rsidR="002A3BBC" w:rsidRPr="002A3BBC" w:rsidRDefault="002A3BBC" w:rsidP="00A24EFB">
      <w:pPr>
        <w:autoSpaceDE w:val="0"/>
        <w:autoSpaceDN w:val="0"/>
        <w:adjustRightInd w:val="0"/>
        <w:spacing w:after="120"/>
        <w:rPr>
          <w:i/>
          <w:sz w:val="19"/>
          <w:szCs w:val="19"/>
        </w:rPr>
      </w:pPr>
      <w:r w:rsidRPr="002A3BBC">
        <w:rPr>
          <w:i/>
          <w:sz w:val="19"/>
          <w:szCs w:val="19"/>
          <w:vertAlign w:val="superscript"/>
        </w:rPr>
        <w:t>2</w:t>
      </w:r>
      <w:r w:rsidRPr="002A3BBC">
        <w:rPr>
          <w:i/>
          <w:sz w:val="19"/>
          <w:szCs w:val="19"/>
        </w:rPr>
        <w:t xml:space="preserve"> Prior cardiovascular disease includes any of previous angina, MI, TIA, or stroke</w:t>
      </w:r>
    </w:p>
    <w:p w14:paraId="7B384C73" w14:textId="77777777" w:rsidR="00985196" w:rsidRDefault="00985196" w:rsidP="00A24EFB">
      <w:pPr>
        <w:autoSpaceDE w:val="0"/>
        <w:autoSpaceDN w:val="0"/>
        <w:adjustRightInd w:val="0"/>
        <w:spacing w:after="120"/>
        <w:rPr>
          <w:sz w:val="22"/>
          <w:szCs w:val="22"/>
        </w:rPr>
      </w:pPr>
    </w:p>
    <w:p w14:paraId="39D9CB8B" w14:textId="77777777" w:rsidR="00A72DBE" w:rsidRDefault="00A72DBE" w:rsidP="00A72DBE">
      <w:pPr>
        <w:autoSpaceDE w:val="0"/>
        <w:autoSpaceDN w:val="0"/>
        <w:adjustRightInd w:val="0"/>
        <w:jc w:val="center"/>
        <w:rPr>
          <w:b/>
          <w:sz w:val="19"/>
          <w:szCs w:val="19"/>
        </w:rPr>
      </w:pPr>
    </w:p>
    <w:p w14:paraId="73625F65" w14:textId="77777777" w:rsidR="00A72DBE" w:rsidRPr="00A72DBE" w:rsidRDefault="00A72DBE" w:rsidP="00A72DBE">
      <w:pPr>
        <w:autoSpaceDE w:val="0"/>
        <w:autoSpaceDN w:val="0"/>
        <w:adjustRightInd w:val="0"/>
        <w:jc w:val="center"/>
        <w:rPr>
          <w:b/>
          <w:sz w:val="19"/>
          <w:szCs w:val="19"/>
        </w:rPr>
      </w:pPr>
      <w:r>
        <w:rPr>
          <w:b/>
          <w:sz w:val="19"/>
          <w:szCs w:val="19"/>
        </w:rPr>
        <w:lastRenderedPageBreak/>
        <w:t>Table 1b</w:t>
      </w:r>
      <w:r w:rsidRPr="002A3BBC">
        <w:rPr>
          <w:b/>
          <w:sz w:val="19"/>
          <w:szCs w:val="19"/>
        </w:rPr>
        <w:t xml:space="preserve">. </w:t>
      </w:r>
      <w:r>
        <w:rPr>
          <w:b/>
          <w:sz w:val="19"/>
          <w:szCs w:val="19"/>
        </w:rPr>
        <w:t>Number of Observations with Missing Data by Other Variables and Subgroups</w:t>
      </w:r>
    </w:p>
    <w:tbl>
      <w:tblPr>
        <w:tblStyle w:val="TableGrid"/>
        <w:tblW w:w="0" w:type="auto"/>
        <w:tblLook w:val="04A0" w:firstRow="1" w:lastRow="0" w:firstColumn="1" w:lastColumn="0" w:noHBand="0" w:noVBand="1"/>
      </w:tblPr>
      <w:tblGrid>
        <w:gridCol w:w="2785"/>
        <w:gridCol w:w="1641"/>
        <w:gridCol w:w="1641"/>
        <w:gridCol w:w="1641"/>
        <w:gridCol w:w="1642"/>
      </w:tblGrid>
      <w:tr w:rsidR="00DE7528" w:rsidRPr="000F3862" w14:paraId="3CF44891" w14:textId="77777777" w:rsidTr="00DE7528">
        <w:trPr>
          <w:trHeight w:val="360"/>
        </w:trPr>
        <w:tc>
          <w:tcPr>
            <w:tcW w:w="2785" w:type="dxa"/>
            <w:tcBorders>
              <w:top w:val="single" w:sz="4" w:space="0" w:color="auto"/>
              <w:left w:val="single" w:sz="4" w:space="0" w:color="auto"/>
              <w:bottom w:val="nil"/>
              <w:right w:val="single" w:sz="4" w:space="0" w:color="auto"/>
            </w:tcBorders>
            <w:vAlign w:val="center"/>
          </w:tcPr>
          <w:p w14:paraId="1FF2A5F9" w14:textId="77777777" w:rsidR="00DE7528" w:rsidRPr="00DE7528" w:rsidRDefault="00DE7528" w:rsidP="00DE7528">
            <w:pPr>
              <w:autoSpaceDE w:val="0"/>
              <w:autoSpaceDN w:val="0"/>
              <w:adjustRightInd w:val="0"/>
              <w:rPr>
                <w:b/>
              </w:rPr>
            </w:pPr>
          </w:p>
        </w:tc>
        <w:tc>
          <w:tcPr>
            <w:tcW w:w="6565" w:type="dxa"/>
            <w:gridSpan w:val="4"/>
            <w:tcBorders>
              <w:left w:val="single" w:sz="4" w:space="0" w:color="auto"/>
              <w:bottom w:val="single" w:sz="4" w:space="0" w:color="auto"/>
            </w:tcBorders>
            <w:vAlign w:val="center"/>
          </w:tcPr>
          <w:p w14:paraId="3AD5F3BC" w14:textId="77777777" w:rsidR="00DE7528" w:rsidRPr="0099067D" w:rsidRDefault="00DE7528" w:rsidP="00DE7528">
            <w:pPr>
              <w:jc w:val="center"/>
              <w:rPr>
                <w:b/>
                <w:sz w:val="19"/>
                <w:szCs w:val="19"/>
              </w:rPr>
            </w:pPr>
            <w:r>
              <w:rPr>
                <w:b/>
                <w:sz w:val="19"/>
                <w:szCs w:val="19"/>
              </w:rPr>
              <w:t>Serum C Reactive Protein (CRP) Level</w:t>
            </w:r>
          </w:p>
        </w:tc>
      </w:tr>
      <w:tr w:rsidR="000F3862" w:rsidRPr="000F3862" w14:paraId="167A7C3F" w14:textId="77777777" w:rsidTr="00DE7528">
        <w:trPr>
          <w:trHeight w:val="360"/>
        </w:trPr>
        <w:tc>
          <w:tcPr>
            <w:tcW w:w="2785" w:type="dxa"/>
            <w:tcBorders>
              <w:top w:val="nil"/>
              <w:left w:val="single" w:sz="4" w:space="0" w:color="auto"/>
              <w:bottom w:val="single" w:sz="4" w:space="0" w:color="auto"/>
              <w:right w:val="single" w:sz="4" w:space="0" w:color="auto"/>
            </w:tcBorders>
            <w:vAlign w:val="center"/>
          </w:tcPr>
          <w:p w14:paraId="0290B148" w14:textId="77777777" w:rsidR="000F3862" w:rsidRPr="00DE7528" w:rsidRDefault="00DE7528" w:rsidP="00DE7528">
            <w:pPr>
              <w:autoSpaceDE w:val="0"/>
              <w:autoSpaceDN w:val="0"/>
              <w:adjustRightInd w:val="0"/>
              <w:jc w:val="center"/>
              <w:rPr>
                <w:b/>
              </w:rPr>
            </w:pPr>
            <w:r>
              <w:rPr>
                <w:b/>
              </w:rPr>
              <w:t>Variable</w:t>
            </w:r>
          </w:p>
        </w:tc>
        <w:tc>
          <w:tcPr>
            <w:tcW w:w="1641" w:type="dxa"/>
            <w:tcBorders>
              <w:left w:val="single" w:sz="4" w:space="0" w:color="auto"/>
              <w:bottom w:val="single" w:sz="4" w:space="0" w:color="auto"/>
            </w:tcBorders>
            <w:vAlign w:val="center"/>
          </w:tcPr>
          <w:p w14:paraId="03EDB907" w14:textId="77777777" w:rsidR="00DE7528" w:rsidRDefault="000F3862" w:rsidP="00DE7528">
            <w:pPr>
              <w:jc w:val="center"/>
              <w:rPr>
                <w:b/>
                <w:color w:val="000000"/>
              </w:rPr>
            </w:pPr>
            <w:r w:rsidRPr="000F3862">
              <w:rPr>
                <w:b/>
                <w:color w:val="000000"/>
              </w:rPr>
              <w:t>Low Risk</w:t>
            </w:r>
          </w:p>
          <w:p w14:paraId="51DFF8EB" w14:textId="77777777" w:rsidR="000F3862" w:rsidRPr="000F3862" w:rsidRDefault="000F3862" w:rsidP="00DE7528">
            <w:pPr>
              <w:jc w:val="center"/>
              <w:rPr>
                <w:b/>
                <w:color w:val="000000"/>
              </w:rPr>
            </w:pPr>
            <w:r w:rsidRPr="000F3862">
              <w:rPr>
                <w:b/>
                <w:color w:val="000000"/>
              </w:rPr>
              <w:t>(&lt; 1mg/L)</w:t>
            </w:r>
          </w:p>
          <w:p w14:paraId="185D22C2" w14:textId="77777777" w:rsidR="000F3862" w:rsidRPr="0099067D" w:rsidRDefault="000F3862" w:rsidP="00DE7528">
            <w:pPr>
              <w:jc w:val="center"/>
              <w:rPr>
                <w:b/>
                <w:color w:val="000000"/>
              </w:rPr>
            </w:pPr>
            <w:r w:rsidRPr="000F3862">
              <w:rPr>
                <w:b/>
                <w:color w:val="000000"/>
              </w:rPr>
              <w:t xml:space="preserve">(n = </w:t>
            </w:r>
            <w:r w:rsidRPr="0099067D">
              <w:rPr>
                <w:b/>
                <w:color w:val="000000"/>
              </w:rPr>
              <w:t>428</w:t>
            </w:r>
            <w:r w:rsidRPr="000F3862">
              <w:rPr>
                <w:b/>
                <w:color w:val="000000"/>
              </w:rPr>
              <w:t>)</w:t>
            </w:r>
          </w:p>
        </w:tc>
        <w:tc>
          <w:tcPr>
            <w:tcW w:w="1641" w:type="dxa"/>
            <w:tcBorders>
              <w:bottom w:val="single" w:sz="4" w:space="0" w:color="auto"/>
            </w:tcBorders>
            <w:vAlign w:val="center"/>
          </w:tcPr>
          <w:p w14:paraId="480B3D66" w14:textId="77777777" w:rsidR="00DE7528" w:rsidRDefault="000F3862" w:rsidP="00DE7528">
            <w:pPr>
              <w:jc w:val="center"/>
              <w:rPr>
                <w:b/>
                <w:color w:val="000000"/>
              </w:rPr>
            </w:pPr>
            <w:r w:rsidRPr="000F3862">
              <w:rPr>
                <w:b/>
                <w:color w:val="000000"/>
              </w:rPr>
              <w:t>Average Risk</w:t>
            </w:r>
          </w:p>
          <w:p w14:paraId="723F527C" w14:textId="77777777" w:rsidR="000F3862" w:rsidRPr="000F3862" w:rsidRDefault="000F3862" w:rsidP="00DE7528">
            <w:pPr>
              <w:jc w:val="center"/>
              <w:rPr>
                <w:b/>
                <w:color w:val="000000"/>
              </w:rPr>
            </w:pPr>
            <w:r w:rsidRPr="000F3862">
              <w:rPr>
                <w:b/>
                <w:color w:val="000000"/>
              </w:rPr>
              <w:t>(1 – 3mg/L)</w:t>
            </w:r>
          </w:p>
          <w:p w14:paraId="024C567D" w14:textId="77777777" w:rsidR="000F3862" w:rsidRPr="0099067D" w:rsidRDefault="000F3862" w:rsidP="00DE7528">
            <w:pPr>
              <w:jc w:val="center"/>
              <w:rPr>
                <w:b/>
                <w:color w:val="000000"/>
              </w:rPr>
            </w:pPr>
            <w:r w:rsidRPr="000F3862">
              <w:rPr>
                <w:b/>
                <w:color w:val="000000"/>
              </w:rPr>
              <w:t xml:space="preserve">(n = </w:t>
            </w:r>
            <w:r w:rsidRPr="0099067D">
              <w:rPr>
                <w:b/>
                <w:color w:val="000000"/>
              </w:rPr>
              <w:t>3</w:t>
            </w:r>
            <w:r w:rsidRPr="000F3862">
              <w:rPr>
                <w:b/>
                <w:color w:val="000000"/>
              </w:rPr>
              <w:t>,</w:t>
            </w:r>
            <w:r w:rsidRPr="0099067D">
              <w:rPr>
                <w:b/>
                <w:color w:val="000000"/>
              </w:rPr>
              <w:t>330</w:t>
            </w:r>
            <w:r w:rsidRPr="000F3862">
              <w:rPr>
                <w:b/>
                <w:color w:val="000000"/>
              </w:rPr>
              <w:t>)</w:t>
            </w:r>
          </w:p>
        </w:tc>
        <w:tc>
          <w:tcPr>
            <w:tcW w:w="1641" w:type="dxa"/>
            <w:tcBorders>
              <w:bottom w:val="single" w:sz="4" w:space="0" w:color="auto"/>
            </w:tcBorders>
            <w:vAlign w:val="center"/>
          </w:tcPr>
          <w:p w14:paraId="459E9B34" w14:textId="77777777" w:rsidR="00DE7528" w:rsidRDefault="000F3862" w:rsidP="00DE7528">
            <w:pPr>
              <w:jc w:val="center"/>
              <w:rPr>
                <w:b/>
                <w:color w:val="000000"/>
              </w:rPr>
            </w:pPr>
            <w:r w:rsidRPr="000F3862">
              <w:rPr>
                <w:b/>
                <w:color w:val="000000"/>
              </w:rPr>
              <w:t>High Risk</w:t>
            </w:r>
          </w:p>
          <w:p w14:paraId="70B4F0A8" w14:textId="77777777" w:rsidR="000F3862" w:rsidRPr="000F3862" w:rsidRDefault="000F3862" w:rsidP="00DE7528">
            <w:pPr>
              <w:jc w:val="center"/>
              <w:rPr>
                <w:b/>
                <w:color w:val="000000"/>
              </w:rPr>
            </w:pPr>
            <w:r w:rsidRPr="000F3862">
              <w:rPr>
                <w:b/>
                <w:color w:val="000000"/>
              </w:rPr>
              <w:t>(&gt; 3mg/L)</w:t>
            </w:r>
          </w:p>
          <w:p w14:paraId="68815AE9" w14:textId="77777777" w:rsidR="000F3862" w:rsidRPr="0099067D" w:rsidRDefault="000F3862" w:rsidP="00DE7528">
            <w:pPr>
              <w:jc w:val="center"/>
              <w:rPr>
                <w:b/>
                <w:color w:val="000000"/>
              </w:rPr>
            </w:pPr>
            <w:r w:rsidRPr="000F3862">
              <w:rPr>
                <w:b/>
                <w:color w:val="000000"/>
              </w:rPr>
              <w:t xml:space="preserve">(n = </w:t>
            </w:r>
            <w:r w:rsidRPr="0099067D">
              <w:rPr>
                <w:b/>
                <w:color w:val="000000"/>
              </w:rPr>
              <w:t>1</w:t>
            </w:r>
            <w:r w:rsidRPr="000F3862">
              <w:rPr>
                <w:b/>
                <w:color w:val="000000"/>
              </w:rPr>
              <w:t>,</w:t>
            </w:r>
            <w:r w:rsidRPr="0099067D">
              <w:rPr>
                <w:b/>
                <w:color w:val="000000"/>
              </w:rPr>
              <w:t>175</w:t>
            </w:r>
            <w:r w:rsidRPr="000F3862">
              <w:rPr>
                <w:b/>
                <w:color w:val="000000"/>
              </w:rPr>
              <w:t>)</w:t>
            </w:r>
          </w:p>
        </w:tc>
        <w:tc>
          <w:tcPr>
            <w:tcW w:w="1642" w:type="dxa"/>
            <w:tcBorders>
              <w:bottom w:val="single" w:sz="4" w:space="0" w:color="auto"/>
            </w:tcBorders>
            <w:vAlign w:val="center"/>
          </w:tcPr>
          <w:p w14:paraId="45897C7A" w14:textId="77777777" w:rsidR="00DE7528" w:rsidRDefault="000F3862" w:rsidP="00DE7528">
            <w:pPr>
              <w:jc w:val="center"/>
              <w:rPr>
                <w:b/>
                <w:color w:val="000000"/>
              </w:rPr>
            </w:pPr>
            <w:r w:rsidRPr="000F3862">
              <w:rPr>
                <w:b/>
                <w:color w:val="000000"/>
              </w:rPr>
              <w:t>All Subjects</w:t>
            </w:r>
          </w:p>
          <w:p w14:paraId="46793A5F" w14:textId="77777777" w:rsidR="000F3862" w:rsidRPr="000F3862" w:rsidRDefault="000F3862" w:rsidP="00DE7528">
            <w:pPr>
              <w:jc w:val="center"/>
              <w:rPr>
                <w:b/>
                <w:color w:val="000000"/>
              </w:rPr>
            </w:pPr>
            <w:r w:rsidRPr="000F3862">
              <w:rPr>
                <w:b/>
                <w:color w:val="000000"/>
              </w:rPr>
              <w:t>(any level)</w:t>
            </w:r>
          </w:p>
          <w:p w14:paraId="33C1377D" w14:textId="77777777" w:rsidR="000F3862" w:rsidRPr="0099067D" w:rsidRDefault="000F3862" w:rsidP="00DE7528">
            <w:pPr>
              <w:jc w:val="center"/>
              <w:rPr>
                <w:b/>
                <w:color w:val="000000"/>
              </w:rPr>
            </w:pPr>
            <w:r w:rsidRPr="000F3862">
              <w:rPr>
                <w:b/>
                <w:color w:val="000000"/>
              </w:rPr>
              <w:t>(n = 4,933)</w:t>
            </w:r>
          </w:p>
        </w:tc>
      </w:tr>
      <w:tr w:rsidR="000F3862" w:rsidRPr="000F3862" w14:paraId="0C391568" w14:textId="77777777" w:rsidTr="00DE7528">
        <w:trPr>
          <w:trHeight w:val="360"/>
        </w:trPr>
        <w:tc>
          <w:tcPr>
            <w:tcW w:w="2785" w:type="dxa"/>
            <w:tcBorders>
              <w:top w:val="single" w:sz="4" w:space="0" w:color="auto"/>
              <w:left w:val="single" w:sz="4" w:space="0" w:color="auto"/>
              <w:bottom w:val="nil"/>
              <w:right w:val="single" w:sz="4" w:space="0" w:color="auto"/>
            </w:tcBorders>
            <w:vAlign w:val="center"/>
          </w:tcPr>
          <w:p w14:paraId="73FD3B73" w14:textId="77777777" w:rsidR="000F3862" w:rsidRPr="00DE7528" w:rsidRDefault="000F3862" w:rsidP="000F3862">
            <w:pPr>
              <w:autoSpaceDE w:val="0"/>
              <w:autoSpaceDN w:val="0"/>
              <w:adjustRightInd w:val="0"/>
              <w:rPr>
                <w:b/>
              </w:rPr>
            </w:pPr>
            <w:r w:rsidRPr="00DE7528">
              <w:rPr>
                <w:b/>
              </w:rPr>
              <w:t>Age</w:t>
            </w:r>
          </w:p>
        </w:tc>
        <w:tc>
          <w:tcPr>
            <w:tcW w:w="1641" w:type="dxa"/>
            <w:tcBorders>
              <w:top w:val="single" w:sz="4" w:space="0" w:color="auto"/>
              <w:left w:val="single" w:sz="4" w:space="0" w:color="auto"/>
              <w:bottom w:val="nil"/>
              <w:right w:val="single" w:sz="4" w:space="0" w:color="auto"/>
            </w:tcBorders>
            <w:vAlign w:val="center"/>
          </w:tcPr>
          <w:p w14:paraId="54DE9E51" w14:textId="77777777" w:rsidR="000F3862" w:rsidRPr="000F3862" w:rsidRDefault="00DE7528" w:rsidP="00DE7528">
            <w:pPr>
              <w:autoSpaceDE w:val="0"/>
              <w:autoSpaceDN w:val="0"/>
              <w:adjustRightInd w:val="0"/>
              <w:jc w:val="center"/>
            </w:pPr>
            <w:r>
              <w:t>0</w:t>
            </w:r>
          </w:p>
        </w:tc>
        <w:tc>
          <w:tcPr>
            <w:tcW w:w="1641" w:type="dxa"/>
            <w:tcBorders>
              <w:top w:val="single" w:sz="4" w:space="0" w:color="auto"/>
              <w:left w:val="single" w:sz="4" w:space="0" w:color="auto"/>
              <w:bottom w:val="nil"/>
              <w:right w:val="single" w:sz="4" w:space="0" w:color="auto"/>
            </w:tcBorders>
            <w:vAlign w:val="center"/>
          </w:tcPr>
          <w:p w14:paraId="7B6C66DC" w14:textId="77777777" w:rsidR="000F3862" w:rsidRPr="000F3862" w:rsidRDefault="00DE7528" w:rsidP="00DE7528">
            <w:pPr>
              <w:autoSpaceDE w:val="0"/>
              <w:autoSpaceDN w:val="0"/>
              <w:adjustRightInd w:val="0"/>
              <w:jc w:val="center"/>
            </w:pPr>
            <w:r>
              <w:t>0</w:t>
            </w:r>
          </w:p>
        </w:tc>
        <w:tc>
          <w:tcPr>
            <w:tcW w:w="1641" w:type="dxa"/>
            <w:tcBorders>
              <w:top w:val="single" w:sz="4" w:space="0" w:color="auto"/>
              <w:left w:val="single" w:sz="4" w:space="0" w:color="auto"/>
              <w:bottom w:val="nil"/>
              <w:right w:val="single" w:sz="4" w:space="0" w:color="auto"/>
            </w:tcBorders>
            <w:vAlign w:val="center"/>
          </w:tcPr>
          <w:p w14:paraId="08B2F32C" w14:textId="77777777" w:rsidR="000F3862" w:rsidRPr="000F3862" w:rsidRDefault="00DE7528" w:rsidP="00DE7528">
            <w:pPr>
              <w:autoSpaceDE w:val="0"/>
              <w:autoSpaceDN w:val="0"/>
              <w:adjustRightInd w:val="0"/>
              <w:jc w:val="center"/>
            </w:pPr>
            <w:r>
              <w:t>0</w:t>
            </w:r>
          </w:p>
        </w:tc>
        <w:tc>
          <w:tcPr>
            <w:tcW w:w="1642" w:type="dxa"/>
            <w:tcBorders>
              <w:top w:val="single" w:sz="4" w:space="0" w:color="auto"/>
              <w:left w:val="single" w:sz="4" w:space="0" w:color="auto"/>
              <w:bottom w:val="nil"/>
              <w:right w:val="single" w:sz="4" w:space="0" w:color="auto"/>
            </w:tcBorders>
            <w:vAlign w:val="center"/>
          </w:tcPr>
          <w:p w14:paraId="54278C2A" w14:textId="77777777" w:rsidR="000F3862" w:rsidRPr="000F3862" w:rsidRDefault="00DE7528" w:rsidP="00DE7528">
            <w:pPr>
              <w:autoSpaceDE w:val="0"/>
              <w:autoSpaceDN w:val="0"/>
              <w:adjustRightInd w:val="0"/>
              <w:jc w:val="center"/>
            </w:pPr>
            <w:r>
              <w:t>0</w:t>
            </w:r>
          </w:p>
        </w:tc>
      </w:tr>
      <w:tr w:rsidR="000F3862" w:rsidRPr="000F3862" w14:paraId="773CDD8B" w14:textId="77777777" w:rsidTr="00DE7528">
        <w:trPr>
          <w:trHeight w:val="360"/>
        </w:trPr>
        <w:tc>
          <w:tcPr>
            <w:tcW w:w="2785" w:type="dxa"/>
            <w:tcBorders>
              <w:top w:val="nil"/>
              <w:left w:val="single" w:sz="4" w:space="0" w:color="auto"/>
              <w:bottom w:val="nil"/>
              <w:right w:val="single" w:sz="4" w:space="0" w:color="auto"/>
            </w:tcBorders>
            <w:vAlign w:val="center"/>
          </w:tcPr>
          <w:p w14:paraId="04F6EAB6" w14:textId="77777777" w:rsidR="000F3862" w:rsidRPr="00DE7528" w:rsidRDefault="000F3862" w:rsidP="000F3862">
            <w:pPr>
              <w:autoSpaceDE w:val="0"/>
              <w:autoSpaceDN w:val="0"/>
              <w:adjustRightInd w:val="0"/>
              <w:rPr>
                <w:b/>
              </w:rPr>
            </w:pPr>
            <w:r w:rsidRPr="00DE7528">
              <w:rPr>
                <w:b/>
              </w:rPr>
              <w:t>Sex (male)</w:t>
            </w:r>
          </w:p>
        </w:tc>
        <w:tc>
          <w:tcPr>
            <w:tcW w:w="1641" w:type="dxa"/>
            <w:tcBorders>
              <w:top w:val="nil"/>
              <w:left w:val="single" w:sz="4" w:space="0" w:color="auto"/>
              <w:bottom w:val="nil"/>
              <w:right w:val="single" w:sz="4" w:space="0" w:color="auto"/>
            </w:tcBorders>
            <w:vAlign w:val="center"/>
          </w:tcPr>
          <w:p w14:paraId="0F96F6E0" w14:textId="77777777" w:rsidR="000F3862" w:rsidRPr="000F3862" w:rsidRDefault="00DE7528" w:rsidP="00DE7528">
            <w:pPr>
              <w:autoSpaceDE w:val="0"/>
              <w:autoSpaceDN w:val="0"/>
              <w:adjustRightInd w:val="0"/>
              <w:jc w:val="center"/>
            </w:pPr>
            <w:r>
              <w:t>0</w:t>
            </w:r>
          </w:p>
        </w:tc>
        <w:tc>
          <w:tcPr>
            <w:tcW w:w="1641" w:type="dxa"/>
            <w:tcBorders>
              <w:top w:val="nil"/>
              <w:left w:val="single" w:sz="4" w:space="0" w:color="auto"/>
              <w:bottom w:val="nil"/>
              <w:right w:val="single" w:sz="4" w:space="0" w:color="auto"/>
            </w:tcBorders>
            <w:vAlign w:val="center"/>
          </w:tcPr>
          <w:p w14:paraId="2D89B00A" w14:textId="77777777" w:rsidR="000F3862" w:rsidRPr="000F3862" w:rsidRDefault="00DE7528" w:rsidP="00DE7528">
            <w:pPr>
              <w:autoSpaceDE w:val="0"/>
              <w:autoSpaceDN w:val="0"/>
              <w:adjustRightInd w:val="0"/>
              <w:jc w:val="center"/>
            </w:pPr>
            <w:r>
              <w:t>0</w:t>
            </w:r>
          </w:p>
        </w:tc>
        <w:tc>
          <w:tcPr>
            <w:tcW w:w="1641" w:type="dxa"/>
            <w:tcBorders>
              <w:top w:val="nil"/>
              <w:left w:val="single" w:sz="4" w:space="0" w:color="auto"/>
              <w:bottom w:val="nil"/>
              <w:right w:val="single" w:sz="4" w:space="0" w:color="auto"/>
            </w:tcBorders>
            <w:vAlign w:val="center"/>
          </w:tcPr>
          <w:p w14:paraId="1633401C" w14:textId="77777777" w:rsidR="000F3862" w:rsidRPr="000F3862" w:rsidRDefault="00DE7528" w:rsidP="00DE7528">
            <w:pPr>
              <w:autoSpaceDE w:val="0"/>
              <w:autoSpaceDN w:val="0"/>
              <w:adjustRightInd w:val="0"/>
              <w:jc w:val="center"/>
            </w:pPr>
            <w:r>
              <w:t>0</w:t>
            </w:r>
          </w:p>
        </w:tc>
        <w:tc>
          <w:tcPr>
            <w:tcW w:w="1642" w:type="dxa"/>
            <w:tcBorders>
              <w:top w:val="nil"/>
              <w:left w:val="single" w:sz="4" w:space="0" w:color="auto"/>
              <w:bottom w:val="nil"/>
              <w:right w:val="single" w:sz="4" w:space="0" w:color="auto"/>
            </w:tcBorders>
            <w:vAlign w:val="center"/>
          </w:tcPr>
          <w:p w14:paraId="472F28CB" w14:textId="77777777" w:rsidR="000F3862" w:rsidRPr="000F3862" w:rsidRDefault="00DE7528" w:rsidP="00DE7528">
            <w:pPr>
              <w:autoSpaceDE w:val="0"/>
              <w:autoSpaceDN w:val="0"/>
              <w:adjustRightInd w:val="0"/>
              <w:jc w:val="center"/>
            </w:pPr>
            <w:r>
              <w:t>0</w:t>
            </w:r>
          </w:p>
        </w:tc>
      </w:tr>
      <w:tr w:rsidR="000F3862" w:rsidRPr="000F3862" w14:paraId="00EC0472" w14:textId="77777777" w:rsidTr="00DE7528">
        <w:trPr>
          <w:trHeight w:val="360"/>
        </w:trPr>
        <w:tc>
          <w:tcPr>
            <w:tcW w:w="2785" w:type="dxa"/>
            <w:tcBorders>
              <w:top w:val="nil"/>
              <w:left w:val="single" w:sz="4" w:space="0" w:color="auto"/>
              <w:bottom w:val="nil"/>
              <w:right w:val="single" w:sz="4" w:space="0" w:color="auto"/>
            </w:tcBorders>
            <w:vAlign w:val="center"/>
          </w:tcPr>
          <w:p w14:paraId="750C099D" w14:textId="77777777" w:rsidR="000F3862" w:rsidRPr="00DE7528" w:rsidRDefault="000F3862" w:rsidP="000F3862">
            <w:pPr>
              <w:autoSpaceDE w:val="0"/>
              <w:autoSpaceDN w:val="0"/>
              <w:adjustRightInd w:val="0"/>
              <w:rPr>
                <w:b/>
              </w:rPr>
            </w:pPr>
            <w:r w:rsidRPr="00DE7528">
              <w:rPr>
                <w:b/>
              </w:rPr>
              <w:t>BMI</w:t>
            </w:r>
          </w:p>
        </w:tc>
        <w:tc>
          <w:tcPr>
            <w:tcW w:w="1641" w:type="dxa"/>
            <w:tcBorders>
              <w:top w:val="nil"/>
              <w:left w:val="single" w:sz="4" w:space="0" w:color="auto"/>
              <w:bottom w:val="nil"/>
              <w:right w:val="single" w:sz="4" w:space="0" w:color="auto"/>
            </w:tcBorders>
            <w:vAlign w:val="center"/>
          </w:tcPr>
          <w:p w14:paraId="69D9D06E" w14:textId="77777777" w:rsidR="000F3862" w:rsidRPr="000F3862" w:rsidRDefault="00DE7528" w:rsidP="00DE7528">
            <w:pPr>
              <w:autoSpaceDE w:val="0"/>
              <w:autoSpaceDN w:val="0"/>
              <w:adjustRightInd w:val="0"/>
              <w:jc w:val="center"/>
            </w:pPr>
            <w:r>
              <w:t>0</w:t>
            </w:r>
          </w:p>
        </w:tc>
        <w:tc>
          <w:tcPr>
            <w:tcW w:w="1641" w:type="dxa"/>
            <w:tcBorders>
              <w:top w:val="nil"/>
              <w:left w:val="single" w:sz="4" w:space="0" w:color="auto"/>
              <w:bottom w:val="nil"/>
              <w:right w:val="single" w:sz="4" w:space="0" w:color="auto"/>
            </w:tcBorders>
            <w:vAlign w:val="center"/>
          </w:tcPr>
          <w:p w14:paraId="641E0AAA" w14:textId="77777777" w:rsidR="000F3862" w:rsidRPr="000F3862" w:rsidRDefault="00DE7528" w:rsidP="00DE7528">
            <w:pPr>
              <w:autoSpaceDE w:val="0"/>
              <w:autoSpaceDN w:val="0"/>
              <w:adjustRightInd w:val="0"/>
              <w:jc w:val="center"/>
            </w:pPr>
            <w:r>
              <w:t>12</w:t>
            </w:r>
          </w:p>
        </w:tc>
        <w:tc>
          <w:tcPr>
            <w:tcW w:w="1641" w:type="dxa"/>
            <w:tcBorders>
              <w:top w:val="nil"/>
              <w:left w:val="single" w:sz="4" w:space="0" w:color="auto"/>
              <w:bottom w:val="nil"/>
              <w:right w:val="single" w:sz="4" w:space="0" w:color="auto"/>
            </w:tcBorders>
            <w:vAlign w:val="center"/>
          </w:tcPr>
          <w:p w14:paraId="6F8BFB83" w14:textId="77777777" w:rsidR="000F3862" w:rsidRPr="000F3862" w:rsidRDefault="00DE7528" w:rsidP="00DE7528">
            <w:pPr>
              <w:autoSpaceDE w:val="0"/>
              <w:autoSpaceDN w:val="0"/>
              <w:adjustRightInd w:val="0"/>
              <w:jc w:val="center"/>
            </w:pPr>
            <w:r>
              <w:t>1</w:t>
            </w:r>
          </w:p>
        </w:tc>
        <w:tc>
          <w:tcPr>
            <w:tcW w:w="1642" w:type="dxa"/>
            <w:tcBorders>
              <w:top w:val="nil"/>
              <w:left w:val="single" w:sz="4" w:space="0" w:color="auto"/>
              <w:bottom w:val="nil"/>
              <w:right w:val="single" w:sz="4" w:space="0" w:color="auto"/>
            </w:tcBorders>
            <w:vAlign w:val="center"/>
          </w:tcPr>
          <w:p w14:paraId="683CD609" w14:textId="77777777" w:rsidR="000F3862" w:rsidRPr="000F3862" w:rsidRDefault="00DE7528" w:rsidP="00DE7528">
            <w:pPr>
              <w:autoSpaceDE w:val="0"/>
              <w:autoSpaceDN w:val="0"/>
              <w:adjustRightInd w:val="0"/>
              <w:jc w:val="center"/>
            </w:pPr>
            <w:r>
              <w:t>13</w:t>
            </w:r>
          </w:p>
        </w:tc>
      </w:tr>
      <w:tr w:rsidR="000F3862" w:rsidRPr="000F3862" w14:paraId="146E8B43" w14:textId="77777777" w:rsidTr="00DE7528">
        <w:trPr>
          <w:trHeight w:val="360"/>
        </w:trPr>
        <w:tc>
          <w:tcPr>
            <w:tcW w:w="2785" w:type="dxa"/>
            <w:tcBorders>
              <w:top w:val="nil"/>
              <w:left w:val="single" w:sz="4" w:space="0" w:color="auto"/>
              <w:bottom w:val="nil"/>
              <w:right w:val="single" w:sz="4" w:space="0" w:color="auto"/>
            </w:tcBorders>
            <w:vAlign w:val="center"/>
          </w:tcPr>
          <w:p w14:paraId="79732F79" w14:textId="77777777" w:rsidR="000F3862" w:rsidRPr="00DE7528" w:rsidRDefault="000F3862" w:rsidP="000F3862">
            <w:pPr>
              <w:autoSpaceDE w:val="0"/>
              <w:autoSpaceDN w:val="0"/>
              <w:adjustRightInd w:val="0"/>
              <w:rPr>
                <w:b/>
              </w:rPr>
            </w:pPr>
            <w:r w:rsidRPr="00DE7528">
              <w:rPr>
                <w:b/>
              </w:rPr>
              <w:t>Smoking history (smoker)</w:t>
            </w:r>
          </w:p>
        </w:tc>
        <w:tc>
          <w:tcPr>
            <w:tcW w:w="1641" w:type="dxa"/>
            <w:tcBorders>
              <w:top w:val="nil"/>
              <w:left w:val="single" w:sz="4" w:space="0" w:color="auto"/>
              <w:bottom w:val="nil"/>
              <w:right w:val="single" w:sz="4" w:space="0" w:color="auto"/>
            </w:tcBorders>
            <w:vAlign w:val="center"/>
          </w:tcPr>
          <w:p w14:paraId="52F13FA6" w14:textId="77777777" w:rsidR="000F3862" w:rsidRPr="000F3862" w:rsidRDefault="00DE7528" w:rsidP="00DE7528">
            <w:pPr>
              <w:autoSpaceDE w:val="0"/>
              <w:autoSpaceDN w:val="0"/>
              <w:adjustRightInd w:val="0"/>
              <w:jc w:val="center"/>
            </w:pPr>
            <w:r>
              <w:t>1</w:t>
            </w:r>
          </w:p>
        </w:tc>
        <w:tc>
          <w:tcPr>
            <w:tcW w:w="1641" w:type="dxa"/>
            <w:tcBorders>
              <w:top w:val="nil"/>
              <w:left w:val="single" w:sz="4" w:space="0" w:color="auto"/>
              <w:bottom w:val="nil"/>
              <w:right w:val="single" w:sz="4" w:space="0" w:color="auto"/>
            </w:tcBorders>
            <w:vAlign w:val="center"/>
          </w:tcPr>
          <w:p w14:paraId="0C23B114" w14:textId="77777777" w:rsidR="000F3862" w:rsidRPr="000F3862" w:rsidRDefault="00DE7528" w:rsidP="00DE7528">
            <w:pPr>
              <w:autoSpaceDE w:val="0"/>
              <w:autoSpaceDN w:val="0"/>
              <w:adjustRightInd w:val="0"/>
              <w:jc w:val="center"/>
            </w:pPr>
            <w:r>
              <w:t>5</w:t>
            </w:r>
          </w:p>
        </w:tc>
        <w:tc>
          <w:tcPr>
            <w:tcW w:w="1641" w:type="dxa"/>
            <w:tcBorders>
              <w:top w:val="nil"/>
              <w:left w:val="single" w:sz="4" w:space="0" w:color="auto"/>
              <w:bottom w:val="nil"/>
              <w:right w:val="single" w:sz="4" w:space="0" w:color="auto"/>
            </w:tcBorders>
            <w:vAlign w:val="center"/>
          </w:tcPr>
          <w:p w14:paraId="504D03B6" w14:textId="77777777" w:rsidR="000F3862" w:rsidRPr="000F3862" w:rsidRDefault="00DE7528" w:rsidP="00DE7528">
            <w:pPr>
              <w:autoSpaceDE w:val="0"/>
              <w:autoSpaceDN w:val="0"/>
              <w:adjustRightInd w:val="0"/>
              <w:jc w:val="center"/>
            </w:pPr>
            <w:r>
              <w:t>0</w:t>
            </w:r>
          </w:p>
        </w:tc>
        <w:tc>
          <w:tcPr>
            <w:tcW w:w="1642" w:type="dxa"/>
            <w:tcBorders>
              <w:top w:val="nil"/>
              <w:left w:val="single" w:sz="4" w:space="0" w:color="auto"/>
              <w:bottom w:val="nil"/>
              <w:right w:val="single" w:sz="4" w:space="0" w:color="auto"/>
            </w:tcBorders>
            <w:vAlign w:val="center"/>
          </w:tcPr>
          <w:p w14:paraId="359446D8" w14:textId="77777777" w:rsidR="000F3862" w:rsidRPr="000F3862" w:rsidRDefault="00DE7528" w:rsidP="00DE7528">
            <w:pPr>
              <w:autoSpaceDE w:val="0"/>
              <w:autoSpaceDN w:val="0"/>
              <w:adjustRightInd w:val="0"/>
              <w:jc w:val="center"/>
            </w:pPr>
            <w:r>
              <w:t>6</w:t>
            </w:r>
          </w:p>
        </w:tc>
      </w:tr>
      <w:tr w:rsidR="000F3862" w:rsidRPr="000F3862" w14:paraId="5C897E33" w14:textId="77777777" w:rsidTr="00DE7528">
        <w:trPr>
          <w:trHeight w:val="360"/>
        </w:trPr>
        <w:tc>
          <w:tcPr>
            <w:tcW w:w="2785" w:type="dxa"/>
            <w:tcBorders>
              <w:top w:val="nil"/>
              <w:left w:val="single" w:sz="4" w:space="0" w:color="auto"/>
              <w:bottom w:val="nil"/>
              <w:right w:val="single" w:sz="4" w:space="0" w:color="auto"/>
            </w:tcBorders>
            <w:vAlign w:val="center"/>
          </w:tcPr>
          <w:p w14:paraId="6FE1450E" w14:textId="77777777" w:rsidR="000F3862" w:rsidRPr="00DE7528" w:rsidRDefault="004C2A23" w:rsidP="000F3862">
            <w:pPr>
              <w:autoSpaceDE w:val="0"/>
              <w:autoSpaceDN w:val="0"/>
              <w:adjustRightInd w:val="0"/>
              <w:rPr>
                <w:b/>
              </w:rPr>
            </w:pPr>
            <w:r w:rsidRPr="00DE7528">
              <w:rPr>
                <w:b/>
              </w:rPr>
              <w:t>Cholesterol</w:t>
            </w:r>
          </w:p>
        </w:tc>
        <w:tc>
          <w:tcPr>
            <w:tcW w:w="1641" w:type="dxa"/>
            <w:tcBorders>
              <w:top w:val="nil"/>
              <w:left w:val="single" w:sz="4" w:space="0" w:color="auto"/>
              <w:bottom w:val="nil"/>
              <w:right w:val="single" w:sz="4" w:space="0" w:color="auto"/>
            </w:tcBorders>
            <w:vAlign w:val="center"/>
          </w:tcPr>
          <w:p w14:paraId="30232160" w14:textId="77777777" w:rsidR="000F3862" w:rsidRPr="000F3862" w:rsidRDefault="00DE7528" w:rsidP="00DE7528">
            <w:pPr>
              <w:autoSpaceDE w:val="0"/>
              <w:autoSpaceDN w:val="0"/>
              <w:adjustRightInd w:val="0"/>
              <w:jc w:val="center"/>
            </w:pPr>
            <w:r>
              <w:t>1</w:t>
            </w:r>
          </w:p>
        </w:tc>
        <w:tc>
          <w:tcPr>
            <w:tcW w:w="1641" w:type="dxa"/>
            <w:tcBorders>
              <w:top w:val="nil"/>
              <w:left w:val="single" w:sz="4" w:space="0" w:color="auto"/>
              <w:bottom w:val="nil"/>
              <w:right w:val="single" w:sz="4" w:space="0" w:color="auto"/>
            </w:tcBorders>
            <w:vAlign w:val="center"/>
          </w:tcPr>
          <w:p w14:paraId="4EC419F2" w14:textId="77777777" w:rsidR="000F3862" w:rsidRPr="000F3862" w:rsidRDefault="00DE7528" w:rsidP="00DE7528">
            <w:pPr>
              <w:autoSpaceDE w:val="0"/>
              <w:autoSpaceDN w:val="0"/>
              <w:adjustRightInd w:val="0"/>
              <w:jc w:val="center"/>
            </w:pPr>
            <w:r>
              <w:t>0</w:t>
            </w:r>
          </w:p>
        </w:tc>
        <w:tc>
          <w:tcPr>
            <w:tcW w:w="1641" w:type="dxa"/>
            <w:tcBorders>
              <w:top w:val="nil"/>
              <w:left w:val="single" w:sz="4" w:space="0" w:color="auto"/>
              <w:bottom w:val="nil"/>
              <w:right w:val="single" w:sz="4" w:space="0" w:color="auto"/>
            </w:tcBorders>
            <w:vAlign w:val="center"/>
          </w:tcPr>
          <w:p w14:paraId="542429FC" w14:textId="77777777" w:rsidR="000F3862" w:rsidRPr="000F3862" w:rsidRDefault="00DE7528" w:rsidP="00DE7528">
            <w:pPr>
              <w:autoSpaceDE w:val="0"/>
              <w:autoSpaceDN w:val="0"/>
              <w:adjustRightInd w:val="0"/>
              <w:jc w:val="center"/>
            </w:pPr>
            <w:r>
              <w:t>2</w:t>
            </w:r>
          </w:p>
        </w:tc>
        <w:tc>
          <w:tcPr>
            <w:tcW w:w="1642" w:type="dxa"/>
            <w:tcBorders>
              <w:top w:val="nil"/>
              <w:left w:val="single" w:sz="4" w:space="0" w:color="auto"/>
              <w:bottom w:val="nil"/>
              <w:right w:val="single" w:sz="4" w:space="0" w:color="auto"/>
            </w:tcBorders>
            <w:vAlign w:val="center"/>
          </w:tcPr>
          <w:p w14:paraId="0A6B96EB" w14:textId="77777777" w:rsidR="000F3862" w:rsidRPr="000F3862" w:rsidRDefault="00DE7528" w:rsidP="00DE7528">
            <w:pPr>
              <w:autoSpaceDE w:val="0"/>
              <w:autoSpaceDN w:val="0"/>
              <w:adjustRightInd w:val="0"/>
              <w:jc w:val="center"/>
            </w:pPr>
            <w:r>
              <w:t>3</w:t>
            </w:r>
          </w:p>
        </w:tc>
      </w:tr>
      <w:tr w:rsidR="004C2A23" w:rsidRPr="000F3862" w14:paraId="45458175" w14:textId="77777777" w:rsidTr="00DE7528">
        <w:trPr>
          <w:trHeight w:val="360"/>
        </w:trPr>
        <w:tc>
          <w:tcPr>
            <w:tcW w:w="2785" w:type="dxa"/>
            <w:tcBorders>
              <w:top w:val="nil"/>
              <w:left w:val="single" w:sz="4" w:space="0" w:color="auto"/>
              <w:bottom w:val="single" w:sz="4" w:space="0" w:color="auto"/>
              <w:right w:val="single" w:sz="4" w:space="0" w:color="auto"/>
            </w:tcBorders>
            <w:vAlign w:val="center"/>
          </w:tcPr>
          <w:p w14:paraId="21BB59A6" w14:textId="77777777" w:rsidR="004C2A23" w:rsidRPr="00DE7528" w:rsidRDefault="004C2A23" w:rsidP="000F3862">
            <w:pPr>
              <w:autoSpaceDE w:val="0"/>
              <w:autoSpaceDN w:val="0"/>
              <w:adjustRightInd w:val="0"/>
              <w:rPr>
                <w:b/>
              </w:rPr>
            </w:pPr>
            <w:r w:rsidRPr="00DE7528">
              <w:rPr>
                <w:b/>
              </w:rPr>
              <w:t>Prior cardiovascular disease</w:t>
            </w:r>
          </w:p>
        </w:tc>
        <w:tc>
          <w:tcPr>
            <w:tcW w:w="1641" w:type="dxa"/>
            <w:tcBorders>
              <w:top w:val="nil"/>
              <w:left w:val="single" w:sz="4" w:space="0" w:color="auto"/>
              <w:bottom w:val="single" w:sz="4" w:space="0" w:color="auto"/>
              <w:right w:val="single" w:sz="4" w:space="0" w:color="auto"/>
            </w:tcBorders>
            <w:vAlign w:val="center"/>
          </w:tcPr>
          <w:p w14:paraId="2B6AF718" w14:textId="77777777" w:rsidR="004C2A23" w:rsidRPr="000F3862" w:rsidRDefault="00DE7528" w:rsidP="00DE7528">
            <w:pPr>
              <w:autoSpaceDE w:val="0"/>
              <w:autoSpaceDN w:val="0"/>
              <w:adjustRightInd w:val="0"/>
              <w:jc w:val="center"/>
            </w:pPr>
            <w:r>
              <w:t>0</w:t>
            </w:r>
          </w:p>
        </w:tc>
        <w:tc>
          <w:tcPr>
            <w:tcW w:w="1641" w:type="dxa"/>
            <w:tcBorders>
              <w:top w:val="nil"/>
              <w:left w:val="single" w:sz="4" w:space="0" w:color="auto"/>
              <w:bottom w:val="single" w:sz="4" w:space="0" w:color="auto"/>
              <w:right w:val="single" w:sz="4" w:space="0" w:color="auto"/>
            </w:tcBorders>
            <w:vAlign w:val="center"/>
          </w:tcPr>
          <w:p w14:paraId="419619A1" w14:textId="77777777" w:rsidR="004C2A23" w:rsidRPr="000F3862" w:rsidRDefault="00DE7528" w:rsidP="00DE7528">
            <w:pPr>
              <w:autoSpaceDE w:val="0"/>
              <w:autoSpaceDN w:val="0"/>
              <w:adjustRightInd w:val="0"/>
              <w:jc w:val="center"/>
            </w:pPr>
            <w:r>
              <w:t>0</w:t>
            </w:r>
          </w:p>
        </w:tc>
        <w:tc>
          <w:tcPr>
            <w:tcW w:w="1641" w:type="dxa"/>
            <w:tcBorders>
              <w:top w:val="nil"/>
              <w:left w:val="single" w:sz="4" w:space="0" w:color="auto"/>
              <w:bottom w:val="single" w:sz="4" w:space="0" w:color="auto"/>
              <w:right w:val="single" w:sz="4" w:space="0" w:color="auto"/>
            </w:tcBorders>
            <w:vAlign w:val="center"/>
          </w:tcPr>
          <w:p w14:paraId="3661FB06" w14:textId="77777777" w:rsidR="004C2A23" w:rsidRPr="000F3862" w:rsidRDefault="00DE7528" w:rsidP="00DE7528">
            <w:pPr>
              <w:autoSpaceDE w:val="0"/>
              <w:autoSpaceDN w:val="0"/>
              <w:adjustRightInd w:val="0"/>
              <w:jc w:val="center"/>
            </w:pPr>
            <w:r>
              <w:t>0</w:t>
            </w:r>
          </w:p>
        </w:tc>
        <w:tc>
          <w:tcPr>
            <w:tcW w:w="1642" w:type="dxa"/>
            <w:tcBorders>
              <w:top w:val="nil"/>
              <w:left w:val="single" w:sz="4" w:space="0" w:color="auto"/>
              <w:bottom w:val="single" w:sz="4" w:space="0" w:color="auto"/>
              <w:right w:val="single" w:sz="4" w:space="0" w:color="auto"/>
            </w:tcBorders>
            <w:vAlign w:val="center"/>
          </w:tcPr>
          <w:p w14:paraId="67E7DE3C" w14:textId="77777777" w:rsidR="004C2A23" w:rsidRPr="000F3862" w:rsidRDefault="00DE7528" w:rsidP="00DE7528">
            <w:pPr>
              <w:autoSpaceDE w:val="0"/>
              <w:autoSpaceDN w:val="0"/>
              <w:adjustRightInd w:val="0"/>
              <w:jc w:val="center"/>
            </w:pPr>
            <w:r>
              <w:t>0</w:t>
            </w:r>
          </w:p>
        </w:tc>
      </w:tr>
    </w:tbl>
    <w:p w14:paraId="1684414B" w14:textId="77777777" w:rsidR="00A34FC3" w:rsidRPr="009D5804" w:rsidRDefault="00A34FC3" w:rsidP="00A24EFB">
      <w:pPr>
        <w:autoSpaceDE w:val="0"/>
        <w:autoSpaceDN w:val="0"/>
        <w:adjustRightInd w:val="0"/>
        <w:spacing w:after="120"/>
        <w:rPr>
          <w:sz w:val="22"/>
          <w:szCs w:val="22"/>
        </w:rPr>
      </w:pPr>
    </w:p>
    <w:p w14:paraId="6AC9A147" w14:textId="77777777" w:rsidR="00C55091" w:rsidRPr="00D10798" w:rsidRDefault="00B93391" w:rsidP="00A24EFB">
      <w:pPr>
        <w:autoSpaceDE w:val="0"/>
        <w:autoSpaceDN w:val="0"/>
        <w:adjustRightInd w:val="0"/>
        <w:spacing w:after="120"/>
        <w:rPr>
          <w:i/>
          <w:sz w:val="22"/>
          <w:szCs w:val="22"/>
        </w:rPr>
      </w:pPr>
      <w:r w:rsidRPr="00934EBE">
        <w:rPr>
          <w:i/>
          <w:color w:val="7F7F7F" w:themeColor="text1" w:themeTint="80"/>
          <w:sz w:val="22"/>
          <w:szCs w:val="22"/>
        </w:rPr>
        <w:t xml:space="preserve">3. </w:t>
      </w:r>
      <w:r w:rsidR="00C55091" w:rsidRPr="00934EBE">
        <w:rPr>
          <w:i/>
          <w:color w:val="7F7F7F" w:themeColor="text1" w:themeTint="80"/>
          <w:sz w:val="22"/>
          <w:szCs w:val="22"/>
        </w:rPr>
        <w:t xml:space="preserve">Perform a statistical analysis evaluating an association between serum </w:t>
      </w:r>
      <w:r w:rsidR="003F5F38" w:rsidRPr="00934EBE">
        <w:rPr>
          <w:i/>
          <w:color w:val="7F7F7F" w:themeColor="text1" w:themeTint="80"/>
          <w:sz w:val="22"/>
          <w:szCs w:val="22"/>
        </w:rPr>
        <w:t>CRP and 4</w:t>
      </w:r>
      <w:r w:rsidR="00C55091" w:rsidRPr="00934EBE">
        <w:rPr>
          <w:i/>
          <w:color w:val="7F7F7F" w:themeColor="text1" w:themeTint="80"/>
          <w:sz w:val="22"/>
          <w:szCs w:val="22"/>
        </w:rPr>
        <w:t xml:space="preserve"> year all-cause mortality by comparing mean </w:t>
      </w:r>
      <w:r w:rsidR="003F5F38" w:rsidRPr="00934EBE">
        <w:rPr>
          <w:i/>
          <w:color w:val="7F7F7F" w:themeColor="text1" w:themeTint="80"/>
          <w:sz w:val="22"/>
          <w:szCs w:val="22"/>
        </w:rPr>
        <w:t>CRP</w:t>
      </w:r>
      <w:r w:rsidR="00C55091" w:rsidRPr="00934EBE">
        <w:rPr>
          <w:i/>
          <w:color w:val="7F7F7F" w:themeColor="text1" w:themeTint="80"/>
          <w:sz w:val="22"/>
          <w:szCs w:val="22"/>
        </w:rPr>
        <w:t xml:space="preserve"> values across groups defined by vital status at </w:t>
      </w:r>
      <w:r w:rsidR="003F5F38" w:rsidRPr="00934EBE">
        <w:rPr>
          <w:i/>
          <w:color w:val="7F7F7F" w:themeColor="text1" w:themeTint="80"/>
          <w:sz w:val="22"/>
          <w:szCs w:val="22"/>
        </w:rPr>
        <w:t>4</w:t>
      </w:r>
      <w:r w:rsidR="00C55091" w:rsidRPr="00934EBE">
        <w:rPr>
          <w:i/>
          <w:color w:val="7F7F7F" w:themeColor="text1" w:themeTint="80"/>
          <w:sz w:val="22"/>
          <w:szCs w:val="22"/>
        </w:rPr>
        <w:t xml:space="preserve"> years.</w:t>
      </w:r>
    </w:p>
    <w:p w14:paraId="543D0220" w14:textId="77777777" w:rsidR="00A34FC3" w:rsidRDefault="00801BCC" w:rsidP="00A24EFB">
      <w:pPr>
        <w:autoSpaceDE w:val="0"/>
        <w:autoSpaceDN w:val="0"/>
        <w:adjustRightInd w:val="0"/>
        <w:spacing w:after="120"/>
        <w:rPr>
          <w:sz w:val="22"/>
          <w:szCs w:val="22"/>
        </w:rPr>
      </w:pPr>
      <w:r>
        <w:rPr>
          <w:b/>
          <w:sz w:val="22"/>
          <w:szCs w:val="22"/>
          <w:u w:val="single"/>
        </w:rPr>
        <w:t xml:space="preserve">Methods: </w:t>
      </w:r>
    </w:p>
    <w:p w14:paraId="43875DAA" w14:textId="77777777" w:rsidR="00801BCC" w:rsidRDefault="00801BCC" w:rsidP="00A24EFB">
      <w:pPr>
        <w:autoSpaceDE w:val="0"/>
        <w:autoSpaceDN w:val="0"/>
        <w:adjustRightInd w:val="0"/>
        <w:spacing w:after="120"/>
        <w:rPr>
          <w:sz w:val="22"/>
          <w:szCs w:val="22"/>
        </w:rPr>
      </w:pPr>
      <w:r>
        <w:rPr>
          <w:sz w:val="22"/>
          <w:szCs w:val="22"/>
        </w:rPr>
        <w:t>An indicator variable is created to dichotomized follow-up time according to death within 4 years of study enrolment or death after 4 years, assuming 365.25 days in a year.</w:t>
      </w:r>
      <w:r w:rsidR="006A273F">
        <w:rPr>
          <w:sz w:val="22"/>
          <w:szCs w:val="22"/>
        </w:rPr>
        <w:t xml:space="preserve"> Groups defined by vital status at 4 years are subjects who died within 4 years of study enrolment and those who survived at least 4 years. </w:t>
      </w:r>
    </w:p>
    <w:p w14:paraId="3B212D02" w14:textId="77777777" w:rsidR="00E27E12" w:rsidRDefault="00E27E12" w:rsidP="00A24EFB">
      <w:pPr>
        <w:autoSpaceDE w:val="0"/>
        <w:autoSpaceDN w:val="0"/>
        <w:adjustRightInd w:val="0"/>
        <w:spacing w:after="120"/>
        <w:rPr>
          <w:sz w:val="22"/>
          <w:szCs w:val="22"/>
        </w:rPr>
      </w:pPr>
      <w:r>
        <w:rPr>
          <w:sz w:val="22"/>
          <w:szCs w:val="22"/>
        </w:rPr>
        <w:t xml:space="preserve">Mean serum CRP values were then compared across these two groups. Difference in the means were tested using a two-sample t-test that does not assume equal variance, i.e. allows the possibility of unequal variances across groups. A 95% confidence interval were constructed accordingly, without assuming equal variance.  </w:t>
      </w:r>
    </w:p>
    <w:p w14:paraId="02C86EF0" w14:textId="77777777" w:rsidR="009A2D53" w:rsidRDefault="009A2D53" w:rsidP="00A24EFB">
      <w:pPr>
        <w:autoSpaceDE w:val="0"/>
        <w:autoSpaceDN w:val="0"/>
        <w:adjustRightInd w:val="0"/>
        <w:spacing w:after="120"/>
        <w:rPr>
          <w:b/>
          <w:sz w:val="22"/>
          <w:szCs w:val="22"/>
          <w:u w:val="single"/>
        </w:rPr>
      </w:pPr>
      <w:r>
        <w:rPr>
          <w:b/>
          <w:sz w:val="22"/>
          <w:szCs w:val="22"/>
          <w:u w:val="single"/>
        </w:rPr>
        <w:t>Results:</w:t>
      </w:r>
    </w:p>
    <w:p w14:paraId="5E548C0E" w14:textId="77777777" w:rsidR="009A2D53" w:rsidRPr="009A2D53" w:rsidRDefault="00553204" w:rsidP="00A24EFB">
      <w:pPr>
        <w:autoSpaceDE w:val="0"/>
        <w:autoSpaceDN w:val="0"/>
        <w:adjustRightInd w:val="0"/>
        <w:spacing w:after="120"/>
        <w:rPr>
          <w:sz w:val="22"/>
          <w:szCs w:val="22"/>
        </w:rPr>
      </w:pPr>
      <w:r>
        <w:rPr>
          <w:sz w:val="22"/>
          <w:szCs w:val="22"/>
        </w:rPr>
        <w:t xml:space="preserve">Defined by vital status at 4 years, there were 484 patients who died within 4 years of study enrolment and 4,449 patients who survived at least 4 years since enrolment. The mean serum CRP values were 5.38 mg/L and 3.42 mg/L, respectively, across the two groups. </w:t>
      </w:r>
      <w:r w:rsidR="00A82464">
        <w:rPr>
          <w:sz w:val="22"/>
          <w:szCs w:val="22"/>
        </w:rPr>
        <w:t>The</w:t>
      </w:r>
      <w:r>
        <w:rPr>
          <w:sz w:val="22"/>
          <w:szCs w:val="22"/>
        </w:rPr>
        <w:t xml:space="preserve"> mean serum CRP among subjects dying within 4 years tend to be 1.95 mg/L higher than the mean serum CRP among subjects dying after 4 years. </w:t>
      </w:r>
      <w:r w:rsidR="00A8204C">
        <w:rPr>
          <w:sz w:val="22"/>
          <w:szCs w:val="22"/>
        </w:rPr>
        <w:t>With 95% confidence, this</w:t>
      </w:r>
      <w:r>
        <w:rPr>
          <w:sz w:val="22"/>
          <w:szCs w:val="22"/>
        </w:rPr>
        <w:t xml:space="preserve"> result is consistent </w:t>
      </w:r>
      <w:r w:rsidR="004703BB">
        <w:rPr>
          <w:sz w:val="22"/>
          <w:szCs w:val="22"/>
        </w:rPr>
        <w:t>with</w:t>
      </w:r>
      <w:r w:rsidR="00A82464">
        <w:rPr>
          <w:sz w:val="22"/>
          <w:szCs w:val="22"/>
        </w:rPr>
        <w:t xml:space="preserve"> the true mean serum CRP among th</w:t>
      </w:r>
      <w:r w:rsidR="004703BB">
        <w:rPr>
          <w:sz w:val="22"/>
          <w:szCs w:val="22"/>
        </w:rPr>
        <w:t>ose who died within 4 years being</w:t>
      </w:r>
      <w:r w:rsidR="00A82464">
        <w:rPr>
          <w:sz w:val="22"/>
          <w:szCs w:val="22"/>
        </w:rPr>
        <w:t xml:space="preserve"> anywhere between 1.21 mg/L to 2.70 mg/L higher than the true mean among those who survived at least 4 years. Using a two-sample t-test that does not assume equal variances, this result is statistically significan</w:t>
      </w:r>
      <w:r w:rsidR="00014048">
        <w:rPr>
          <w:sz w:val="22"/>
          <w:szCs w:val="22"/>
        </w:rPr>
        <w:t xml:space="preserve">t at </w:t>
      </w:r>
      <w:r w:rsidR="00A8204C">
        <w:rPr>
          <w:sz w:val="22"/>
          <w:szCs w:val="22"/>
        </w:rPr>
        <w:t>the 0.05 critical threshold</w:t>
      </w:r>
      <w:r w:rsidR="00A82464">
        <w:rPr>
          <w:sz w:val="22"/>
          <w:szCs w:val="22"/>
        </w:rPr>
        <w:t xml:space="preserve"> with a two-sided p-value of less than 0.0001. </w:t>
      </w:r>
      <w:r w:rsidR="002036F6">
        <w:rPr>
          <w:sz w:val="22"/>
          <w:szCs w:val="22"/>
        </w:rPr>
        <w:t xml:space="preserve">As a result, </w:t>
      </w:r>
      <w:r w:rsidR="00A82464">
        <w:rPr>
          <w:sz w:val="22"/>
          <w:szCs w:val="22"/>
        </w:rPr>
        <w:t>we reject the null hypothesis that the mean serum CRP values are not different by v</w:t>
      </w:r>
      <w:r w:rsidR="00B97745">
        <w:rPr>
          <w:sz w:val="22"/>
          <w:szCs w:val="22"/>
        </w:rPr>
        <w:t xml:space="preserve">ital status at 4 years, in favor of an alternative hypothesis that mortality at 4 years is associated with mean CRP. </w:t>
      </w:r>
    </w:p>
    <w:p w14:paraId="6C8DEEFF" w14:textId="77777777" w:rsidR="00A34FC3" w:rsidRPr="009D5804" w:rsidRDefault="00A34FC3" w:rsidP="00A24EFB">
      <w:pPr>
        <w:autoSpaceDE w:val="0"/>
        <w:autoSpaceDN w:val="0"/>
        <w:adjustRightInd w:val="0"/>
        <w:spacing w:after="120"/>
        <w:rPr>
          <w:sz w:val="22"/>
          <w:szCs w:val="22"/>
        </w:rPr>
      </w:pPr>
    </w:p>
    <w:p w14:paraId="1C168B6C" w14:textId="77777777" w:rsidR="00C55091" w:rsidRPr="00D10798" w:rsidRDefault="00B93391" w:rsidP="00A24EFB">
      <w:pPr>
        <w:autoSpaceDE w:val="0"/>
        <w:autoSpaceDN w:val="0"/>
        <w:adjustRightInd w:val="0"/>
        <w:spacing w:after="120"/>
        <w:rPr>
          <w:i/>
          <w:sz w:val="22"/>
          <w:szCs w:val="22"/>
        </w:rPr>
      </w:pPr>
      <w:r w:rsidRPr="00934EBE">
        <w:rPr>
          <w:i/>
          <w:color w:val="7F7F7F" w:themeColor="text1" w:themeTint="80"/>
          <w:sz w:val="22"/>
          <w:szCs w:val="22"/>
        </w:rPr>
        <w:t xml:space="preserve">4. </w:t>
      </w:r>
      <w:r w:rsidR="00C55091" w:rsidRPr="00934EBE">
        <w:rPr>
          <w:i/>
          <w:color w:val="7F7F7F" w:themeColor="text1" w:themeTint="80"/>
          <w:sz w:val="22"/>
          <w:szCs w:val="22"/>
        </w:rPr>
        <w:t xml:space="preserve">Perform a statistical analysis evaluating an association between serum </w:t>
      </w:r>
      <w:r w:rsidR="003F5F38" w:rsidRPr="00934EBE">
        <w:rPr>
          <w:i/>
          <w:color w:val="7F7F7F" w:themeColor="text1" w:themeTint="80"/>
          <w:sz w:val="22"/>
          <w:szCs w:val="22"/>
        </w:rPr>
        <w:t>CRP and 4</w:t>
      </w:r>
      <w:r w:rsidR="00C55091" w:rsidRPr="00934EBE">
        <w:rPr>
          <w:i/>
          <w:color w:val="7F7F7F" w:themeColor="text1" w:themeTint="80"/>
          <w:sz w:val="22"/>
          <w:szCs w:val="22"/>
        </w:rPr>
        <w:t xml:space="preserve"> year all-cause mortality by comparing geometric mean </w:t>
      </w:r>
      <w:r w:rsidR="003F5F38" w:rsidRPr="00934EBE">
        <w:rPr>
          <w:i/>
          <w:color w:val="7F7F7F" w:themeColor="text1" w:themeTint="80"/>
          <w:sz w:val="22"/>
          <w:szCs w:val="22"/>
        </w:rPr>
        <w:t>CRP</w:t>
      </w:r>
      <w:r w:rsidR="00C55091" w:rsidRPr="00934EBE">
        <w:rPr>
          <w:i/>
          <w:color w:val="7F7F7F" w:themeColor="text1" w:themeTint="80"/>
          <w:sz w:val="22"/>
          <w:szCs w:val="22"/>
        </w:rPr>
        <w:t xml:space="preserve"> values across groups defined by vital status at </w:t>
      </w:r>
      <w:r w:rsidR="003F5F38" w:rsidRPr="00934EBE">
        <w:rPr>
          <w:i/>
          <w:color w:val="7F7F7F" w:themeColor="text1" w:themeTint="80"/>
          <w:sz w:val="22"/>
          <w:szCs w:val="22"/>
        </w:rPr>
        <w:t>4</w:t>
      </w:r>
      <w:r w:rsidR="00C55091" w:rsidRPr="00934EBE">
        <w:rPr>
          <w:i/>
          <w:color w:val="7F7F7F" w:themeColor="text1" w:themeTint="80"/>
          <w:sz w:val="22"/>
          <w:szCs w:val="22"/>
        </w:rPr>
        <w:t xml:space="preserve"> years.</w:t>
      </w:r>
      <w:r w:rsidR="003F5F38" w:rsidRPr="00934EBE">
        <w:rPr>
          <w:i/>
          <w:color w:val="7F7F7F" w:themeColor="text1" w:themeTint="80"/>
          <w:sz w:val="22"/>
          <w:szCs w:val="22"/>
        </w:rPr>
        <w:t xml:space="preserve"> (Note that there are some measurements of CRP that are reported as zeroes. Make clear how you handle these measurements.)</w:t>
      </w:r>
    </w:p>
    <w:p w14:paraId="27EF7F89" w14:textId="77777777" w:rsidR="00A34FC3" w:rsidRPr="004637E9" w:rsidRDefault="004637E9" w:rsidP="00A24EFB">
      <w:pPr>
        <w:autoSpaceDE w:val="0"/>
        <w:autoSpaceDN w:val="0"/>
        <w:adjustRightInd w:val="0"/>
        <w:spacing w:after="120"/>
        <w:rPr>
          <w:sz w:val="22"/>
          <w:szCs w:val="22"/>
        </w:rPr>
      </w:pPr>
      <w:commentRangeStart w:id="0"/>
      <w:r>
        <w:rPr>
          <w:b/>
          <w:sz w:val="22"/>
          <w:szCs w:val="22"/>
          <w:u w:val="single"/>
        </w:rPr>
        <w:t>Methods:</w:t>
      </w:r>
      <w:commentRangeEnd w:id="0"/>
      <w:r w:rsidR="00E500A9">
        <w:rPr>
          <w:rStyle w:val="CommentReference"/>
        </w:rPr>
        <w:commentReference w:id="0"/>
      </w:r>
    </w:p>
    <w:p w14:paraId="29FC6152" w14:textId="77777777" w:rsidR="00A34FC3" w:rsidRDefault="004637E9" w:rsidP="00A24EFB">
      <w:pPr>
        <w:autoSpaceDE w:val="0"/>
        <w:autoSpaceDN w:val="0"/>
        <w:adjustRightInd w:val="0"/>
        <w:spacing w:after="120"/>
        <w:rPr>
          <w:sz w:val="22"/>
          <w:szCs w:val="22"/>
        </w:rPr>
      </w:pPr>
      <w:r>
        <w:rPr>
          <w:sz w:val="22"/>
          <w:szCs w:val="22"/>
        </w:rPr>
        <w:t>A log-transformation</w:t>
      </w:r>
      <w:r w:rsidR="002B2624">
        <w:rPr>
          <w:sz w:val="22"/>
          <w:szCs w:val="22"/>
        </w:rPr>
        <w:t xml:space="preserve"> was performed on the serum CRP values. Prior to performing the log-transformation, CRP measurements of zeroes were replaced by 0.5. In general, when dealing with zeroes in log-transformation, such zeroes were replaced by half of the lowest limit of detection. In this case, we do not know the exact precision of the serum CRP measurement, but we know that the smallest value </w:t>
      </w:r>
      <w:r w:rsidR="002B2624">
        <w:rPr>
          <w:sz w:val="22"/>
          <w:szCs w:val="22"/>
        </w:rPr>
        <w:lastRenderedPageBreak/>
        <w:t xml:space="preserve">recorded after 0 was 1. In addition, only 4% (21 among 484) of patients who died within 4 years and only 9% (407 among 4,449) of patients who survived at least 4 years had serum CRP measurements of zeroes. </w:t>
      </w:r>
      <w:r w:rsidR="00760439">
        <w:rPr>
          <w:sz w:val="22"/>
          <w:szCs w:val="22"/>
        </w:rPr>
        <w:t>Thus adding 0.5 to these zeroes measurements can make sure that the log-transformed values are closed enough to zeroes and not creating huge outliers in calculating the geometric mean.</w:t>
      </w:r>
    </w:p>
    <w:p w14:paraId="522E4341" w14:textId="77777777" w:rsidR="00760439" w:rsidRDefault="005B3DB2" w:rsidP="00A24EFB">
      <w:pPr>
        <w:autoSpaceDE w:val="0"/>
        <w:autoSpaceDN w:val="0"/>
        <w:adjustRightInd w:val="0"/>
        <w:spacing w:after="120"/>
        <w:rPr>
          <w:sz w:val="22"/>
          <w:szCs w:val="22"/>
        </w:rPr>
      </w:pPr>
      <w:r>
        <w:rPr>
          <w:sz w:val="22"/>
          <w:szCs w:val="22"/>
        </w:rPr>
        <w:t xml:space="preserve">Comparing geometric means is </w:t>
      </w:r>
      <w:commentRangeStart w:id="1"/>
      <w:r>
        <w:rPr>
          <w:sz w:val="22"/>
          <w:szCs w:val="22"/>
        </w:rPr>
        <w:t xml:space="preserve">equivalent to comparing the mean of the log-transformed values. </w:t>
      </w:r>
      <w:commentRangeEnd w:id="1"/>
      <w:r w:rsidR="00E500A9">
        <w:rPr>
          <w:rStyle w:val="CommentReference"/>
        </w:rPr>
        <w:commentReference w:id="1"/>
      </w:r>
      <w:r>
        <w:rPr>
          <w:sz w:val="22"/>
          <w:szCs w:val="22"/>
        </w:rPr>
        <w:t xml:space="preserve">In that sense, geometric mean serum CRP values were compared between subjects who died within 4 years of study enrolment and those who survived at least 4 years since study enrolment by performing a two-sample t-test that does not assume equal variances on the means of the log-transformed CRP values across these two groups. A point estimate and a 95% confidence interval for the true difference in population means of the log CRP values across these two groups were then </w:t>
      </w:r>
      <w:r w:rsidR="00EB70CD">
        <w:rPr>
          <w:sz w:val="22"/>
          <w:szCs w:val="22"/>
        </w:rPr>
        <w:t>exponentiated back to the normal scale to obtain a point estimate and a 95% confidence interval for the geometric mean.</w:t>
      </w:r>
    </w:p>
    <w:p w14:paraId="53D704DB" w14:textId="77777777" w:rsidR="00EB70CD" w:rsidRPr="00EB70CD" w:rsidRDefault="00EB70CD" w:rsidP="00A24EFB">
      <w:pPr>
        <w:autoSpaceDE w:val="0"/>
        <w:autoSpaceDN w:val="0"/>
        <w:adjustRightInd w:val="0"/>
        <w:spacing w:after="120"/>
        <w:rPr>
          <w:sz w:val="22"/>
          <w:szCs w:val="22"/>
        </w:rPr>
      </w:pPr>
      <w:commentRangeStart w:id="2"/>
      <w:r>
        <w:rPr>
          <w:b/>
          <w:sz w:val="22"/>
          <w:szCs w:val="22"/>
          <w:u w:val="single"/>
        </w:rPr>
        <w:t>Results:</w:t>
      </w:r>
      <w:commentRangeEnd w:id="2"/>
      <w:r w:rsidR="008F44ED">
        <w:rPr>
          <w:rStyle w:val="CommentReference"/>
        </w:rPr>
        <w:commentReference w:id="2"/>
      </w:r>
    </w:p>
    <w:p w14:paraId="7AE22324" w14:textId="77777777" w:rsidR="004637E9" w:rsidRDefault="00450141" w:rsidP="00A24EFB">
      <w:pPr>
        <w:autoSpaceDE w:val="0"/>
        <w:autoSpaceDN w:val="0"/>
        <w:adjustRightInd w:val="0"/>
        <w:spacing w:after="120"/>
        <w:rPr>
          <w:sz w:val="22"/>
          <w:szCs w:val="22"/>
        </w:rPr>
      </w:pPr>
      <w:r>
        <w:rPr>
          <w:sz w:val="22"/>
          <w:szCs w:val="22"/>
        </w:rPr>
        <w:t>The geometric mean serum CRP value was 2.97 mg/L among the 484 patients who died within 4 years of study enrolment and 2.03 mg/L among the 4,449 patients who survived at least 4 years. The geometric mean serum CRP among subjects died within 4 years tend to be 46.39% higher than the geometric mean serum CRP among those died after</w:t>
      </w:r>
      <w:r w:rsidR="00933251">
        <w:rPr>
          <w:sz w:val="22"/>
          <w:szCs w:val="22"/>
        </w:rPr>
        <w:t xml:space="preserve"> 4 years. </w:t>
      </w:r>
      <w:r w:rsidR="00A8204C">
        <w:rPr>
          <w:sz w:val="22"/>
          <w:szCs w:val="22"/>
        </w:rPr>
        <w:t xml:space="preserve">With 95% confidence, </w:t>
      </w:r>
      <w:r w:rsidR="004703BB">
        <w:rPr>
          <w:sz w:val="22"/>
          <w:szCs w:val="22"/>
        </w:rPr>
        <w:t>this result is consistent with</w:t>
      </w:r>
      <w:r>
        <w:rPr>
          <w:sz w:val="22"/>
          <w:szCs w:val="22"/>
        </w:rPr>
        <w:t xml:space="preserve"> the true geometric mean serum CRP among th</w:t>
      </w:r>
      <w:r w:rsidR="004703BB">
        <w:rPr>
          <w:sz w:val="22"/>
          <w:szCs w:val="22"/>
        </w:rPr>
        <w:t>ose who died within 4 years being</w:t>
      </w:r>
      <w:r>
        <w:rPr>
          <w:sz w:val="22"/>
          <w:szCs w:val="22"/>
        </w:rPr>
        <w:t xml:space="preserve"> anywhere between 33.16% and 60.93% higher the true geometric mean among those who survived at least 4 years. Using a two-sample t-test that does not assume equal variances, this result is statistically significan</w:t>
      </w:r>
      <w:r w:rsidR="00014048">
        <w:rPr>
          <w:sz w:val="22"/>
          <w:szCs w:val="22"/>
        </w:rPr>
        <w:t xml:space="preserve">t at </w:t>
      </w:r>
      <w:r w:rsidR="00A8204C">
        <w:rPr>
          <w:sz w:val="22"/>
          <w:szCs w:val="22"/>
        </w:rPr>
        <w:t>the 0.05 critical threshold</w:t>
      </w:r>
      <w:r>
        <w:rPr>
          <w:sz w:val="22"/>
          <w:szCs w:val="22"/>
        </w:rPr>
        <w:t xml:space="preserve"> </w:t>
      </w:r>
      <w:r w:rsidR="00345F12">
        <w:rPr>
          <w:sz w:val="22"/>
          <w:szCs w:val="22"/>
        </w:rPr>
        <w:t>with a two-sided p-value of less than 0.0001. As a result, we reject the null hypothesis that the geometric mean serum CRP values are not different by vital status at 4 years, in favor of an alternative hypothesis that mortality at 4 years is associated with geometric mean serum CRP.</w:t>
      </w:r>
    </w:p>
    <w:p w14:paraId="506B1742" w14:textId="77777777" w:rsidR="00EB70CD" w:rsidRDefault="00EB70CD" w:rsidP="00A24EFB">
      <w:pPr>
        <w:autoSpaceDE w:val="0"/>
        <w:autoSpaceDN w:val="0"/>
        <w:adjustRightInd w:val="0"/>
        <w:spacing w:after="120"/>
        <w:rPr>
          <w:sz w:val="22"/>
          <w:szCs w:val="22"/>
        </w:rPr>
      </w:pPr>
    </w:p>
    <w:p w14:paraId="3768307E" w14:textId="77777777" w:rsidR="00C55091" w:rsidRPr="00D10798" w:rsidRDefault="00B93391" w:rsidP="00A24EFB">
      <w:pPr>
        <w:autoSpaceDE w:val="0"/>
        <w:autoSpaceDN w:val="0"/>
        <w:adjustRightInd w:val="0"/>
        <w:spacing w:after="120"/>
        <w:rPr>
          <w:i/>
          <w:sz w:val="22"/>
          <w:szCs w:val="22"/>
        </w:rPr>
      </w:pPr>
      <w:r w:rsidRPr="00934EBE">
        <w:rPr>
          <w:i/>
          <w:color w:val="7F7F7F" w:themeColor="text1" w:themeTint="80"/>
          <w:sz w:val="22"/>
          <w:szCs w:val="22"/>
        </w:rPr>
        <w:t xml:space="preserve">5. </w:t>
      </w:r>
      <w:r w:rsidR="00C55091" w:rsidRPr="00934EBE">
        <w:rPr>
          <w:i/>
          <w:color w:val="7F7F7F" w:themeColor="text1" w:themeTint="80"/>
          <w:sz w:val="22"/>
          <w:szCs w:val="22"/>
        </w:rPr>
        <w:t xml:space="preserve">Perform a statistical analysis evaluating an association between serum </w:t>
      </w:r>
      <w:r w:rsidR="003F5F38" w:rsidRPr="00934EBE">
        <w:rPr>
          <w:i/>
          <w:color w:val="7F7F7F" w:themeColor="text1" w:themeTint="80"/>
          <w:sz w:val="22"/>
          <w:szCs w:val="22"/>
        </w:rPr>
        <w:t>CRP</w:t>
      </w:r>
      <w:r w:rsidR="00C55091" w:rsidRPr="00934EBE">
        <w:rPr>
          <w:i/>
          <w:color w:val="7F7F7F" w:themeColor="text1" w:themeTint="80"/>
          <w:sz w:val="22"/>
          <w:szCs w:val="22"/>
        </w:rPr>
        <w:t xml:space="preserve"> and </w:t>
      </w:r>
      <w:r w:rsidR="003F5F38" w:rsidRPr="00934EBE">
        <w:rPr>
          <w:i/>
          <w:color w:val="7F7F7F" w:themeColor="text1" w:themeTint="80"/>
          <w:sz w:val="22"/>
          <w:szCs w:val="22"/>
        </w:rPr>
        <w:t>4</w:t>
      </w:r>
      <w:r w:rsidR="00C55091" w:rsidRPr="00934EBE">
        <w:rPr>
          <w:i/>
          <w:color w:val="7F7F7F" w:themeColor="text1" w:themeTint="80"/>
          <w:sz w:val="22"/>
          <w:szCs w:val="22"/>
        </w:rPr>
        <w:t xml:space="preserve"> year all-cause </w:t>
      </w:r>
      <w:bookmarkStart w:id="3" w:name="_GoBack"/>
      <w:bookmarkEnd w:id="3"/>
      <w:r w:rsidR="00C55091" w:rsidRPr="00934EBE">
        <w:rPr>
          <w:i/>
          <w:color w:val="7F7F7F" w:themeColor="text1" w:themeTint="80"/>
          <w:sz w:val="22"/>
          <w:szCs w:val="22"/>
        </w:rPr>
        <w:t xml:space="preserve">mortality by comparing the probability of death within </w:t>
      </w:r>
      <w:r w:rsidR="003F5F38" w:rsidRPr="00934EBE">
        <w:rPr>
          <w:i/>
          <w:color w:val="7F7F7F" w:themeColor="text1" w:themeTint="80"/>
          <w:sz w:val="22"/>
          <w:szCs w:val="22"/>
        </w:rPr>
        <w:t>4</w:t>
      </w:r>
      <w:r w:rsidR="00C55091" w:rsidRPr="00934EBE">
        <w:rPr>
          <w:i/>
          <w:color w:val="7F7F7F" w:themeColor="text1" w:themeTint="80"/>
          <w:sz w:val="22"/>
          <w:szCs w:val="22"/>
        </w:rPr>
        <w:t xml:space="preserve"> years across groups defined by </w:t>
      </w:r>
      <w:r w:rsidR="00B457A7" w:rsidRPr="00934EBE">
        <w:rPr>
          <w:i/>
          <w:color w:val="7F7F7F" w:themeColor="text1" w:themeTint="80"/>
          <w:sz w:val="22"/>
          <w:szCs w:val="22"/>
        </w:rPr>
        <w:t xml:space="preserve">whether the subjects have high serum </w:t>
      </w:r>
      <w:r w:rsidR="003F5F38" w:rsidRPr="00934EBE">
        <w:rPr>
          <w:i/>
          <w:color w:val="7F7F7F" w:themeColor="text1" w:themeTint="80"/>
          <w:sz w:val="22"/>
          <w:szCs w:val="22"/>
        </w:rPr>
        <w:t>CRP</w:t>
      </w:r>
      <w:r w:rsidR="00B457A7" w:rsidRPr="00934EBE">
        <w:rPr>
          <w:i/>
          <w:color w:val="7F7F7F" w:themeColor="text1" w:themeTint="80"/>
          <w:sz w:val="22"/>
          <w:szCs w:val="22"/>
        </w:rPr>
        <w:t xml:space="preserve"> (“high” = </w:t>
      </w:r>
      <w:r w:rsidR="003F5F38" w:rsidRPr="00934EBE">
        <w:rPr>
          <w:i/>
          <w:color w:val="7F7F7F" w:themeColor="text1" w:themeTint="80"/>
          <w:sz w:val="22"/>
          <w:szCs w:val="22"/>
        </w:rPr>
        <w:t>CRP</w:t>
      </w:r>
      <w:r w:rsidR="00B457A7" w:rsidRPr="00934EBE">
        <w:rPr>
          <w:i/>
          <w:color w:val="7F7F7F" w:themeColor="text1" w:themeTint="80"/>
          <w:sz w:val="22"/>
          <w:szCs w:val="22"/>
        </w:rPr>
        <w:t xml:space="preserve"> &gt; </w:t>
      </w:r>
      <w:r w:rsidR="003F5F38" w:rsidRPr="00934EBE">
        <w:rPr>
          <w:i/>
          <w:color w:val="7F7F7F" w:themeColor="text1" w:themeTint="80"/>
          <w:sz w:val="22"/>
          <w:szCs w:val="22"/>
        </w:rPr>
        <w:t>3 mg/</w:t>
      </w:r>
      <w:r w:rsidR="00B457A7" w:rsidRPr="00934EBE">
        <w:rPr>
          <w:i/>
          <w:color w:val="7F7F7F" w:themeColor="text1" w:themeTint="80"/>
          <w:sz w:val="22"/>
          <w:szCs w:val="22"/>
        </w:rPr>
        <w:t>L).</w:t>
      </w:r>
    </w:p>
    <w:p w14:paraId="331932BB" w14:textId="77777777" w:rsidR="00A34FC3" w:rsidRDefault="00B413D0" w:rsidP="00A24EFB">
      <w:pPr>
        <w:autoSpaceDE w:val="0"/>
        <w:autoSpaceDN w:val="0"/>
        <w:adjustRightInd w:val="0"/>
        <w:spacing w:after="120"/>
        <w:rPr>
          <w:sz w:val="22"/>
          <w:szCs w:val="22"/>
        </w:rPr>
      </w:pPr>
      <w:r>
        <w:rPr>
          <w:b/>
          <w:sz w:val="22"/>
          <w:szCs w:val="22"/>
          <w:u w:val="single"/>
        </w:rPr>
        <w:t>Methods:</w:t>
      </w:r>
    </w:p>
    <w:p w14:paraId="68BC0B6B" w14:textId="77777777" w:rsidR="00B413D0" w:rsidRPr="00B413D0" w:rsidRDefault="00B413D0" w:rsidP="00A24EFB">
      <w:pPr>
        <w:autoSpaceDE w:val="0"/>
        <w:autoSpaceDN w:val="0"/>
        <w:adjustRightInd w:val="0"/>
        <w:spacing w:after="120"/>
        <w:rPr>
          <w:sz w:val="22"/>
          <w:szCs w:val="22"/>
        </w:rPr>
      </w:pPr>
      <w:r>
        <w:rPr>
          <w:sz w:val="22"/>
          <w:szCs w:val="22"/>
        </w:rPr>
        <w:t>Comparing the probability of death within 4 years across groups defined by whether the subjects have high serum CRP (“high” = CRP &gt; 3mg/L) is equivalent to a test comparing the proportions of those who died within 4 years of study enrolment across the group of patients with high serum CRP and the group without high serum CRP. The proportions of subjects dying within 4 years of study enrolment were compared across these two groups by the Pearson’s chi squared test on the difference of the two proportions. A 95% confidence interval for the true difference in proportions was computed using Wald statistics</w:t>
      </w:r>
    </w:p>
    <w:p w14:paraId="110EFFC2" w14:textId="77777777" w:rsidR="00B413D0" w:rsidRDefault="00B413D0" w:rsidP="00A24EFB">
      <w:pPr>
        <w:autoSpaceDE w:val="0"/>
        <w:autoSpaceDN w:val="0"/>
        <w:adjustRightInd w:val="0"/>
        <w:spacing w:after="120"/>
        <w:rPr>
          <w:b/>
          <w:sz w:val="22"/>
          <w:szCs w:val="22"/>
          <w:u w:val="single"/>
        </w:rPr>
      </w:pPr>
      <w:r>
        <w:rPr>
          <w:b/>
          <w:sz w:val="22"/>
          <w:szCs w:val="22"/>
          <w:u w:val="single"/>
        </w:rPr>
        <w:t>Results:</w:t>
      </w:r>
    </w:p>
    <w:p w14:paraId="077680EF" w14:textId="77777777" w:rsidR="00B413D0" w:rsidRDefault="00B413D0" w:rsidP="00A24EFB">
      <w:pPr>
        <w:autoSpaceDE w:val="0"/>
        <w:autoSpaceDN w:val="0"/>
        <w:adjustRightInd w:val="0"/>
        <w:spacing w:after="120"/>
        <w:rPr>
          <w:sz w:val="22"/>
          <w:szCs w:val="22"/>
        </w:rPr>
      </w:pPr>
      <w:r>
        <w:rPr>
          <w:sz w:val="22"/>
          <w:szCs w:val="22"/>
        </w:rPr>
        <w:t>Th</w:t>
      </w:r>
      <w:r w:rsidR="00B57E78">
        <w:rPr>
          <w:sz w:val="22"/>
          <w:szCs w:val="22"/>
        </w:rPr>
        <w:t>ere were 1,175 patients who had</w:t>
      </w:r>
      <w:r>
        <w:rPr>
          <w:sz w:val="22"/>
          <w:szCs w:val="22"/>
        </w:rPr>
        <w:t xml:space="preserve"> serum CRP above 3mg/L </w:t>
      </w:r>
      <w:r w:rsidRPr="007C7300">
        <w:rPr>
          <w:sz w:val="22"/>
          <w:szCs w:val="22"/>
        </w:rPr>
        <w:t>(</w:t>
      </w:r>
      <w:r w:rsidR="00625BDC" w:rsidRPr="007C7300">
        <w:rPr>
          <w:sz w:val="22"/>
          <w:szCs w:val="22"/>
        </w:rPr>
        <w:t>“high” serum CRP</w:t>
      </w:r>
      <w:r w:rsidR="00625BDC">
        <w:rPr>
          <w:sz w:val="22"/>
          <w:szCs w:val="22"/>
        </w:rPr>
        <w:t>)</w:t>
      </w:r>
      <w:r w:rsidR="00B57E78">
        <w:rPr>
          <w:sz w:val="22"/>
          <w:szCs w:val="22"/>
        </w:rPr>
        <w:t xml:space="preserve"> and 3,758 patients who had</w:t>
      </w:r>
      <w:r w:rsidR="00625BDC">
        <w:rPr>
          <w:sz w:val="22"/>
          <w:szCs w:val="22"/>
        </w:rPr>
        <w:t xml:space="preserve"> serum CRP of 3mg/L or below </w:t>
      </w:r>
      <w:r w:rsidR="00625BDC" w:rsidRPr="007C7300">
        <w:rPr>
          <w:sz w:val="22"/>
          <w:szCs w:val="22"/>
        </w:rPr>
        <w:t>(“normal/low” serum CRP</w:t>
      </w:r>
      <w:r w:rsidR="00625BDC">
        <w:rPr>
          <w:sz w:val="22"/>
          <w:szCs w:val="22"/>
        </w:rPr>
        <w:t xml:space="preserve">). 15.57% of the subjects with high serum CRP died within 4 years of study enrolment, while only 8.01% of those with normal/low serum CRP died within 4 years. </w:t>
      </w:r>
      <w:r w:rsidR="00933251">
        <w:rPr>
          <w:sz w:val="22"/>
          <w:szCs w:val="22"/>
        </w:rPr>
        <w:t xml:space="preserve">The proportion of dying within 4 years of study enrolment among subjects with high serum CRP tend to be higher than such proportion among subjects with normal/low serum CRP by 7.56% in absolute term. </w:t>
      </w:r>
      <w:r w:rsidR="00A8204C">
        <w:rPr>
          <w:sz w:val="22"/>
          <w:szCs w:val="22"/>
        </w:rPr>
        <w:t>With 95% confidence</w:t>
      </w:r>
      <w:r w:rsidR="00933251">
        <w:rPr>
          <w:sz w:val="22"/>
          <w:szCs w:val="22"/>
        </w:rPr>
        <w:t>, t</w:t>
      </w:r>
      <w:r w:rsidR="004703BB">
        <w:rPr>
          <w:sz w:val="22"/>
          <w:szCs w:val="22"/>
        </w:rPr>
        <w:t>his result is consistent with</w:t>
      </w:r>
      <w:r w:rsidR="00933251">
        <w:rPr>
          <w:sz w:val="22"/>
          <w:szCs w:val="22"/>
        </w:rPr>
        <w:t xml:space="preserve"> such true proportion in the group with high serum CRP </w:t>
      </w:r>
      <w:r w:rsidR="004703BB">
        <w:rPr>
          <w:sz w:val="22"/>
          <w:szCs w:val="22"/>
        </w:rPr>
        <w:t xml:space="preserve">being </w:t>
      </w:r>
      <w:r w:rsidR="00014048">
        <w:rPr>
          <w:sz w:val="22"/>
          <w:szCs w:val="22"/>
        </w:rPr>
        <w:t xml:space="preserve">anywhere between 5.32% and 9.81%, in absolute term, higher than such proportion in the group with normal/low serum CRP. Using a chi square test, this result is statistically significant </w:t>
      </w:r>
      <w:r w:rsidR="00A8204C">
        <w:rPr>
          <w:sz w:val="22"/>
          <w:szCs w:val="22"/>
        </w:rPr>
        <w:t>at the 0.05 critical threshold</w:t>
      </w:r>
      <w:r w:rsidR="00014048">
        <w:rPr>
          <w:sz w:val="22"/>
          <w:szCs w:val="22"/>
        </w:rPr>
        <w:t xml:space="preserve"> with a two-sided p-value of less than 0.0001. As a result, we reject the null hypothesis that the proportions of dying within 4 years are similar across the groups defined by </w:t>
      </w:r>
      <w:r w:rsidR="00014048">
        <w:rPr>
          <w:sz w:val="22"/>
          <w:szCs w:val="22"/>
        </w:rPr>
        <w:lastRenderedPageBreak/>
        <w:t>level of serum CRP (i.e. level of serum CRP and mortality at 4 years are independent), in favor of an alternative hypothesis that the probability of dying within 4 years is associated with serum CRP level.</w:t>
      </w:r>
    </w:p>
    <w:p w14:paraId="683D00ED" w14:textId="77777777" w:rsidR="00A34FC3" w:rsidRDefault="00A34FC3" w:rsidP="00A24EFB">
      <w:pPr>
        <w:autoSpaceDE w:val="0"/>
        <w:autoSpaceDN w:val="0"/>
        <w:adjustRightInd w:val="0"/>
        <w:spacing w:after="120"/>
        <w:rPr>
          <w:sz w:val="22"/>
          <w:szCs w:val="22"/>
        </w:rPr>
      </w:pPr>
    </w:p>
    <w:p w14:paraId="07597578" w14:textId="77777777" w:rsidR="009D5804" w:rsidRPr="00D10798" w:rsidRDefault="00B93391" w:rsidP="00A24EFB">
      <w:pPr>
        <w:autoSpaceDE w:val="0"/>
        <w:autoSpaceDN w:val="0"/>
        <w:adjustRightInd w:val="0"/>
        <w:spacing w:after="120"/>
        <w:rPr>
          <w:i/>
          <w:sz w:val="22"/>
          <w:szCs w:val="22"/>
        </w:rPr>
      </w:pPr>
      <w:r w:rsidRPr="00934EBE">
        <w:rPr>
          <w:i/>
          <w:color w:val="7F7F7F" w:themeColor="text1" w:themeTint="80"/>
          <w:sz w:val="22"/>
          <w:szCs w:val="22"/>
        </w:rPr>
        <w:t xml:space="preserve">6. </w:t>
      </w:r>
      <w:r w:rsidR="009D5804" w:rsidRPr="00934EBE">
        <w:rPr>
          <w:i/>
          <w:color w:val="7F7F7F" w:themeColor="text1" w:themeTint="80"/>
          <w:sz w:val="22"/>
          <w:szCs w:val="22"/>
        </w:rPr>
        <w:t xml:space="preserve">Perform a statistical analysis evaluating an association between serum </w:t>
      </w:r>
      <w:r w:rsidR="003F5F38" w:rsidRPr="00934EBE">
        <w:rPr>
          <w:i/>
          <w:color w:val="7F7F7F" w:themeColor="text1" w:themeTint="80"/>
          <w:sz w:val="22"/>
          <w:szCs w:val="22"/>
        </w:rPr>
        <w:t>CRP</w:t>
      </w:r>
      <w:r w:rsidR="009D5804" w:rsidRPr="00934EBE">
        <w:rPr>
          <w:i/>
          <w:color w:val="7F7F7F" w:themeColor="text1" w:themeTint="80"/>
          <w:sz w:val="22"/>
          <w:szCs w:val="22"/>
        </w:rPr>
        <w:t xml:space="preserve"> and </w:t>
      </w:r>
      <w:r w:rsidR="003F5F38" w:rsidRPr="00934EBE">
        <w:rPr>
          <w:i/>
          <w:color w:val="7F7F7F" w:themeColor="text1" w:themeTint="80"/>
          <w:sz w:val="22"/>
          <w:szCs w:val="22"/>
        </w:rPr>
        <w:t>4</w:t>
      </w:r>
      <w:r w:rsidR="009D5804" w:rsidRPr="00934EBE">
        <w:rPr>
          <w:i/>
          <w:color w:val="7F7F7F" w:themeColor="text1" w:themeTint="80"/>
          <w:sz w:val="22"/>
          <w:szCs w:val="22"/>
        </w:rPr>
        <w:t xml:space="preserve"> year all-cause mortality by comparing the odds of death within </w:t>
      </w:r>
      <w:r w:rsidR="003F5F38" w:rsidRPr="00934EBE">
        <w:rPr>
          <w:i/>
          <w:color w:val="7F7F7F" w:themeColor="text1" w:themeTint="80"/>
          <w:sz w:val="22"/>
          <w:szCs w:val="22"/>
        </w:rPr>
        <w:t>4</w:t>
      </w:r>
      <w:r w:rsidR="009D5804" w:rsidRPr="00934EBE">
        <w:rPr>
          <w:i/>
          <w:color w:val="7F7F7F" w:themeColor="text1" w:themeTint="80"/>
          <w:sz w:val="22"/>
          <w:szCs w:val="22"/>
        </w:rPr>
        <w:t xml:space="preserve"> years across groups defined by whether the subjects have high serum </w:t>
      </w:r>
      <w:r w:rsidR="003F5F38" w:rsidRPr="00934EBE">
        <w:rPr>
          <w:i/>
          <w:color w:val="7F7F7F" w:themeColor="text1" w:themeTint="80"/>
          <w:sz w:val="22"/>
          <w:szCs w:val="22"/>
        </w:rPr>
        <w:t>CRP</w:t>
      </w:r>
      <w:r w:rsidR="009D5804" w:rsidRPr="00934EBE">
        <w:rPr>
          <w:i/>
          <w:color w:val="7F7F7F" w:themeColor="text1" w:themeTint="80"/>
          <w:sz w:val="22"/>
          <w:szCs w:val="22"/>
        </w:rPr>
        <w:t xml:space="preserve"> (“high” = </w:t>
      </w:r>
      <w:r w:rsidR="003F5F38" w:rsidRPr="00934EBE">
        <w:rPr>
          <w:i/>
          <w:color w:val="7F7F7F" w:themeColor="text1" w:themeTint="80"/>
          <w:sz w:val="22"/>
          <w:szCs w:val="22"/>
        </w:rPr>
        <w:t>CRP</w:t>
      </w:r>
      <w:r w:rsidR="009D5804" w:rsidRPr="00934EBE">
        <w:rPr>
          <w:i/>
          <w:color w:val="7F7F7F" w:themeColor="text1" w:themeTint="80"/>
          <w:sz w:val="22"/>
          <w:szCs w:val="22"/>
        </w:rPr>
        <w:t xml:space="preserve"> &gt; </w:t>
      </w:r>
      <w:r w:rsidR="003F5F38" w:rsidRPr="00934EBE">
        <w:rPr>
          <w:i/>
          <w:color w:val="7F7F7F" w:themeColor="text1" w:themeTint="80"/>
          <w:sz w:val="22"/>
          <w:szCs w:val="22"/>
        </w:rPr>
        <w:t>3 mg/</w:t>
      </w:r>
      <w:r w:rsidR="009D5804" w:rsidRPr="00934EBE">
        <w:rPr>
          <w:i/>
          <w:color w:val="7F7F7F" w:themeColor="text1" w:themeTint="80"/>
          <w:sz w:val="22"/>
          <w:szCs w:val="22"/>
        </w:rPr>
        <w:t>L).</w:t>
      </w:r>
    </w:p>
    <w:p w14:paraId="0DFC2941" w14:textId="77777777" w:rsidR="00A34FC3" w:rsidRDefault="00621F22" w:rsidP="00A24EFB">
      <w:pPr>
        <w:autoSpaceDE w:val="0"/>
        <w:autoSpaceDN w:val="0"/>
        <w:adjustRightInd w:val="0"/>
        <w:spacing w:after="120"/>
        <w:rPr>
          <w:b/>
          <w:sz w:val="22"/>
          <w:szCs w:val="22"/>
          <w:u w:val="single"/>
        </w:rPr>
      </w:pPr>
      <w:r>
        <w:rPr>
          <w:b/>
          <w:sz w:val="22"/>
          <w:szCs w:val="22"/>
          <w:u w:val="single"/>
        </w:rPr>
        <w:t>Methods:</w:t>
      </w:r>
    </w:p>
    <w:p w14:paraId="1DC75FFB" w14:textId="77777777" w:rsidR="00241E8D" w:rsidRDefault="00EE7EAD" w:rsidP="00A24EFB">
      <w:pPr>
        <w:autoSpaceDE w:val="0"/>
        <w:autoSpaceDN w:val="0"/>
        <w:adjustRightInd w:val="0"/>
        <w:spacing w:after="120"/>
        <w:rPr>
          <w:sz w:val="22"/>
          <w:szCs w:val="22"/>
        </w:rPr>
      </w:pPr>
      <w:r>
        <w:rPr>
          <w:sz w:val="22"/>
          <w:szCs w:val="22"/>
        </w:rPr>
        <w:t>The odds of death within 4 years of study enrolment among the group with high serum CRP and the group with normal/low serum CRP are compared by examining the odds</w:t>
      </w:r>
      <w:r w:rsidR="00C3676B">
        <w:rPr>
          <w:sz w:val="22"/>
          <w:szCs w:val="22"/>
        </w:rPr>
        <w:t xml:space="preserve"> of dying within 4 years of each group</w:t>
      </w:r>
      <w:r>
        <w:rPr>
          <w:sz w:val="22"/>
          <w:szCs w:val="22"/>
        </w:rPr>
        <w:t xml:space="preserve"> and </w:t>
      </w:r>
      <w:r w:rsidR="00C3676B">
        <w:rPr>
          <w:sz w:val="22"/>
          <w:szCs w:val="22"/>
        </w:rPr>
        <w:t xml:space="preserve">the </w:t>
      </w:r>
      <w:r>
        <w:rPr>
          <w:sz w:val="22"/>
          <w:szCs w:val="22"/>
        </w:rPr>
        <w:t>odd</w:t>
      </w:r>
      <w:r w:rsidR="00C3676B">
        <w:rPr>
          <w:sz w:val="22"/>
          <w:szCs w:val="22"/>
        </w:rPr>
        <w:t>s</w:t>
      </w:r>
      <w:r>
        <w:rPr>
          <w:sz w:val="22"/>
          <w:szCs w:val="22"/>
        </w:rPr>
        <w:t xml:space="preserve"> ratio. Table 2 presents a summary of observations by vital status at 4 years and serum CRP level. </w:t>
      </w:r>
      <w:r w:rsidR="00A8204C">
        <w:rPr>
          <w:sz w:val="22"/>
          <w:szCs w:val="22"/>
        </w:rPr>
        <w:t>Fisher’s exact test was used to deter</w:t>
      </w:r>
      <w:r w:rsidR="00C755AC">
        <w:rPr>
          <w:sz w:val="22"/>
          <w:szCs w:val="22"/>
        </w:rPr>
        <w:t xml:space="preserve">mine whether the true odds ratio was different than 1. The 95% confidence interval for the true odds ratio was constructed in a similar manner using the exact method. </w:t>
      </w:r>
      <w:r w:rsidR="001407D1">
        <w:rPr>
          <w:sz w:val="22"/>
          <w:szCs w:val="22"/>
        </w:rPr>
        <w:t xml:space="preserve">The expected counts were high enough to construct the 95% confidence interval using the Wald’s method, but for both convenience (the Fisher’s exact test command </w:t>
      </w:r>
      <w:r w:rsidR="008555B8">
        <w:rPr>
          <w:sz w:val="22"/>
          <w:szCs w:val="22"/>
        </w:rPr>
        <w:t xml:space="preserve">in R </w:t>
      </w:r>
      <w:r w:rsidR="001407D1">
        <w:rPr>
          <w:sz w:val="22"/>
          <w:szCs w:val="22"/>
        </w:rPr>
        <w:t xml:space="preserve">gives the confidence interval for odds ratio while there is no direct way to get such interval for Wald’s method in R) and precision, I used the Fisher’s exact method.  </w:t>
      </w:r>
    </w:p>
    <w:p w14:paraId="04B9F0F6" w14:textId="77777777" w:rsidR="00544D9D" w:rsidRPr="00544D9D" w:rsidRDefault="00544D9D" w:rsidP="00544D9D">
      <w:pPr>
        <w:autoSpaceDE w:val="0"/>
        <w:autoSpaceDN w:val="0"/>
        <w:adjustRightInd w:val="0"/>
        <w:jc w:val="center"/>
        <w:rPr>
          <w:b/>
          <w:sz w:val="19"/>
          <w:szCs w:val="19"/>
        </w:rPr>
      </w:pPr>
      <w:r>
        <w:rPr>
          <w:b/>
          <w:sz w:val="19"/>
          <w:szCs w:val="19"/>
        </w:rPr>
        <w:t>Table 2.</w:t>
      </w:r>
      <w:r w:rsidRPr="002A3BBC">
        <w:rPr>
          <w:b/>
          <w:sz w:val="19"/>
          <w:szCs w:val="19"/>
        </w:rPr>
        <w:t xml:space="preserve"> </w:t>
      </w:r>
      <w:r>
        <w:rPr>
          <w:b/>
          <w:sz w:val="19"/>
          <w:szCs w:val="19"/>
        </w:rPr>
        <w:t>Summary of O</w:t>
      </w:r>
      <w:r w:rsidR="00EE7EAD">
        <w:rPr>
          <w:b/>
          <w:sz w:val="19"/>
          <w:szCs w:val="19"/>
        </w:rPr>
        <w:t>bservations by Vital Status</w:t>
      </w:r>
      <w:r>
        <w:rPr>
          <w:b/>
          <w:sz w:val="19"/>
          <w:szCs w:val="19"/>
        </w:rPr>
        <w:t xml:space="preserve"> at 4 Years and Serum CRP Level</w:t>
      </w:r>
    </w:p>
    <w:tbl>
      <w:tblPr>
        <w:tblStyle w:val="TableGrid"/>
        <w:tblW w:w="0" w:type="auto"/>
        <w:jc w:val="center"/>
        <w:tblLook w:val="04A0" w:firstRow="1" w:lastRow="0" w:firstColumn="1" w:lastColumn="0" w:noHBand="0" w:noVBand="1"/>
      </w:tblPr>
      <w:tblGrid>
        <w:gridCol w:w="2335"/>
        <w:gridCol w:w="1980"/>
        <w:gridCol w:w="2520"/>
        <w:gridCol w:w="1620"/>
      </w:tblGrid>
      <w:tr w:rsidR="00241E8D" w:rsidRPr="00544D9D" w14:paraId="0EE334E2" w14:textId="77777777" w:rsidTr="00205C51">
        <w:trPr>
          <w:trHeight w:val="360"/>
          <w:jc w:val="center"/>
        </w:trPr>
        <w:tc>
          <w:tcPr>
            <w:tcW w:w="2335" w:type="dxa"/>
            <w:vAlign w:val="center"/>
          </w:tcPr>
          <w:p w14:paraId="6C5DB97F" w14:textId="77777777" w:rsidR="00241E8D" w:rsidRPr="00544D9D" w:rsidRDefault="00241E8D" w:rsidP="00544D9D">
            <w:pPr>
              <w:autoSpaceDE w:val="0"/>
              <w:autoSpaceDN w:val="0"/>
              <w:adjustRightInd w:val="0"/>
            </w:pPr>
          </w:p>
        </w:tc>
        <w:tc>
          <w:tcPr>
            <w:tcW w:w="1980" w:type="dxa"/>
            <w:vAlign w:val="center"/>
          </w:tcPr>
          <w:p w14:paraId="62A23CD0" w14:textId="77777777" w:rsidR="00241E8D" w:rsidRPr="00205C51" w:rsidRDefault="00241E8D" w:rsidP="00544D9D">
            <w:pPr>
              <w:autoSpaceDE w:val="0"/>
              <w:autoSpaceDN w:val="0"/>
              <w:adjustRightInd w:val="0"/>
              <w:jc w:val="right"/>
              <w:rPr>
                <w:b/>
              </w:rPr>
            </w:pPr>
            <w:r w:rsidRPr="00205C51">
              <w:rPr>
                <w:b/>
              </w:rPr>
              <w:t>High Serum CRP</w:t>
            </w:r>
          </w:p>
        </w:tc>
        <w:tc>
          <w:tcPr>
            <w:tcW w:w="2520" w:type="dxa"/>
            <w:vAlign w:val="center"/>
          </w:tcPr>
          <w:p w14:paraId="0503E530" w14:textId="77777777" w:rsidR="00241E8D" w:rsidRPr="00205C51" w:rsidRDefault="00241E8D" w:rsidP="00544D9D">
            <w:pPr>
              <w:autoSpaceDE w:val="0"/>
              <w:autoSpaceDN w:val="0"/>
              <w:adjustRightInd w:val="0"/>
              <w:jc w:val="right"/>
              <w:rPr>
                <w:b/>
              </w:rPr>
            </w:pPr>
            <w:r w:rsidRPr="00205C51">
              <w:rPr>
                <w:b/>
              </w:rPr>
              <w:t>Normal/Low Serum CRP</w:t>
            </w:r>
          </w:p>
        </w:tc>
        <w:tc>
          <w:tcPr>
            <w:tcW w:w="1620" w:type="dxa"/>
            <w:vAlign w:val="center"/>
          </w:tcPr>
          <w:p w14:paraId="017C0BF4" w14:textId="77777777" w:rsidR="00241E8D" w:rsidRPr="00205C51" w:rsidRDefault="00241E8D" w:rsidP="00544D9D">
            <w:pPr>
              <w:autoSpaceDE w:val="0"/>
              <w:autoSpaceDN w:val="0"/>
              <w:adjustRightInd w:val="0"/>
              <w:jc w:val="right"/>
              <w:rPr>
                <w:b/>
              </w:rPr>
            </w:pPr>
            <w:r w:rsidRPr="00205C51">
              <w:rPr>
                <w:b/>
              </w:rPr>
              <w:t>Total</w:t>
            </w:r>
          </w:p>
        </w:tc>
      </w:tr>
      <w:tr w:rsidR="00241E8D" w:rsidRPr="00544D9D" w14:paraId="7CEEC3B2" w14:textId="77777777" w:rsidTr="00205C51">
        <w:trPr>
          <w:trHeight w:val="360"/>
          <w:jc w:val="center"/>
        </w:trPr>
        <w:tc>
          <w:tcPr>
            <w:tcW w:w="2335" w:type="dxa"/>
            <w:vAlign w:val="center"/>
          </w:tcPr>
          <w:p w14:paraId="3D708025" w14:textId="77777777" w:rsidR="00241E8D" w:rsidRPr="00205C51" w:rsidRDefault="00241E8D" w:rsidP="00544D9D">
            <w:pPr>
              <w:autoSpaceDE w:val="0"/>
              <w:autoSpaceDN w:val="0"/>
              <w:adjustRightInd w:val="0"/>
              <w:rPr>
                <w:b/>
              </w:rPr>
            </w:pPr>
            <w:r w:rsidRPr="00205C51">
              <w:rPr>
                <w:b/>
              </w:rPr>
              <w:t>Died within 4 years</w:t>
            </w:r>
          </w:p>
        </w:tc>
        <w:tc>
          <w:tcPr>
            <w:tcW w:w="1980" w:type="dxa"/>
            <w:vAlign w:val="center"/>
          </w:tcPr>
          <w:p w14:paraId="1FF0D9B5" w14:textId="77777777" w:rsidR="00241E8D" w:rsidRPr="00544D9D" w:rsidRDefault="00544D9D" w:rsidP="00544D9D">
            <w:pPr>
              <w:autoSpaceDE w:val="0"/>
              <w:autoSpaceDN w:val="0"/>
              <w:adjustRightInd w:val="0"/>
              <w:jc w:val="right"/>
            </w:pPr>
            <w:r w:rsidRPr="00544D9D">
              <w:t>183</w:t>
            </w:r>
          </w:p>
        </w:tc>
        <w:tc>
          <w:tcPr>
            <w:tcW w:w="2520" w:type="dxa"/>
            <w:vAlign w:val="center"/>
          </w:tcPr>
          <w:p w14:paraId="75DCB0D8" w14:textId="77777777" w:rsidR="00241E8D" w:rsidRPr="00544D9D" w:rsidRDefault="00544D9D" w:rsidP="00544D9D">
            <w:pPr>
              <w:autoSpaceDE w:val="0"/>
              <w:autoSpaceDN w:val="0"/>
              <w:adjustRightInd w:val="0"/>
              <w:jc w:val="right"/>
            </w:pPr>
            <w:r w:rsidRPr="00544D9D">
              <w:t>301</w:t>
            </w:r>
          </w:p>
        </w:tc>
        <w:tc>
          <w:tcPr>
            <w:tcW w:w="1620" w:type="dxa"/>
            <w:vAlign w:val="center"/>
          </w:tcPr>
          <w:p w14:paraId="2E79423C" w14:textId="77777777" w:rsidR="00241E8D" w:rsidRPr="00544D9D" w:rsidRDefault="00544D9D" w:rsidP="00544D9D">
            <w:pPr>
              <w:autoSpaceDE w:val="0"/>
              <w:autoSpaceDN w:val="0"/>
              <w:adjustRightInd w:val="0"/>
              <w:jc w:val="right"/>
            </w:pPr>
            <w:r w:rsidRPr="00544D9D">
              <w:t>484</w:t>
            </w:r>
          </w:p>
        </w:tc>
      </w:tr>
      <w:tr w:rsidR="00241E8D" w:rsidRPr="00544D9D" w14:paraId="1C2B8A34" w14:textId="77777777" w:rsidTr="00205C51">
        <w:trPr>
          <w:trHeight w:val="360"/>
          <w:jc w:val="center"/>
        </w:trPr>
        <w:tc>
          <w:tcPr>
            <w:tcW w:w="2335" w:type="dxa"/>
            <w:vAlign w:val="center"/>
          </w:tcPr>
          <w:p w14:paraId="6ED683F0" w14:textId="77777777" w:rsidR="00241E8D" w:rsidRPr="00205C51" w:rsidRDefault="00241E8D" w:rsidP="00544D9D">
            <w:pPr>
              <w:autoSpaceDE w:val="0"/>
              <w:autoSpaceDN w:val="0"/>
              <w:adjustRightInd w:val="0"/>
              <w:rPr>
                <w:b/>
              </w:rPr>
            </w:pPr>
            <w:r w:rsidRPr="00205C51">
              <w:rPr>
                <w:b/>
              </w:rPr>
              <w:t>Survived at least 4 years</w:t>
            </w:r>
          </w:p>
        </w:tc>
        <w:tc>
          <w:tcPr>
            <w:tcW w:w="1980" w:type="dxa"/>
            <w:vAlign w:val="center"/>
          </w:tcPr>
          <w:p w14:paraId="36908D31" w14:textId="77777777" w:rsidR="00241E8D" w:rsidRPr="00544D9D" w:rsidRDefault="00544D9D" w:rsidP="00544D9D">
            <w:pPr>
              <w:autoSpaceDE w:val="0"/>
              <w:autoSpaceDN w:val="0"/>
              <w:adjustRightInd w:val="0"/>
              <w:jc w:val="right"/>
            </w:pPr>
            <w:r w:rsidRPr="00544D9D">
              <w:t>992</w:t>
            </w:r>
          </w:p>
        </w:tc>
        <w:tc>
          <w:tcPr>
            <w:tcW w:w="2520" w:type="dxa"/>
            <w:vAlign w:val="center"/>
          </w:tcPr>
          <w:p w14:paraId="62856624" w14:textId="77777777" w:rsidR="00241E8D" w:rsidRPr="00544D9D" w:rsidRDefault="00544D9D" w:rsidP="00544D9D">
            <w:pPr>
              <w:autoSpaceDE w:val="0"/>
              <w:autoSpaceDN w:val="0"/>
              <w:adjustRightInd w:val="0"/>
              <w:jc w:val="right"/>
            </w:pPr>
            <w:r w:rsidRPr="00544D9D">
              <w:t>3,457</w:t>
            </w:r>
          </w:p>
        </w:tc>
        <w:tc>
          <w:tcPr>
            <w:tcW w:w="1620" w:type="dxa"/>
            <w:vAlign w:val="center"/>
          </w:tcPr>
          <w:p w14:paraId="32AC6F03" w14:textId="77777777" w:rsidR="00241E8D" w:rsidRPr="00544D9D" w:rsidRDefault="00544D9D" w:rsidP="00544D9D">
            <w:pPr>
              <w:autoSpaceDE w:val="0"/>
              <w:autoSpaceDN w:val="0"/>
              <w:adjustRightInd w:val="0"/>
              <w:jc w:val="right"/>
            </w:pPr>
            <w:r w:rsidRPr="00544D9D">
              <w:t>4,449</w:t>
            </w:r>
          </w:p>
        </w:tc>
      </w:tr>
      <w:tr w:rsidR="00241E8D" w:rsidRPr="00544D9D" w14:paraId="191E017A" w14:textId="77777777" w:rsidTr="00205C51">
        <w:trPr>
          <w:trHeight w:val="360"/>
          <w:jc w:val="center"/>
        </w:trPr>
        <w:tc>
          <w:tcPr>
            <w:tcW w:w="2335" w:type="dxa"/>
            <w:vAlign w:val="center"/>
          </w:tcPr>
          <w:p w14:paraId="4D61A4A3" w14:textId="77777777" w:rsidR="00241E8D" w:rsidRPr="00205C51" w:rsidRDefault="00241E8D" w:rsidP="00544D9D">
            <w:pPr>
              <w:autoSpaceDE w:val="0"/>
              <w:autoSpaceDN w:val="0"/>
              <w:adjustRightInd w:val="0"/>
              <w:rPr>
                <w:b/>
              </w:rPr>
            </w:pPr>
            <w:r w:rsidRPr="00205C51">
              <w:rPr>
                <w:b/>
              </w:rPr>
              <w:t>Total</w:t>
            </w:r>
          </w:p>
        </w:tc>
        <w:tc>
          <w:tcPr>
            <w:tcW w:w="1980" w:type="dxa"/>
            <w:vAlign w:val="center"/>
          </w:tcPr>
          <w:p w14:paraId="35F5E073" w14:textId="77777777" w:rsidR="00241E8D" w:rsidRPr="00544D9D" w:rsidRDefault="00544D9D" w:rsidP="00544D9D">
            <w:pPr>
              <w:autoSpaceDE w:val="0"/>
              <w:autoSpaceDN w:val="0"/>
              <w:adjustRightInd w:val="0"/>
              <w:jc w:val="right"/>
            </w:pPr>
            <w:r w:rsidRPr="00544D9D">
              <w:t>1,175</w:t>
            </w:r>
          </w:p>
        </w:tc>
        <w:tc>
          <w:tcPr>
            <w:tcW w:w="2520" w:type="dxa"/>
            <w:vAlign w:val="center"/>
          </w:tcPr>
          <w:p w14:paraId="34B07073" w14:textId="77777777" w:rsidR="00241E8D" w:rsidRPr="00544D9D" w:rsidRDefault="00544D9D" w:rsidP="00544D9D">
            <w:pPr>
              <w:autoSpaceDE w:val="0"/>
              <w:autoSpaceDN w:val="0"/>
              <w:adjustRightInd w:val="0"/>
              <w:jc w:val="right"/>
            </w:pPr>
            <w:r w:rsidRPr="00544D9D">
              <w:t>3,758</w:t>
            </w:r>
          </w:p>
        </w:tc>
        <w:tc>
          <w:tcPr>
            <w:tcW w:w="1620" w:type="dxa"/>
            <w:vAlign w:val="center"/>
          </w:tcPr>
          <w:p w14:paraId="6FD6A8FE" w14:textId="77777777" w:rsidR="00241E8D" w:rsidRPr="00544D9D" w:rsidRDefault="00544D9D" w:rsidP="00544D9D">
            <w:pPr>
              <w:autoSpaceDE w:val="0"/>
              <w:autoSpaceDN w:val="0"/>
              <w:adjustRightInd w:val="0"/>
              <w:jc w:val="right"/>
            </w:pPr>
            <w:r w:rsidRPr="00544D9D">
              <w:t>4,933</w:t>
            </w:r>
          </w:p>
        </w:tc>
      </w:tr>
    </w:tbl>
    <w:p w14:paraId="2F2B59B2" w14:textId="77777777" w:rsidR="008D3975" w:rsidRPr="00E65CE7" w:rsidRDefault="00E65CE7" w:rsidP="00E65CE7">
      <w:pPr>
        <w:autoSpaceDE w:val="0"/>
        <w:autoSpaceDN w:val="0"/>
        <w:adjustRightInd w:val="0"/>
        <w:spacing w:before="120" w:after="120"/>
        <w:rPr>
          <w:b/>
          <w:sz w:val="22"/>
          <w:szCs w:val="22"/>
          <w:u w:val="single"/>
        </w:rPr>
      </w:pPr>
      <w:r>
        <w:rPr>
          <w:b/>
          <w:sz w:val="22"/>
          <w:szCs w:val="22"/>
          <w:u w:val="single"/>
        </w:rPr>
        <w:t>Results:</w:t>
      </w:r>
    </w:p>
    <w:p w14:paraId="2D1CDA3B" w14:textId="77777777" w:rsidR="00E65CE7" w:rsidRDefault="00B57E78" w:rsidP="00A24EFB">
      <w:pPr>
        <w:autoSpaceDE w:val="0"/>
        <w:autoSpaceDN w:val="0"/>
        <w:adjustRightInd w:val="0"/>
        <w:spacing w:after="120"/>
        <w:rPr>
          <w:sz w:val="22"/>
          <w:szCs w:val="22"/>
        </w:rPr>
      </w:pPr>
      <w:r>
        <w:rPr>
          <w:sz w:val="22"/>
          <w:szCs w:val="22"/>
        </w:rPr>
        <w:t xml:space="preserve">There were 1,175 patients who had serum CRP above 3mg/L </w:t>
      </w:r>
      <w:r w:rsidRPr="007C7300">
        <w:rPr>
          <w:sz w:val="22"/>
          <w:szCs w:val="22"/>
        </w:rPr>
        <w:t>(“high” serum CRP</w:t>
      </w:r>
      <w:r>
        <w:rPr>
          <w:sz w:val="22"/>
          <w:szCs w:val="22"/>
        </w:rPr>
        <w:t xml:space="preserve">) and 3,758 patients who had serum CRP of 3mg/L or below </w:t>
      </w:r>
      <w:r w:rsidRPr="007C7300">
        <w:rPr>
          <w:sz w:val="22"/>
          <w:szCs w:val="22"/>
        </w:rPr>
        <w:t>(“normal/low” serum CRP</w:t>
      </w:r>
      <w:r>
        <w:rPr>
          <w:sz w:val="22"/>
          <w:szCs w:val="22"/>
        </w:rPr>
        <w:t xml:space="preserve">). </w:t>
      </w:r>
      <w:r w:rsidR="00120329">
        <w:rPr>
          <w:sz w:val="22"/>
          <w:szCs w:val="22"/>
        </w:rPr>
        <w:t xml:space="preserve">The probability of dying within 4 years of study enrolment among patients with high serum CRP was 15.57%, which corresponds to an odds of dying within 4 years equal to 0.1845. This probability among patients with normal/low serum CRP was 8.01%, which corresponds to an odds equal to 0.0871. The odds ratio between the group with high serum CRP and the group with normal/low CRP is 2.1184, i.e. the odds of dying within 4 years among patients with high serum </w:t>
      </w:r>
      <w:r w:rsidR="006D6FAD">
        <w:rPr>
          <w:sz w:val="22"/>
          <w:szCs w:val="22"/>
        </w:rPr>
        <w:t xml:space="preserve">CRP tends to be 2.1184 times higher than such odds among patients with normal/low serum CRP. </w:t>
      </w:r>
      <w:r w:rsidR="00EA20D1">
        <w:rPr>
          <w:sz w:val="22"/>
          <w:szCs w:val="22"/>
        </w:rPr>
        <w:t xml:space="preserve">With 95% confidence, this result is consistent with a true odds ratio being anywhere between 1.7295 and 2.5898. Using a Fisher’s exact test, the result is statistically significant at the 0.05 critical threshold with a two-sided p-value of less than 0.0001. As a result, we reject the null hypothesis that the true odds ratio of dying within 4 years between the two defined groups are 1, in favor of an alternative hypothesis that the odds of dying within 4 years from study enrolment is associated with serum CRP level. </w:t>
      </w:r>
    </w:p>
    <w:p w14:paraId="46ECD7BC" w14:textId="77777777" w:rsidR="00A34FC3" w:rsidRDefault="00A34FC3" w:rsidP="00A24EFB">
      <w:pPr>
        <w:autoSpaceDE w:val="0"/>
        <w:autoSpaceDN w:val="0"/>
        <w:adjustRightInd w:val="0"/>
        <w:spacing w:after="120"/>
        <w:rPr>
          <w:sz w:val="22"/>
          <w:szCs w:val="22"/>
        </w:rPr>
      </w:pPr>
    </w:p>
    <w:p w14:paraId="071D1A06" w14:textId="77777777" w:rsidR="00B457A7" w:rsidRPr="00D10798" w:rsidRDefault="00B93391" w:rsidP="00A24EFB">
      <w:pPr>
        <w:autoSpaceDE w:val="0"/>
        <w:autoSpaceDN w:val="0"/>
        <w:adjustRightInd w:val="0"/>
        <w:spacing w:after="120"/>
        <w:rPr>
          <w:i/>
          <w:sz w:val="22"/>
          <w:szCs w:val="22"/>
        </w:rPr>
      </w:pPr>
      <w:r w:rsidRPr="00934EBE">
        <w:rPr>
          <w:i/>
          <w:color w:val="7F7F7F" w:themeColor="text1" w:themeTint="80"/>
          <w:sz w:val="22"/>
          <w:szCs w:val="22"/>
        </w:rPr>
        <w:t xml:space="preserve">7. </w:t>
      </w:r>
      <w:r w:rsidR="00B457A7" w:rsidRPr="00934EBE">
        <w:rPr>
          <w:i/>
          <w:color w:val="7F7F7F" w:themeColor="text1" w:themeTint="80"/>
          <w:sz w:val="22"/>
          <w:szCs w:val="22"/>
        </w:rPr>
        <w:t xml:space="preserve">Perform a statistical analysis evaluating an association between serum </w:t>
      </w:r>
      <w:r w:rsidR="003F5F38" w:rsidRPr="00934EBE">
        <w:rPr>
          <w:i/>
          <w:color w:val="7F7F7F" w:themeColor="text1" w:themeTint="80"/>
          <w:sz w:val="22"/>
          <w:szCs w:val="22"/>
        </w:rPr>
        <w:t>CRP</w:t>
      </w:r>
      <w:r w:rsidR="00B457A7" w:rsidRPr="00934EBE">
        <w:rPr>
          <w:i/>
          <w:color w:val="7F7F7F" w:themeColor="text1" w:themeTint="80"/>
          <w:sz w:val="22"/>
          <w:szCs w:val="22"/>
        </w:rPr>
        <w:t xml:space="preserve"> and all-cause mortality over the entire period of observation of these subjects by comparing the instantaneous risk of death across groups defined by whether the subjects have high serum </w:t>
      </w:r>
      <w:r w:rsidR="003F5F38" w:rsidRPr="00934EBE">
        <w:rPr>
          <w:i/>
          <w:color w:val="7F7F7F" w:themeColor="text1" w:themeTint="80"/>
          <w:sz w:val="22"/>
          <w:szCs w:val="22"/>
        </w:rPr>
        <w:t>CRP</w:t>
      </w:r>
      <w:r w:rsidR="00B457A7" w:rsidRPr="00934EBE">
        <w:rPr>
          <w:i/>
          <w:color w:val="7F7F7F" w:themeColor="text1" w:themeTint="80"/>
          <w:sz w:val="22"/>
          <w:szCs w:val="22"/>
        </w:rPr>
        <w:t xml:space="preserve"> (“high” = </w:t>
      </w:r>
      <w:r w:rsidR="003F5F38" w:rsidRPr="00934EBE">
        <w:rPr>
          <w:i/>
          <w:color w:val="7F7F7F" w:themeColor="text1" w:themeTint="80"/>
          <w:sz w:val="22"/>
          <w:szCs w:val="22"/>
        </w:rPr>
        <w:t>CRP</w:t>
      </w:r>
      <w:r w:rsidR="00B457A7" w:rsidRPr="00934EBE">
        <w:rPr>
          <w:i/>
          <w:color w:val="7F7F7F" w:themeColor="text1" w:themeTint="80"/>
          <w:sz w:val="22"/>
          <w:szCs w:val="22"/>
        </w:rPr>
        <w:t xml:space="preserve"> </w:t>
      </w:r>
      <w:r w:rsidR="003F5F38" w:rsidRPr="00934EBE">
        <w:rPr>
          <w:i/>
          <w:color w:val="7F7F7F" w:themeColor="text1" w:themeTint="80"/>
          <w:sz w:val="22"/>
          <w:szCs w:val="22"/>
        </w:rPr>
        <w:t>&gt;</w:t>
      </w:r>
      <w:r w:rsidR="00B457A7" w:rsidRPr="00934EBE">
        <w:rPr>
          <w:i/>
          <w:color w:val="7F7F7F" w:themeColor="text1" w:themeTint="80"/>
          <w:sz w:val="22"/>
          <w:szCs w:val="22"/>
        </w:rPr>
        <w:t xml:space="preserve"> </w:t>
      </w:r>
      <w:r w:rsidR="003F5F38" w:rsidRPr="00934EBE">
        <w:rPr>
          <w:i/>
          <w:color w:val="7F7F7F" w:themeColor="text1" w:themeTint="80"/>
          <w:sz w:val="22"/>
          <w:szCs w:val="22"/>
        </w:rPr>
        <w:t>3 mg/</w:t>
      </w:r>
      <w:r w:rsidR="00B457A7" w:rsidRPr="00934EBE">
        <w:rPr>
          <w:i/>
          <w:color w:val="7F7F7F" w:themeColor="text1" w:themeTint="80"/>
          <w:sz w:val="22"/>
          <w:szCs w:val="22"/>
        </w:rPr>
        <w:t>L).</w:t>
      </w:r>
    </w:p>
    <w:p w14:paraId="027BF9AD" w14:textId="77777777" w:rsidR="00A34FC3" w:rsidRDefault="00FE1AAA" w:rsidP="00A24EFB">
      <w:pPr>
        <w:autoSpaceDE w:val="0"/>
        <w:autoSpaceDN w:val="0"/>
        <w:adjustRightInd w:val="0"/>
        <w:spacing w:after="120"/>
        <w:rPr>
          <w:sz w:val="22"/>
          <w:szCs w:val="22"/>
        </w:rPr>
      </w:pPr>
      <w:r>
        <w:rPr>
          <w:b/>
          <w:sz w:val="22"/>
          <w:szCs w:val="22"/>
          <w:u w:val="single"/>
        </w:rPr>
        <w:t>Methods:</w:t>
      </w:r>
    </w:p>
    <w:p w14:paraId="69261CBD" w14:textId="77777777" w:rsidR="00FE1AAA" w:rsidRDefault="00FD44B8" w:rsidP="00A24EFB">
      <w:pPr>
        <w:autoSpaceDE w:val="0"/>
        <w:autoSpaceDN w:val="0"/>
        <w:adjustRightInd w:val="0"/>
        <w:spacing w:after="120"/>
        <w:rPr>
          <w:sz w:val="22"/>
          <w:szCs w:val="22"/>
        </w:rPr>
      </w:pPr>
      <w:r>
        <w:rPr>
          <w:sz w:val="22"/>
          <w:szCs w:val="22"/>
        </w:rPr>
        <w:t xml:space="preserve">The association between serum CRP and all-cause mortality over the entire period of observation of these subjects were compared by looking at the entire survival distribution across the group with high serum CRP and the group with normal/low serum CRP. The difference in survival distributions was examined </w:t>
      </w:r>
      <w:r>
        <w:rPr>
          <w:sz w:val="22"/>
          <w:szCs w:val="22"/>
        </w:rPr>
        <w:lastRenderedPageBreak/>
        <w:t xml:space="preserve">by performing a log-rank test. The log-rank test also examined difference in hazard functions across the two groups. </w:t>
      </w:r>
    </w:p>
    <w:p w14:paraId="76297605" w14:textId="77777777" w:rsidR="00FD44B8" w:rsidRDefault="00FD44B8" w:rsidP="00A24EFB">
      <w:pPr>
        <w:autoSpaceDE w:val="0"/>
        <w:autoSpaceDN w:val="0"/>
        <w:adjustRightInd w:val="0"/>
        <w:spacing w:after="120"/>
        <w:rPr>
          <w:sz w:val="22"/>
          <w:szCs w:val="22"/>
        </w:rPr>
      </w:pPr>
      <w:r>
        <w:rPr>
          <w:sz w:val="22"/>
          <w:szCs w:val="22"/>
        </w:rPr>
        <w:t xml:space="preserve">The instantaneous risk of death across these two groups were compared by investigating the hazard ratio (high serum CRP versus normal/low serum CRP). A 95% confidence interval was constructed using the Cox proportional hazards regression. The result was obtained directly from R using coxph command. </w:t>
      </w:r>
    </w:p>
    <w:p w14:paraId="2FA19C39" w14:textId="77777777" w:rsidR="00FE1AAA" w:rsidRDefault="00FE1AAA" w:rsidP="00A24EFB">
      <w:pPr>
        <w:autoSpaceDE w:val="0"/>
        <w:autoSpaceDN w:val="0"/>
        <w:adjustRightInd w:val="0"/>
        <w:spacing w:after="120"/>
        <w:rPr>
          <w:b/>
          <w:sz w:val="22"/>
          <w:szCs w:val="22"/>
          <w:u w:val="single"/>
        </w:rPr>
      </w:pPr>
      <w:r>
        <w:rPr>
          <w:b/>
          <w:sz w:val="22"/>
          <w:szCs w:val="22"/>
          <w:u w:val="single"/>
        </w:rPr>
        <w:t>Results:</w:t>
      </w:r>
    </w:p>
    <w:p w14:paraId="65F2FAAA" w14:textId="77777777" w:rsidR="00FD44B8" w:rsidRDefault="00B57E78" w:rsidP="00A24EFB">
      <w:pPr>
        <w:autoSpaceDE w:val="0"/>
        <w:autoSpaceDN w:val="0"/>
        <w:adjustRightInd w:val="0"/>
        <w:spacing w:after="120"/>
        <w:rPr>
          <w:sz w:val="22"/>
          <w:szCs w:val="22"/>
        </w:rPr>
      </w:pPr>
      <w:r>
        <w:rPr>
          <w:sz w:val="22"/>
          <w:szCs w:val="22"/>
        </w:rPr>
        <w:t xml:space="preserve">There were 1,175 patients who had serum CRP above 3mg/L </w:t>
      </w:r>
      <w:r w:rsidRPr="007C7300">
        <w:rPr>
          <w:sz w:val="22"/>
          <w:szCs w:val="22"/>
        </w:rPr>
        <w:t>(“high” serum CRP</w:t>
      </w:r>
      <w:r>
        <w:rPr>
          <w:sz w:val="22"/>
          <w:szCs w:val="22"/>
        </w:rPr>
        <w:t xml:space="preserve">) and 3,758 patients who had serum CRP of 3mg/L or below </w:t>
      </w:r>
      <w:r w:rsidRPr="007C7300">
        <w:rPr>
          <w:sz w:val="22"/>
          <w:szCs w:val="22"/>
        </w:rPr>
        <w:t>(“normal/low” serum CRP</w:t>
      </w:r>
      <w:r>
        <w:rPr>
          <w:sz w:val="22"/>
          <w:szCs w:val="22"/>
        </w:rPr>
        <w:t xml:space="preserve">). </w:t>
      </w:r>
      <w:r w:rsidR="00FD44B8">
        <w:rPr>
          <w:sz w:val="22"/>
          <w:szCs w:val="22"/>
        </w:rPr>
        <w:t xml:space="preserve">The survival distributions across the group with high serum CRP and the group with normal/serum CRP </w:t>
      </w:r>
      <w:r w:rsidR="003D6DAF">
        <w:rPr>
          <w:sz w:val="22"/>
          <w:szCs w:val="22"/>
        </w:rPr>
        <w:t xml:space="preserve">were illustrated in the following graph. Table 3 also depicts the Kaplan-Meier estimates of survival probabilities at important time points across the two groups. </w:t>
      </w:r>
    </w:p>
    <w:p w14:paraId="3587424C" w14:textId="77777777" w:rsidR="003D6DAF" w:rsidRDefault="007C7300" w:rsidP="00A24EFB">
      <w:pPr>
        <w:autoSpaceDE w:val="0"/>
        <w:autoSpaceDN w:val="0"/>
        <w:adjustRightInd w:val="0"/>
        <w:spacing w:after="120"/>
        <w:rPr>
          <w:sz w:val="22"/>
          <w:szCs w:val="22"/>
        </w:rPr>
      </w:pPr>
      <w:r>
        <w:rPr>
          <w:sz w:val="22"/>
          <w:szCs w:val="22"/>
        </w:rPr>
        <w:t>From the graph as well as Table 3, we can see that the survival probabilities among pat</w:t>
      </w:r>
      <w:r w:rsidR="003953C1">
        <w:rPr>
          <w:sz w:val="22"/>
          <w:szCs w:val="22"/>
        </w:rPr>
        <w:t xml:space="preserve">ients with normal/low serum CRP were, at every time point, higher than the survival probabilities among patients with high serum CRP, as the survival curve for the normal/low serum CRP group was higher than and did not overlap over the analysis time with the survival curve for the high serum CRP group. </w:t>
      </w:r>
      <w:r w:rsidR="005A3A23">
        <w:rPr>
          <w:sz w:val="22"/>
          <w:szCs w:val="22"/>
        </w:rPr>
        <w:t>A log-rank test suggests that the difference in the survival probabilities, hence followed by the difference in hazard, was statistically significant at the 0.05 critical threshold with a two-sided p-value less than 0.0001.</w:t>
      </w:r>
    </w:p>
    <w:p w14:paraId="21071EB9" w14:textId="77777777" w:rsidR="005A3A23" w:rsidRDefault="001B6E7C" w:rsidP="00A24EFB">
      <w:pPr>
        <w:autoSpaceDE w:val="0"/>
        <w:autoSpaceDN w:val="0"/>
        <w:adjustRightInd w:val="0"/>
        <w:spacing w:after="120"/>
        <w:rPr>
          <w:sz w:val="22"/>
          <w:szCs w:val="22"/>
        </w:rPr>
      </w:pPr>
      <w:r>
        <w:rPr>
          <w:sz w:val="22"/>
          <w:szCs w:val="22"/>
        </w:rPr>
        <w:t xml:space="preserve">Using Cox proportional hazards regression, the instantaneous risk of death is estimated to be 68.7% greater for the group with high serum CRP compared to the group with normal/low serum CRP. With 95% confidence, this result was consistent with a true instantaneous risk of death being anywhere between 48.6% and 91.5% higher in the high serum CRP group compared to the normal/low serum CRP. </w:t>
      </w:r>
    </w:p>
    <w:p w14:paraId="29327321" w14:textId="77777777" w:rsidR="001B6E7C" w:rsidRPr="00FD44B8" w:rsidRDefault="001B6E7C" w:rsidP="00A24EFB">
      <w:pPr>
        <w:autoSpaceDE w:val="0"/>
        <w:autoSpaceDN w:val="0"/>
        <w:adjustRightInd w:val="0"/>
        <w:spacing w:after="120"/>
        <w:rPr>
          <w:sz w:val="22"/>
          <w:szCs w:val="22"/>
        </w:rPr>
      </w:pPr>
      <w:r>
        <w:rPr>
          <w:sz w:val="22"/>
          <w:szCs w:val="22"/>
        </w:rPr>
        <w:t xml:space="preserve">As a result, we reject the null hypothesis in favor of an alternative hypothesis that there is an association between serum CRP level and all-cause mortality. </w:t>
      </w:r>
    </w:p>
    <w:p w14:paraId="0F777D40" w14:textId="77777777" w:rsidR="00A34FC3" w:rsidRDefault="007C7300" w:rsidP="00352345">
      <w:pPr>
        <w:autoSpaceDE w:val="0"/>
        <w:autoSpaceDN w:val="0"/>
        <w:adjustRightInd w:val="0"/>
        <w:spacing w:after="120"/>
        <w:jc w:val="center"/>
        <w:rPr>
          <w:sz w:val="22"/>
          <w:szCs w:val="22"/>
        </w:rPr>
      </w:pPr>
      <w:r>
        <w:rPr>
          <w:noProof/>
        </w:rPr>
        <w:drawing>
          <wp:inline distT="0" distB="0" distL="0" distR="0" wp14:anchorId="7FF021EE" wp14:editId="3A52B227">
            <wp:extent cx="4817375" cy="34327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3233" r="3999"/>
                    <a:stretch/>
                  </pic:blipFill>
                  <pic:spPr bwMode="auto">
                    <a:xfrm>
                      <a:off x="0" y="0"/>
                      <a:ext cx="4824392" cy="3437700"/>
                    </a:xfrm>
                    <a:prstGeom prst="rect">
                      <a:avLst/>
                    </a:prstGeom>
                    <a:ln>
                      <a:noFill/>
                    </a:ln>
                    <a:extLst>
                      <a:ext uri="{53640926-AAD7-44D8-BBD7-CCE9431645EC}">
                        <a14:shadowObscured xmlns:a14="http://schemas.microsoft.com/office/drawing/2010/main"/>
                      </a:ext>
                    </a:extLst>
                  </pic:spPr>
                </pic:pic>
              </a:graphicData>
            </a:graphic>
          </wp:inline>
        </w:drawing>
      </w:r>
    </w:p>
    <w:p w14:paraId="760CC5EE" w14:textId="77777777" w:rsidR="00352345" w:rsidRDefault="00352345" w:rsidP="00352345">
      <w:pPr>
        <w:autoSpaceDE w:val="0"/>
        <w:autoSpaceDN w:val="0"/>
        <w:adjustRightInd w:val="0"/>
        <w:spacing w:after="120"/>
        <w:rPr>
          <w:sz w:val="22"/>
          <w:szCs w:val="22"/>
        </w:rPr>
      </w:pPr>
    </w:p>
    <w:p w14:paraId="631238D0" w14:textId="77777777" w:rsidR="00475AF3" w:rsidRDefault="00475AF3" w:rsidP="00352345">
      <w:pPr>
        <w:autoSpaceDE w:val="0"/>
        <w:autoSpaceDN w:val="0"/>
        <w:adjustRightInd w:val="0"/>
        <w:spacing w:after="120"/>
        <w:rPr>
          <w:sz w:val="22"/>
          <w:szCs w:val="22"/>
        </w:rPr>
      </w:pPr>
    </w:p>
    <w:p w14:paraId="4D1A7F6B" w14:textId="77777777" w:rsidR="00475AF3" w:rsidRPr="00544D9D" w:rsidRDefault="00475AF3" w:rsidP="00475AF3">
      <w:pPr>
        <w:autoSpaceDE w:val="0"/>
        <w:autoSpaceDN w:val="0"/>
        <w:adjustRightInd w:val="0"/>
        <w:jc w:val="center"/>
        <w:rPr>
          <w:b/>
          <w:sz w:val="19"/>
          <w:szCs w:val="19"/>
        </w:rPr>
      </w:pPr>
      <w:r>
        <w:rPr>
          <w:b/>
          <w:sz w:val="19"/>
          <w:szCs w:val="19"/>
        </w:rPr>
        <w:lastRenderedPageBreak/>
        <w:t>Table 3.</w:t>
      </w:r>
      <w:r w:rsidRPr="002A3BBC">
        <w:rPr>
          <w:b/>
          <w:sz w:val="19"/>
          <w:szCs w:val="19"/>
        </w:rPr>
        <w:t xml:space="preserve"> </w:t>
      </w:r>
      <w:r>
        <w:rPr>
          <w:b/>
          <w:sz w:val="19"/>
          <w:szCs w:val="19"/>
        </w:rPr>
        <w:t>Survival Probabilities at Selected Time Points</w:t>
      </w:r>
    </w:p>
    <w:tbl>
      <w:tblPr>
        <w:tblStyle w:val="TableGrid"/>
        <w:tblW w:w="0" w:type="auto"/>
        <w:jc w:val="center"/>
        <w:tblLook w:val="04A0" w:firstRow="1" w:lastRow="0" w:firstColumn="1" w:lastColumn="0" w:noHBand="0" w:noVBand="1"/>
      </w:tblPr>
      <w:tblGrid>
        <w:gridCol w:w="2245"/>
        <w:gridCol w:w="2522"/>
        <w:gridCol w:w="2523"/>
      </w:tblGrid>
      <w:tr w:rsidR="00475AF3" w:rsidRPr="00544D9D" w14:paraId="19E4C2AC" w14:textId="77777777" w:rsidTr="00E44DB1">
        <w:trPr>
          <w:trHeight w:val="360"/>
          <w:jc w:val="center"/>
        </w:trPr>
        <w:tc>
          <w:tcPr>
            <w:tcW w:w="2245" w:type="dxa"/>
            <w:vAlign w:val="center"/>
          </w:tcPr>
          <w:p w14:paraId="0C970F61" w14:textId="77777777" w:rsidR="00475AF3" w:rsidRPr="00544D9D" w:rsidRDefault="00475AF3" w:rsidP="007B0FD3">
            <w:pPr>
              <w:autoSpaceDE w:val="0"/>
              <w:autoSpaceDN w:val="0"/>
              <w:adjustRightInd w:val="0"/>
            </w:pPr>
          </w:p>
        </w:tc>
        <w:tc>
          <w:tcPr>
            <w:tcW w:w="5045" w:type="dxa"/>
            <w:gridSpan w:val="2"/>
            <w:vAlign w:val="center"/>
          </w:tcPr>
          <w:p w14:paraId="1A35B81C" w14:textId="77777777" w:rsidR="00475AF3" w:rsidRPr="00205C51" w:rsidRDefault="00475AF3" w:rsidP="00475AF3">
            <w:pPr>
              <w:autoSpaceDE w:val="0"/>
              <w:autoSpaceDN w:val="0"/>
              <w:adjustRightInd w:val="0"/>
              <w:jc w:val="center"/>
              <w:rPr>
                <w:b/>
              </w:rPr>
            </w:pPr>
            <w:r w:rsidRPr="00205C51">
              <w:rPr>
                <w:b/>
              </w:rPr>
              <w:t>Kaplan-Meier Estimates</w:t>
            </w:r>
            <w:r w:rsidRPr="00205C51">
              <w:rPr>
                <w:b/>
                <w:vertAlign w:val="superscript"/>
              </w:rPr>
              <w:t>1</w:t>
            </w:r>
          </w:p>
        </w:tc>
      </w:tr>
      <w:tr w:rsidR="00475AF3" w:rsidRPr="00544D9D" w14:paraId="20394AF2" w14:textId="77777777" w:rsidTr="00E44DB1">
        <w:trPr>
          <w:trHeight w:val="360"/>
          <w:jc w:val="center"/>
        </w:trPr>
        <w:tc>
          <w:tcPr>
            <w:tcW w:w="2245" w:type="dxa"/>
            <w:vAlign w:val="center"/>
          </w:tcPr>
          <w:p w14:paraId="780CF24F" w14:textId="77777777" w:rsidR="00475AF3" w:rsidRPr="00544D9D" w:rsidRDefault="00475AF3" w:rsidP="00475AF3">
            <w:pPr>
              <w:autoSpaceDE w:val="0"/>
              <w:autoSpaceDN w:val="0"/>
              <w:adjustRightInd w:val="0"/>
            </w:pPr>
          </w:p>
        </w:tc>
        <w:tc>
          <w:tcPr>
            <w:tcW w:w="2522" w:type="dxa"/>
            <w:vAlign w:val="center"/>
          </w:tcPr>
          <w:p w14:paraId="23B8B8E3" w14:textId="77777777" w:rsidR="00475AF3" w:rsidRPr="00205C51" w:rsidRDefault="00475AF3" w:rsidP="00475AF3">
            <w:pPr>
              <w:autoSpaceDE w:val="0"/>
              <w:autoSpaceDN w:val="0"/>
              <w:adjustRightInd w:val="0"/>
              <w:jc w:val="center"/>
              <w:rPr>
                <w:b/>
              </w:rPr>
            </w:pPr>
            <w:r w:rsidRPr="00205C51">
              <w:rPr>
                <w:b/>
              </w:rPr>
              <w:t>High Serum CRP</w:t>
            </w:r>
          </w:p>
        </w:tc>
        <w:tc>
          <w:tcPr>
            <w:tcW w:w="2523" w:type="dxa"/>
            <w:vAlign w:val="center"/>
          </w:tcPr>
          <w:p w14:paraId="00999D6F" w14:textId="77777777" w:rsidR="00475AF3" w:rsidRPr="00205C51" w:rsidRDefault="00475AF3" w:rsidP="00475AF3">
            <w:pPr>
              <w:autoSpaceDE w:val="0"/>
              <w:autoSpaceDN w:val="0"/>
              <w:adjustRightInd w:val="0"/>
              <w:jc w:val="center"/>
              <w:rPr>
                <w:b/>
              </w:rPr>
            </w:pPr>
            <w:r w:rsidRPr="00205C51">
              <w:rPr>
                <w:b/>
              </w:rPr>
              <w:t>Normal/Low Serum CRP</w:t>
            </w:r>
          </w:p>
        </w:tc>
      </w:tr>
      <w:tr w:rsidR="00475AF3" w:rsidRPr="00544D9D" w14:paraId="3F274C8F" w14:textId="77777777" w:rsidTr="00E44DB1">
        <w:trPr>
          <w:trHeight w:val="360"/>
          <w:jc w:val="center"/>
        </w:trPr>
        <w:tc>
          <w:tcPr>
            <w:tcW w:w="2245" w:type="dxa"/>
            <w:vAlign w:val="center"/>
          </w:tcPr>
          <w:p w14:paraId="50FCF26B" w14:textId="77777777" w:rsidR="00475AF3" w:rsidRPr="00205C51" w:rsidRDefault="00475AF3" w:rsidP="00475AF3">
            <w:pPr>
              <w:autoSpaceDE w:val="0"/>
              <w:autoSpaceDN w:val="0"/>
              <w:adjustRightInd w:val="0"/>
              <w:rPr>
                <w:b/>
              </w:rPr>
            </w:pPr>
            <w:r w:rsidRPr="00205C51">
              <w:rPr>
                <w:b/>
              </w:rPr>
              <w:t>Approximately 1 Year</w:t>
            </w:r>
          </w:p>
        </w:tc>
        <w:tc>
          <w:tcPr>
            <w:tcW w:w="2522" w:type="dxa"/>
            <w:vAlign w:val="center"/>
          </w:tcPr>
          <w:p w14:paraId="12ECC34F" w14:textId="77777777" w:rsidR="00475AF3" w:rsidRPr="00544D9D" w:rsidRDefault="00205C51" w:rsidP="00475AF3">
            <w:pPr>
              <w:autoSpaceDE w:val="0"/>
              <w:autoSpaceDN w:val="0"/>
              <w:adjustRightInd w:val="0"/>
              <w:jc w:val="center"/>
            </w:pPr>
            <w:r>
              <w:t>0.966 (0.956 – 0.976)</w:t>
            </w:r>
          </w:p>
        </w:tc>
        <w:tc>
          <w:tcPr>
            <w:tcW w:w="2523" w:type="dxa"/>
            <w:vAlign w:val="center"/>
          </w:tcPr>
          <w:p w14:paraId="200D73FC" w14:textId="77777777" w:rsidR="00E44DB1" w:rsidRPr="00544D9D" w:rsidRDefault="00E44DB1" w:rsidP="00E44DB1">
            <w:pPr>
              <w:autoSpaceDE w:val="0"/>
              <w:autoSpaceDN w:val="0"/>
              <w:adjustRightInd w:val="0"/>
              <w:jc w:val="center"/>
            </w:pPr>
            <w:r>
              <w:t>0.987 (0.984 – 0.991)</w:t>
            </w:r>
          </w:p>
        </w:tc>
      </w:tr>
      <w:tr w:rsidR="00475AF3" w:rsidRPr="00544D9D" w14:paraId="52F5912E" w14:textId="77777777" w:rsidTr="00E44DB1">
        <w:trPr>
          <w:trHeight w:val="360"/>
          <w:jc w:val="center"/>
        </w:trPr>
        <w:tc>
          <w:tcPr>
            <w:tcW w:w="2245" w:type="dxa"/>
            <w:vAlign w:val="center"/>
          </w:tcPr>
          <w:p w14:paraId="61B0E4C3" w14:textId="77777777" w:rsidR="00475AF3" w:rsidRPr="00205C51" w:rsidRDefault="00475AF3" w:rsidP="00475AF3">
            <w:pPr>
              <w:autoSpaceDE w:val="0"/>
              <w:autoSpaceDN w:val="0"/>
              <w:adjustRightInd w:val="0"/>
              <w:rPr>
                <w:b/>
              </w:rPr>
            </w:pPr>
            <w:r w:rsidRPr="00205C51">
              <w:rPr>
                <w:b/>
              </w:rPr>
              <w:t>Approximately 2 Years</w:t>
            </w:r>
          </w:p>
        </w:tc>
        <w:tc>
          <w:tcPr>
            <w:tcW w:w="2522" w:type="dxa"/>
            <w:vAlign w:val="center"/>
          </w:tcPr>
          <w:p w14:paraId="5A44EC5F" w14:textId="77777777" w:rsidR="00475AF3" w:rsidRPr="00544D9D" w:rsidRDefault="005475F6" w:rsidP="00475AF3">
            <w:pPr>
              <w:autoSpaceDE w:val="0"/>
              <w:autoSpaceDN w:val="0"/>
              <w:adjustRightInd w:val="0"/>
              <w:jc w:val="center"/>
            </w:pPr>
            <w:r>
              <w:t>0.926 (0.911 – 0.941)</w:t>
            </w:r>
          </w:p>
        </w:tc>
        <w:tc>
          <w:tcPr>
            <w:tcW w:w="2523" w:type="dxa"/>
            <w:vAlign w:val="center"/>
          </w:tcPr>
          <w:p w14:paraId="212CE90E" w14:textId="77777777" w:rsidR="00475AF3" w:rsidRPr="00544D9D" w:rsidRDefault="008D2566" w:rsidP="00475AF3">
            <w:pPr>
              <w:autoSpaceDE w:val="0"/>
              <w:autoSpaceDN w:val="0"/>
              <w:adjustRightInd w:val="0"/>
              <w:jc w:val="center"/>
            </w:pPr>
            <w:r>
              <w:t>0.970 (0.965 – 0.976)</w:t>
            </w:r>
          </w:p>
        </w:tc>
      </w:tr>
      <w:tr w:rsidR="00475AF3" w:rsidRPr="00544D9D" w14:paraId="0289FB21" w14:textId="77777777" w:rsidTr="00E44DB1">
        <w:trPr>
          <w:trHeight w:val="360"/>
          <w:jc w:val="center"/>
        </w:trPr>
        <w:tc>
          <w:tcPr>
            <w:tcW w:w="2245" w:type="dxa"/>
            <w:vAlign w:val="center"/>
          </w:tcPr>
          <w:p w14:paraId="31CF7C69" w14:textId="77777777" w:rsidR="00475AF3" w:rsidRPr="00205C51" w:rsidRDefault="00475AF3" w:rsidP="00475AF3">
            <w:pPr>
              <w:autoSpaceDE w:val="0"/>
              <w:autoSpaceDN w:val="0"/>
              <w:adjustRightInd w:val="0"/>
              <w:rPr>
                <w:b/>
              </w:rPr>
            </w:pPr>
            <w:r w:rsidRPr="00205C51">
              <w:rPr>
                <w:b/>
              </w:rPr>
              <w:t>Approximately 3 Years</w:t>
            </w:r>
          </w:p>
        </w:tc>
        <w:tc>
          <w:tcPr>
            <w:tcW w:w="2522" w:type="dxa"/>
            <w:vAlign w:val="center"/>
          </w:tcPr>
          <w:p w14:paraId="7FE494CB" w14:textId="77777777" w:rsidR="00475AF3" w:rsidRPr="00544D9D" w:rsidRDefault="005475F6" w:rsidP="00475AF3">
            <w:pPr>
              <w:autoSpaceDE w:val="0"/>
              <w:autoSpaceDN w:val="0"/>
              <w:adjustRightInd w:val="0"/>
              <w:jc w:val="center"/>
            </w:pPr>
            <w:r>
              <w:t>0.881 (0.863 – 0.900)</w:t>
            </w:r>
          </w:p>
        </w:tc>
        <w:tc>
          <w:tcPr>
            <w:tcW w:w="2523" w:type="dxa"/>
            <w:vAlign w:val="center"/>
          </w:tcPr>
          <w:p w14:paraId="7F2D28FA" w14:textId="77777777" w:rsidR="00475AF3" w:rsidRPr="00544D9D" w:rsidRDefault="008D2566" w:rsidP="00475AF3">
            <w:pPr>
              <w:autoSpaceDE w:val="0"/>
              <w:autoSpaceDN w:val="0"/>
              <w:adjustRightInd w:val="0"/>
              <w:jc w:val="center"/>
            </w:pPr>
            <w:r>
              <w:t>0.948 (0.941 – 0.955)</w:t>
            </w:r>
          </w:p>
        </w:tc>
      </w:tr>
      <w:tr w:rsidR="00475AF3" w:rsidRPr="00544D9D" w14:paraId="5A6BC7E7" w14:textId="77777777" w:rsidTr="00E44DB1">
        <w:trPr>
          <w:trHeight w:val="360"/>
          <w:jc w:val="center"/>
        </w:trPr>
        <w:tc>
          <w:tcPr>
            <w:tcW w:w="2245" w:type="dxa"/>
            <w:vAlign w:val="center"/>
          </w:tcPr>
          <w:p w14:paraId="0273E1A8" w14:textId="77777777" w:rsidR="00475AF3" w:rsidRPr="00205C51" w:rsidRDefault="00475AF3" w:rsidP="00475AF3">
            <w:pPr>
              <w:autoSpaceDE w:val="0"/>
              <w:autoSpaceDN w:val="0"/>
              <w:adjustRightInd w:val="0"/>
              <w:rPr>
                <w:b/>
              </w:rPr>
            </w:pPr>
            <w:r w:rsidRPr="00205C51">
              <w:rPr>
                <w:b/>
              </w:rPr>
              <w:t xml:space="preserve">Approximately 4 Years </w:t>
            </w:r>
          </w:p>
        </w:tc>
        <w:tc>
          <w:tcPr>
            <w:tcW w:w="2522" w:type="dxa"/>
            <w:vAlign w:val="center"/>
          </w:tcPr>
          <w:p w14:paraId="32A49425" w14:textId="77777777" w:rsidR="00475AF3" w:rsidRPr="00544D9D" w:rsidRDefault="005475F6" w:rsidP="00475AF3">
            <w:pPr>
              <w:autoSpaceDE w:val="0"/>
              <w:autoSpaceDN w:val="0"/>
              <w:adjustRightInd w:val="0"/>
              <w:jc w:val="center"/>
            </w:pPr>
            <w:r>
              <w:t>0.844 (0.824 – 0.865)</w:t>
            </w:r>
          </w:p>
        </w:tc>
        <w:tc>
          <w:tcPr>
            <w:tcW w:w="2523" w:type="dxa"/>
            <w:vAlign w:val="center"/>
          </w:tcPr>
          <w:p w14:paraId="6ED41D0F" w14:textId="77777777" w:rsidR="00475AF3" w:rsidRPr="00544D9D" w:rsidRDefault="008D2566" w:rsidP="00475AF3">
            <w:pPr>
              <w:autoSpaceDE w:val="0"/>
              <w:autoSpaceDN w:val="0"/>
              <w:adjustRightInd w:val="0"/>
              <w:jc w:val="center"/>
            </w:pPr>
            <w:r>
              <w:t>0.920 (0.911 – 0.928)</w:t>
            </w:r>
          </w:p>
        </w:tc>
      </w:tr>
      <w:tr w:rsidR="008D2566" w:rsidRPr="00544D9D" w14:paraId="2172368D" w14:textId="77777777" w:rsidTr="00E44DB1">
        <w:trPr>
          <w:trHeight w:val="360"/>
          <w:jc w:val="center"/>
        </w:trPr>
        <w:tc>
          <w:tcPr>
            <w:tcW w:w="2245" w:type="dxa"/>
            <w:vAlign w:val="center"/>
          </w:tcPr>
          <w:p w14:paraId="73E0C1B5" w14:textId="77777777" w:rsidR="008D2566" w:rsidRPr="00205C51" w:rsidRDefault="008D2566" w:rsidP="00475AF3">
            <w:pPr>
              <w:autoSpaceDE w:val="0"/>
              <w:autoSpaceDN w:val="0"/>
              <w:adjustRightInd w:val="0"/>
              <w:rPr>
                <w:b/>
              </w:rPr>
            </w:pPr>
            <w:r w:rsidRPr="00205C51">
              <w:rPr>
                <w:b/>
              </w:rPr>
              <w:t>Approximately 5 Years</w:t>
            </w:r>
          </w:p>
        </w:tc>
        <w:tc>
          <w:tcPr>
            <w:tcW w:w="2522" w:type="dxa"/>
            <w:vAlign w:val="center"/>
          </w:tcPr>
          <w:p w14:paraId="10741FF6" w14:textId="77777777" w:rsidR="008D2566" w:rsidRPr="00544D9D" w:rsidRDefault="005475F6" w:rsidP="00475AF3">
            <w:pPr>
              <w:autoSpaceDE w:val="0"/>
              <w:autoSpaceDN w:val="0"/>
              <w:adjustRightInd w:val="0"/>
              <w:jc w:val="center"/>
            </w:pPr>
            <w:r>
              <w:t>0.799 (0.776 – 0.822)</w:t>
            </w:r>
          </w:p>
        </w:tc>
        <w:tc>
          <w:tcPr>
            <w:tcW w:w="2523" w:type="dxa"/>
            <w:vAlign w:val="center"/>
          </w:tcPr>
          <w:p w14:paraId="51FAE6B9" w14:textId="77777777" w:rsidR="008D2566" w:rsidRDefault="005814D9" w:rsidP="00475AF3">
            <w:pPr>
              <w:autoSpaceDE w:val="0"/>
              <w:autoSpaceDN w:val="0"/>
              <w:adjustRightInd w:val="0"/>
              <w:jc w:val="center"/>
            </w:pPr>
            <w:r>
              <w:t>0.884 (0.874 – 0.894)</w:t>
            </w:r>
          </w:p>
        </w:tc>
      </w:tr>
      <w:tr w:rsidR="008D2566" w:rsidRPr="00544D9D" w14:paraId="0F9E9066" w14:textId="77777777" w:rsidTr="00E44DB1">
        <w:trPr>
          <w:trHeight w:val="360"/>
          <w:jc w:val="center"/>
        </w:trPr>
        <w:tc>
          <w:tcPr>
            <w:tcW w:w="2245" w:type="dxa"/>
            <w:vAlign w:val="center"/>
          </w:tcPr>
          <w:p w14:paraId="35A395EA" w14:textId="77777777" w:rsidR="008D2566" w:rsidRPr="00205C51" w:rsidRDefault="008D2566" w:rsidP="00475AF3">
            <w:pPr>
              <w:autoSpaceDE w:val="0"/>
              <w:autoSpaceDN w:val="0"/>
              <w:adjustRightInd w:val="0"/>
              <w:rPr>
                <w:b/>
              </w:rPr>
            </w:pPr>
            <w:r w:rsidRPr="00205C51">
              <w:rPr>
                <w:b/>
              </w:rPr>
              <w:t>Approximately 6 Years</w:t>
            </w:r>
          </w:p>
        </w:tc>
        <w:tc>
          <w:tcPr>
            <w:tcW w:w="2522" w:type="dxa"/>
            <w:vAlign w:val="center"/>
          </w:tcPr>
          <w:p w14:paraId="5FBB11EA" w14:textId="77777777" w:rsidR="008D2566" w:rsidRPr="00544D9D" w:rsidRDefault="005475F6" w:rsidP="00475AF3">
            <w:pPr>
              <w:autoSpaceDE w:val="0"/>
              <w:autoSpaceDN w:val="0"/>
              <w:adjustRightInd w:val="0"/>
              <w:jc w:val="center"/>
            </w:pPr>
            <w:r>
              <w:t>0.754 (0.729 – 0.780)</w:t>
            </w:r>
          </w:p>
        </w:tc>
        <w:tc>
          <w:tcPr>
            <w:tcW w:w="2523" w:type="dxa"/>
            <w:vAlign w:val="center"/>
          </w:tcPr>
          <w:p w14:paraId="26AB2B08" w14:textId="77777777" w:rsidR="008D2566" w:rsidRDefault="005814D9" w:rsidP="00475AF3">
            <w:pPr>
              <w:autoSpaceDE w:val="0"/>
              <w:autoSpaceDN w:val="0"/>
              <w:adjustRightInd w:val="0"/>
              <w:jc w:val="center"/>
            </w:pPr>
            <w:r>
              <w:t>0.852 (0.841 – 0.864)</w:t>
            </w:r>
          </w:p>
        </w:tc>
      </w:tr>
    </w:tbl>
    <w:p w14:paraId="51165F43" w14:textId="77777777" w:rsidR="00E44DB1" w:rsidRPr="00205C51" w:rsidRDefault="00E44DB1" w:rsidP="00E44DB1">
      <w:pPr>
        <w:autoSpaceDE w:val="0"/>
        <w:autoSpaceDN w:val="0"/>
        <w:adjustRightInd w:val="0"/>
        <w:jc w:val="center"/>
        <w:rPr>
          <w:b/>
          <w:i/>
          <w:sz w:val="19"/>
          <w:szCs w:val="19"/>
        </w:rPr>
      </w:pPr>
      <w:r w:rsidRPr="00205C51">
        <w:rPr>
          <w:b/>
          <w:i/>
          <w:sz w:val="22"/>
          <w:szCs w:val="22"/>
          <w:vertAlign w:val="superscript"/>
        </w:rPr>
        <w:t>1</w:t>
      </w:r>
      <w:r w:rsidRPr="00205C51">
        <w:rPr>
          <w:b/>
          <w:i/>
          <w:sz w:val="22"/>
          <w:szCs w:val="22"/>
        </w:rPr>
        <w:t xml:space="preserve"> </w:t>
      </w:r>
      <w:r w:rsidRPr="00205C51">
        <w:rPr>
          <w:b/>
          <w:i/>
          <w:sz w:val="19"/>
          <w:szCs w:val="19"/>
        </w:rPr>
        <w:t>Results presented are: point estimate (95% confident interval)</w:t>
      </w:r>
    </w:p>
    <w:p w14:paraId="62516EBF" w14:textId="77777777" w:rsidR="00475AF3" w:rsidRDefault="00475AF3" w:rsidP="00352345">
      <w:pPr>
        <w:autoSpaceDE w:val="0"/>
        <w:autoSpaceDN w:val="0"/>
        <w:adjustRightInd w:val="0"/>
        <w:spacing w:after="120"/>
        <w:rPr>
          <w:sz w:val="22"/>
          <w:szCs w:val="22"/>
        </w:rPr>
      </w:pPr>
    </w:p>
    <w:p w14:paraId="69127452" w14:textId="77777777" w:rsidR="00261CFB" w:rsidRPr="00D10798" w:rsidRDefault="00B93391" w:rsidP="00A24EFB">
      <w:pPr>
        <w:autoSpaceDE w:val="0"/>
        <w:autoSpaceDN w:val="0"/>
        <w:adjustRightInd w:val="0"/>
        <w:spacing w:after="120"/>
        <w:rPr>
          <w:i/>
          <w:sz w:val="22"/>
          <w:szCs w:val="22"/>
        </w:rPr>
      </w:pPr>
      <w:r w:rsidRPr="00934EBE">
        <w:rPr>
          <w:i/>
          <w:color w:val="7F7F7F" w:themeColor="text1" w:themeTint="80"/>
          <w:sz w:val="22"/>
          <w:szCs w:val="22"/>
        </w:rPr>
        <w:t xml:space="preserve">8. </w:t>
      </w:r>
      <w:r w:rsidR="00B457A7" w:rsidRPr="00934EBE">
        <w:rPr>
          <w:i/>
          <w:color w:val="7F7F7F" w:themeColor="text1" w:themeTint="80"/>
          <w:sz w:val="22"/>
          <w:szCs w:val="22"/>
        </w:rPr>
        <w:t>Supposing I had not been so redundant</w:t>
      </w:r>
      <w:r w:rsidR="009D5804" w:rsidRPr="00934EBE">
        <w:rPr>
          <w:i/>
          <w:color w:val="7F7F7F" w:themeColor="text1" w:themeTint="80"/>
          <w:sz w:val="22"/>
          <w:szCs w:val="22"/>
        </w:rPr>
        <w:t xml:space="preserve"> (in a scientifically inappropriate manner)</w:t>
      </w:r>
      <w:r w:rsidR="00B457A7" w:rsidRPr="00934EBE">
        <w:rPr>
          <w:i/>
          <w:color w:val="7F7F7F" w:themeColor="text1" w:themeTint="80"/>
          <w:sz w:val="22"/>
          <w:szCs w:val="22"/>
        </w:rPr>
        <w:t xml:space="preserve"> and so prescriptive about methods of detecting an association, what analysis would you have preferred </w:t>
      </w:r>
      <w:r w:rsidR="00B457A7" w:rsidRPr="00934EBE">
        <w:rPr>
          <w:i/>
          <w:iCs/>
          <w:color w:val="7F7F7F" w:themeColor="text1" w:themeTint="80"/>
          <w:sz w:val="22"/>
          <w:szCs w:val="22"/>
        </w:rPr>
        <w:t>a priori</w:t>
      </w:r>
      <w:r w:rsidR="00B457A7" w:rsidRPr="00934EBE">
        <w:rPr>
          <w:i/>
          <w:color w:val="7F7F7F" w:themeColor="text1" w:themeTint="80"/>
          <w:sz w:val="22"/>
          <w:szCs w:val="22"/>
        </w:rPr>
        <w:t xml:space="preserve"> in order to answer the question about an association between mortality and serum </w:t>
      </w:r>
      <w:r w:rsidR="003F5F38" w:rsidRPr="00934EBE">
        <w:rPr>
          <w:i/>
          <w:color w:val="7F7F7F" w:themeColor="text1" w:themeTint="80"/>
          <w:sz w:val="22"/>
          <w:szCs w:val="22"/>
        </w:rPr>
        <w:t>CRP</w:t>
      </w:r>
      <w:r w:rsidR="00B457A7" w:rsidRPr="00934EBE">
        <w:rPr>
          <w:i/>
          <w:color w:val="7F7F7F" w:themeColor="text1" w:themeTint="80"/>
          <w:sz w:val="22"/>
          <w:szCs w:val="22"/>
        </w:rPr>
        <w:t>? Why?</w:t>
      </w:r>
    </w:p>
    <w:p w14:paraId="04054CF4" w14:textId="77777777" w:rsidR="009D5804" w:rsidRDefault="00FE1AAA" w:rsidP="00A24EFB">
      <w:pPr>
        <w:pStyle w:val="PlainText"/>
        <w:spacing w:after="120"/>
        <w:rPr>
          <w:rFonts w:ascii="Times New Roman" w:hAnsi="Times New Roman" w:cs="Times New Roman"/>
          <w:sz w:val="22"/>
          <w:szCs w:val="22"/>
        </w:rPr>
      </w:pPr>
      <w:r>
        <w:rPr>
          <w:rFonts w:ascii="Times New Roman" w:hAnsi="Times New Roman" w:cs="Times New Roman"/>
          <w:b/>
          <w:sz w:val="22"/>
          <w:szCs w:val="22"/>
          <w:u w:val="single"/>
        </w:rPr>
        <w:t>Answer:</w:t>
      </w:r>
    </w:p>
    <w:p w14:paraId="5A65D3FA" w14:textId="77777777" w:rsidR="005E2F41" w:rsidRDefault="005E2F41" w:rsidP="00A24EFB">
      <w:pPr>
        <w:pStyle w:val="PlainText"/>
        <w:spacing w:after="120"/>
        <w:rPr>
          <w:rFonts w:ascii="Times New Roman" w:hAnsi="Times New Roman" w:cs="Times New Roman"/>
          <w:sz w:val="22"/>
          <w:szCs w:val="22"/>
        </w:rPr>
      </w:pPr>
      <w:r>
        <w:rPr>
          <w:rFonts w:ascii="Times New Roman" w:hAnsi="Times New Roman" w:cs="Times New Roman"/>
          <w:sz w:val="22"/>
          <w:szCs w:val="22"/>
        </w:rPr>
        <w:t xml:space="preserve">A priori I would have preferred in order to answer the question about an association between mortality and serum CRP is an analysis over the entire survival distributions across the </w:t>
      </w:r>
      <w:r w:rsidR="009557C8">
        <w:rPr>
          <w:rFonts w:ascii="Times New Roman" w:hAnsi="Times New Roman" w:cs="Times New Roman"/>
          <w:sz w:val="22"/>
          <w:szCs w:val="22"/>
        </w:rPr>
        <w:t>three groups</w:t>
      </w:r>
      <w:r>
        <w:rPr>
          <w:rFonts w:ascii="Times New Roman" w:hAnsi="Times New Roman" w:cs="Times New Roman"/>
          <w:sz w:val="22"/>
          <w:szCs w:val="22"/>
        </w:rPr>
        <w:t xml:space="preserve"> defined by the level</w:t>
      </w:r>
      <w:r w:rsidR="009557C8">
        <w:rPr>
          <w:rFonts w:ascii="Times New Roman" w:hAnsi="Times New Roman" w:cs="Times New Roman"/>
          <w:sz w:val="22"/>
          <w:szCs w:val="22"/>
        </w:rPr>
        <w:t>s</w:t>
      </w:r>
      <w:r>
        <w:rPr>
          <w:rFonts w:ascii="Times New Roman" w:hAnsi="Times New Roman" w:cs="Times New Roman"/>
          <w:sz w:val="22"/>
          <w:szCs w:val="22"/>
        </w:rPr>
        <w:t xml:space="preserve"> of serum CRP </w:t>
      </w:r>
      <w:r w:rsidR="009557C8">
        <w:rPr>
          <w:rFonts w:ascii="Times New Roman" w:hAnsi="Times New Roman" w:cs="Times New Roman"/>
          <w:sz w:val="22"/>
          <w:szCs w:val="22"/>
        </w:rPr>
        <w:t>of the Mayo Clinics</w:t>
      </w:r>
      <w:r>
        <w:rPr>
          <w:rFonts w:ascii="Times New Roman" w:hAnsi="Times New Roman" w:cs="Times New Roman"/>
          <w:sz w:val="22"/>
          <w:szCs w:val="22"/>
        </w:rPr>
        <w:t>, due to the following reasons:</w:t>
      </w:r>
    </w:p>
    <w:p w14:paraId="0F820586" w14:textId="77777777" w:rsidR="005E2F41" w:rsidRDefault="00D5411F" w:rsidP="005E2F41">
      <w:pPr>
        <w:pStyle w:val="PlainText"/>
        <w:numPr>
          <w:ilvl w:val="0"/>
          <w:numId w:val="21"/>
        </w:numPr>
        <w:spacing w:after="120"/>
        <w:rPr>
          <w:rFonts w:ascii="Times New Roman" w:hAnsi="Times New Roman" w:cs="Times New Roman"/>
          <w:sz w:val="22"/>
          <w:szCs w:val="22"/>
        </w:rPr>
      </w:pPr>
      <w:r>
        <w:rPr>
          <w:rFonts w:ascii="Times New Roman" w:hAnsi="Times New Roman" w:cs="Times New Roman"/>
          <w:sz w:val="22"/>
          <w:szCs w:val="22"/>
        </w:rPr>
        <w:t xml:space="preserve">It is much more precise not to have to dichotomize over survival times. Although in this case it is valid to dichotomize at 4-year time point, there are censored observations which can potentially have really long time to all-cause death. Note that the maximal follow-up time is roughly 8 years. There is a statistical, but not scientific in this case, to choose 4 years as a cut-off value of dichotomization. </w:t>
      </w:r>
    </w:p>
    <w:p w14:paraId="0A1AA825" w14:textId="77777777" w:rsidR="00D5411F" w:rsidRDefault="008643EA" w:rsidP="005E2F41">
      <w:pPr>
        <w:pStyle w:val="PlainText"/>
        <w:numPr>
          <w:ilvl w:val="0"/>
          <w:numId w:val="21"/>
        </w:numPr>
        <w:spacing w:after="120"/>
        <w:rPr>
          <w:rFonts w:ascii="Times New Roman" w:hAnsi="Times New Roman" w:cs="Times New Roman"/>
          <w:sz w:val="22"/>
          <w:szCs w:val="22"/>
        </w:rPr>
      </w:pPr>
      <w:r>
        <w:rPr>
          <w:rFonts w:ascii="Times New Roman" w:hAnsi="Times New Roman" w:cs="Times New Roman"/>
          <w:sz w:val="22"/>
          <w:szCs w:val="22"/>
        </w:rPr>
        <w:t>It is scientifically more pleasing and easier to understand, for people with scientific backgrounds, to condition on serum CRP level.</w:t>
      </w:r>
      <w:r w:rsidR="009557C8">
        <w:rPr>
          <w:rFonts w:ascii="Times New Roman" w:hAnsi="Times New Roman" w:cs="Times New Roman"/>
          <w:sz w:val="22"/>
          <w:szCs w:val="22"/>
        </w:rPr>
        <w:t xml:space="preserve"> Using 3 groups instead of 2 groups (high vs. normal/low) is scientifically more pleasing as well as giving a better balance of sample size. </w:t>
      </w:r>
    </w:p>
    <w:p w14:paraId="3BB14B57" w14:textId="77777777" w:rsidR="008643EA" w:rsidRDefault="008643EA" w:rsidP="005E2F41">
      <w:pPr>
        <w:pStyle w:val="PlainText"/>
        <w:numPr>
          <w:ilvl w:val="0"/>
          <w:numId w:val="21"/>
        </w:numPr>
        <w:spacing w:after="120"/>
        <w:rPr>
          <w:rFonts w:ascii="Times New Roman" w:hAnsi="Times New Roman" w:cs="Times New Roman"/>
          <w:sz w:val="22"/>
          <w:szCs w:val="22"/>
        </w:rPr>
      </w:pPr>
      <w:r>
        <w:rPr>
          <w:rFonts w:ascii="Times New Roman" w:hAnsi="Times New Roman" w:cs="Times New Roman"/>
          <w:sz w:val="22"/>
          <w:szCs w:val="22"/>
        </w:rPr>
        <w:t xml:space="preserve">As the measurement of CRP value occurred before the recorded follow-up time, it is better to summarize the survival distribution. </w:t>
      </w:r>
    </w:p>
    <w:p w14:paraId="1BA40F6A" w14:textId="77777777" w:rsidR="008643EA" w:rsidRPr="005E2F41" w:rsidRDefault="008643EA" w:rsidP="005E2F41">
      <w:pPr>
        <w:pStyle w:val="PlainText"/>
        <w:numPr>
          <w:ilvl w:val="0"/>
          <w:numId w:val="21"/>
        </w:numPr>
        <w:spacing w:after="120"/>
        <w:rPr>
          <w:rFonts w:ascii="Times New Roman" w:hAnsi="Times New Roman" w:cs="Times New Roman"/>
          <w:sz w:val="22"/>
          <w:szCs w:val="22"/>
        </w:rPr>
      </w:pPr>
      <w:r>
        <w:rPr>
          <w:rFonts w:ascii="Times New Roman" w:hAnsi="Times New Roman" w:cs="Times New Roman"/>
          <w:sz w:val="22"/>
          <w:szCs w:val="22"/>
        </w:rPr>
        <w:t xml:space="preserve">Summarizing the survival distributions also gives a better overall picture about what was going on throughout the entire analysis time. Dichotomizing observed time will only looking at the association between serum CRP and the vital status at only the chosen time point. </w:t>
      </w:r>
    </w:p>
    <w:sectPr w:rsidR="008643EA" w:rsidRPr="005E2F41" w:rsidSect="001E5158">
      <w:headerReference w:type="default" r:id="rId10"/>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5EDD7BEA" w14:textId="77777777" w:rsidR="00E500A9" w:rsidRDefault="00E500A9">
      <w:pPr>
        <w:pStyle w:val="CommentText"/>
      </w:pPr>
      <w:r>
        <w:rPr>
          <w:rStyle w:val="CommentReference"/>
        </w:rPr>
        <w:annotationRef/>
      </w:r>
      <w:r>
        <w:t>5/5: Good.</w:t>
      </w:r>
    </w:p>
  </w:comment>
  <w:comment w:id="1" w:author="Author" w:initials="A">
    <w:p w14:paraId="71E79832" w14:textId="77777777" w:rsidR="00E500A9" w:rsidRDefault="00E500A9">
      <w:pPr>
        <w:pStyle w:val="CommentText"/>
      </w:pPr>
      <w:r>
        <w:rPr>
          <w:rStyle w:val="CommentReference"/>
        </w:rPr>
        <w:annotationRef/>
      </w:r>
      <w:r>
        <w:t>By definition this is true.</w:t>
      </w:r>
    </w:p>
  </w:comment>
  <w:comment w:id="2" w:author="Author" w:initials="A">
    <w:p w14:paraId="5CC6AE59" w14:textId="77777777" w:rsidR="008F44ED" w:rsidRDefault="008F44ED">
      <w:pPr>
        <w:pStyle w:val="CommentText"/>
      </w:pPr>
      <w:r>
        <w:rPr>
          <w:rStyle w:val="CommentReference"/>
        </w:rPr>
        <w:annotationRef/>
      </w:r>
      <w:r>
        <w:t xml:space="preserve">5/5: Good.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DD7BEA" w15:done="0"/>
  <w15:commentEx w15:paraId="71E79832" w15:done="0"/>
  <w15:commentEx w15:paraId="5CC6AE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A7E98" w14:textId="77777777" w:rsidR="00390774" w:rsidRDefault="00390774">
      <w:r>
        <w:separator/>
      </w:r>
    </w:p>
  </w:endnote>
  <w:endnote w:type="continuationSeparator" w:id="0">
    <w:p w14:paraId="03128350" w14:textId="77777777" w:rsidR="00390774" w:rsidRDefault="0039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A4BBC" w14:textId="77777777" w:rsidR="00390774" w:rsidRDefault="00390774">
      <w:r>
        <w:separator/>
      </w:r>
    </w:p>
  </w:footnote>
  <w:footnote w:type="continuationSeparator" w:id="0">
    <w:p w14:paraId="76513817" w14:textId="77777777" w:rsidR="00390774" w:rsidRDefault="00390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91DBC" w14:textId="77777777" w:rsidR="00B95181" w:rsidRDefault="00B95181" w:rsidP="005053FD">
    <w:pPr>
      <w:pStyle w:val="Header"/>
      <w:tabs>
        <w:tab w:val="clear" w:pos="4320"/>
        <w:tab w:val="clear" w:pos="8640"/>
        <w:tab w:val="center" w:pos="4590"/>
        <w:tab w:val="right" w:pos="9360"/>
      </w:tabs>
    </w:pPr>
    <w:r>
      <w:t>B</w:t>
    </w:r>
    <w:r w:rsidR="005053FD">
      <w:t>iost 518/</w:t>
    </w:r>
    <w:r>
      <w:t>515, Winter 20</w:t>
    </w:r>
    <w:r w:rsidR="005053FD">
      <w:t>15</w:t>
    </w:r>
    <w:r w:rsidR="005053FD">
      <w:tab/>
      <w:t>Homework 01</w:t>
    </w:r>
    <w:r w:rsidR="005053FD">
      <w:tab/>
    </w:r>
    <w:r>
      <w:rPr>
        <w:snapToGrid w:val="0"/>
      </w:rPr>
      <w:t xml:space="preserve">Page </w:t>
    </w:r>
    <w:r>
      <w:rPr>
        <w:snapToGrid w:val="0"/>
      </w:rPr>
      <w:fldChar w:fldCharType="begin"/>
    </w:r>
    <w:r>
      <w:rPr>
        <w:snapToGrid w:val="0"/>
      </w:rPr>
      <w:instrText xml:space="preserve"> PAGE </w:instrText>
    </w:r>
    <w:r>
      <w:rPr>
        <w:snapToGrid w:val="0"/>
      </w:rPr>
      <w:fldChar w:fldCharType="separate"/>
    </w:r>
    <w:r w:rsidR="008F44ED">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8F44ED">
      <w:rPr>
        <w:noProof/>
        <w:snapToGrid w:val="0"/>
      </w:rPr>
      <w:t>7</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967B3"/>
    <w:multiLevelType w:val="hybridMultilevel"/>
    <w:tmpl w:val="D446099C"/>
    <w:lvl w:ilvl="0" w:tplc="5D7859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9"/>
  </w:num>
  <w:num w:numId="3">
    <w:abstractNumId w:val="11"/>
  </w:num>
  <w:num w:numId="4">
    <w:abstractNumId w:val="3"/>
  </w:num>
  <w:num w:numId="5">
    <w:abstractNumId w:val="17"/>
  </w:num>
  <w:num w:numId="6">
    <w:abstractNumId w:val="19"/>
  </w:num>
  <w:num w:numId="7">
    <w:abstractNumId w:val="10"/>
  </w:num>
  <w:num w:numId="8">
    <w:abstractNumId w:val="12"/>
  </w:num>
  <w:num w:numId="9">
    <w:abstractNumId w:val="8"/>
  </w:num>
  <w:num w:numId="10">
    <w:abstractNumId w:val="2"/>
  </w:num>
  <w:num w:numId="11">
    <w:abstractNumId w:val="14"/>
  </w:num>
  <w:num w:numId="12">
    <w:abstractNumId w:val="7"/>
  </w:num>
  <w:num w:numId="13">
    <w:abstractNumId w:val="13"/>
  </w:num>
  <w:num w:numId="14">
    <w:abstractNumId w:val="16"/>
  </w:num>
  <w:num w:numId="15">
    <w:abstractNumId w:val="1"/>
  </w:num>
  <w:num w:numId="16">
    <w:abstractNumId w:val="6"/>
  </w:num>
  <w:num w:numId="17">
    <w:abstractNumId w:val="4"/>
  </w:num>
  <w:num w:numId="18">
    <w:abstractNumId w:val="15"/>
  </w:num>
  <w:num w:numId="19">
    <w:abstractNumId w:val="18"/>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14048"/>
    <w:rsid w:val="000154E9"/>
    <w:rsid w:val="000263C2"/>
    <w:rsid w:val="00031EEE"/>
    <w:rsid w:val="000461AE"/>
    <w:rsid w:val="00054A42"/>
    <w:rsid w:val="00060C13"/>
    <w:rsid w:val="000714D5"/>
    <w:rsid w:val="000817A7"/>
    <w:rsid w:val="00086779"/>
    <w:rsid w:val="00097520"/>
    <w:rsid w:val="000A3E09"/>
    <w:rsid w:val="000F3862"/>
    <w:rsid w:val="000F52B6"/>
    <w:rsid w:val="0010428A"/>
    <w:rsid w:val="00120329"/>
    <w:rsid w:val="00132AEC"/>
    <w:rsid w:val="00132BA1"/>
    <w:rsid w:val="001407D1"/>
    <w:rsid w:val="00140EC9"/>
    <w:rsid w:val="00160820"/>
    <w:rsid w:val="00175377"/>
    <w:rsid w:val="00195B2D"/>
    <w:rsid w:val="001B6E7C"/>
    <w:rsid w:val="001D2DC2"/>
    <w:rsid w:val="001E36FF"/>
    <w:rsid w:val="001E5158"/>
    <w:rsid w:val="00202909"/>
    <w:rsid w:val="002036F6"/>
    <w:rsid w:val="00205C51"/>
    <w:rsid w:val="0021517E"/>
    <w:rsid w:val="002213A5"/>
    <w:rsid w:val="0022654E"/>
    <w:rsid w:val="00241E8D"/>
    <w:rsid w:val="0024368C"/>
    <w:rsid w:val="00261CFB"/>
    <w:rsid w:val="002745E9"/>
    <w:rsid w:val="0028557B"/>
    <w:rsid w:val="002A16B9"/>
    <w:rsid w:val="002A3BBC"/>
    <w:rsid w:val="002B2624"/>
    <w:rsid w:val="002B6356"/>
    <w:rsid w:val="002D5B86"/>
    <w:rsid w:val="002F0282"/>
    <w:rsid w:val="00345F12"/>
    <w:rsid w:val="003471E3"/>
    <w:rsid w:val="00352345"/>
    <w:rsid w:val="00353B06"/>
    <w:rsid w:val="0036127B"/>
    <w:rsid w:val="00385CD1"/>
    <w:rsid w:val="00390774"/>
    <w:rsid w:val="003953C1"/>
    <w:rsid w:val="003A6D85"/>
    <w:rsid w:val="003C0FBE"/>
    <w:rsid w:val="003D6DAF"/>
    <w:rsid w:val="003E3926"/>
    <w:rsid w:val="003F5F38"/>
    <w:rsid w:val="00410B89"/>
    <w:rsid w:val="00415759"/>
    <w:rsid w:val="0042294F"/>
    <w:rsid w:val="00422D91"/>
    <w:rsid w:val="00427148"/>
    <w:rsid w:val="00443606"/>
    <w:rsid w:val="00450141"/>
    <w:rsid w:val="004514C0"/>
    <w:rsid w:val="00452963"/>
    <w:rsid w:val="0045417E"/>
    <w:rsid w:val="004637E9"/>
    <w:rsid w:val="004664FD"/>
    <w:rsid w:val="004703BB"/>
    <w:rsid w:val="00471806"/>
    <w:rsid w:val="00475AF3"/>
    <w:rsid w:val="004C2A23"/>
    <w:rsid w:val="004D1289"/>
    <w:rsid w:val="004D1292"/>
    <w:rsid w:val="00501EC4"/>
    <w:rsid w:val="005053FD"/>
    <w:rsid w:val="00510B41"/>
    <w:rsid w:val="00511C56"/>
    <w:rsid w:val="00513C1B"/>
    <w:rsid w:val="00521328"/>
    <w:rsid w:val="00523AA4"/>
    <w:rsid w:val="0054226B"/>
    <w:rsid w:val="00544D9D"/>
    <w:rsid w:val="005475F6"/>
    <w:rsid w:val="00553204"/>
    <w:rsid w:val="00556CEF"/>
    <w:rsid w:val="00567523"/>
    <w:rsid w:val="005814D9"/>
    <w:rsid w:val="00586C10"/>
    <w:rsid w:val="0059040E"/>
    <w:rsid w:val="005A07D9"/>
    <w:rsid w:val="005A3A23"/>
    <w:rsid w:val="005A6440"/>
    <w:rsid w:val="005B14E3"/>
    <w:rsid w:val="005B3DB2"/>
    <w:rsid w:val="005C35DF"/>
    <w:rsid w:val="005C5726"/>
    <w:rsid w:val="005D7E06"/>
    <w:rsid w:val="005E10EC"/>
    <w:rsid w:val="005E2F41"/>
    <w:rsid w:val="005E415C"/>
    <w:rsid w:val="005F0B2E"/>
    <w:rsid w:val="00601D47"/>
    <w:rsid w:val="006138F9"/>
    <w:rsid w:val="006152BE"/>
    <w:rsid w:val="00621F22"/>
    <w:rsid w:val="0062265F"/>
    <w:rsid w:val="00625BDC"/>
    <w:rsid w:val="006268D1"/>
    <w:rsid w:val="006336A9"/>
    <w:rsid w:val="0063762C"/>
    <w:rsid w:val="006508C5"/>
    <w:rsid w:val="00654208"/>
    <w:rsid w:val="00673A26"/>
    <w:rsid w:val="00676B73"/>
    <w:rsid w:val="0069225A"/>
    <w:rsid w:val="006A273F"/>
    <w:rsid w:val="006B1E11"/>
    <w:rsid w:val="006C49EE"/>
    <w:rsid w:val="006D22A2"/>
    <w:rsid w:val="006D6FAD"/>
    <w:rsid w:val="006E16C5"/>
    <w:rsid w:val="006E5205"/>
    <w:rsid w:val="006F1418"/>
    <w:rsid w:val="00706D4F"/>
    <w:rsid w:val="007105DA"/>
    <w:rsid w:val="007343AA"/>
    <w:rsid w:val="007356DE"/>
    <w:rsid w:val="007366CC"/>
    <w:rsid w:val="00741AE1"/>
    <w:rsid w:val="00751474"/>
    <w:rsid w:val="00760439"/>
    <w:rsid w:val="00762DE6"/>
    <w:rsid w:val="00767D4A"/>
    <w:rsid w:val="00785A87"/>
    <w:rsid w:val="00796A88"/>
    <w:rsid w:val="007B4E60"/>
    <w:rsid w:val="007C7300"/>
    <w:rsid w:val="007D0F1E"/>
    <w:rsid w:val="007E68FB"/>
    <w:rsid w:val="00801BCC"/>
    <w:rsid w:val="008055A7"/>
    <w:rsid w:val="008332CB"/>
    <w:rsid w:val="00836540"/>
    <w:rsid w:val="008555B8"/>
    <w:rsid w:val="008643EA"/>
    <w:rsid w:val="0087636D"/>
    <w:rsid w:val="00881504"/>
    <w:rsid w:val="0088657E"/>
    <w:rsid w:val="008A45D9"/>
    <w:rsid w:val="008D2566"/>
    <w:rsid w:val="008D3975"/>
    <w:rsid w:val="008F44ED"/>
    <w:rsid w:val="008F73A3"/>
    <w:rsid w:val="00905BC9"/>
    <w:rsid w:val="00905E82"/>
    <w:rsid w:val="00933251"/>
    <w:rsid w:val="00934EBE"/>
    <w:rsid w:val="009373A2"/>
    <w:rsid w:val="0094708F"/>
    <w:rsid w:val="009557C8"/>
    <w:rsid w:val="00977673"/>
    <w:rsid w:val="00983500"/>
    <w:rsid w:val="00985196"/>
    <w:rsid w:val="0099067D"/>
    <w:rsid w:val="009A2D53"/>
    <w:rsid w:val="009B2370"/>
    <w:rsid w:val="009B459D"/>
    <w:rsid w:val="009B770D"/>
    <w:rsid w:val="009C542B"/>
    <w:rsid w:val="009D5804"/>
    <w:rsid w:val="009F413F"/>
    <w:rsid w:val="00A0233D"/>
    <w:rsid w:val="00A05CD5"/>
    <w:rsid w:val="00A24EFB"/>
    <w:rsid w:val="00A31D8C"/>
    <w:rsid w:val="00A34FC3"/>
    <w:rsid w:val="00A4205F"/>
    <w:rsid w:val="00A420BA"/>
    <w:rsid w:val="00A44034"/>
    <w:rsid w:val="00A72A3F"/>
    <w:rsid w:val="00A72DBE"/>
    <w:rsid w:val="00A8204C"/>
    <w:rsid w:val="00A82464"/>
    <w:rsid w:val="00AD29C0"/>
    <w:rsid w:val="00AE6055"/>
    <w:rsid w:val="00B04F23"/>
    <w:rsid w:val="00B12B84"/>
    <w:rsid w:val="00B15890"/>
    <w:rsid w:val="00B15F79"/>
    <w:rsid w:val="00B17CB5"/>
    <w:rsid w:val="00B212A5"/>
    <w:rsid w:val="00B413D0"/>
    <w:rsid w:val="00B42150"/>
    <w:rsid w:val="00B43F52"/>
    <w:rsid w:val="00B457A7"/>
    <w:rsid w:val="00B4705C"/>
    <w:rsid w:val="00B57E78"/>
    <w:rsid w:val="00B64940"/>
    <w:rsid w:val="00B70375"/>
    <w:rsid w:val="00B814FA"/>
    <w:rsid w:val="00B93391"/>
    <w:rsid w:val="00B95181"/>
    <w:rsid w:val="00B97745"/>
    <w:rsid w:val="00BD4CCC"/>
    <w:rsid w:val="00BD6C81"/>
    <w:rsid w:val="00BE5509"/>
    <w:rsid w:val="00C15CDE"/>
    <w:rsid w:val="00C320DC"/>
    <w:rsid w:val="00C34EBC"/>
    <w:rsid w:val="00C3676B"/>
    <w:rsid w:val="00C55091"/>
    <w:rsid w:val="00C642DD"/>
    <w:rsid w:val="00C74FEC"/>
    <w:rsid w:val="00C755AC"/>
    <w:rsid w:val="00C83481"/>
    <w:rsid w:val="00C8577D"/>
    <w:rsid w:val="00C91E8C"/>
    <w:rsid w:val="00C93A29"/>
    <w:rsid w:val="00CD006A"/>
    <w:rsid w:val="00D10798"/>
    <w:rsid w:val="00D16C04"/>
    <w:rsid w:val="00D5411F"/>
    <w:rsid w:val="00D72BD7"/>
    <w:rsid w:val="00DC01FF"/>
    <w:rsid w:val="00DD6B80"/>
    <w:rsid w:val="00DE3817"/>
    <w:rsid w:val="00DE7528"/>
    <w:rsid w:val="00E27E12"/>
    <w:rsid w:val="00E30B2A"/>
    <w:rsid w:val="00E31BBC"/>
    <w:rsid w:val="00E366AD"/>
    <w:rsid w:val="00E44DB1"/>
    <w:rsid w:val="00E500A9"/>
    <w:rsid w:val="00E642DA"/>
    <w:rsid w:val="00E65CE7"/>
    <w:rsid w:val="00E72D4A"/>
    <w:rsid w:val="00E741C7"/>
    <w:rsid w:val="00E75092"/>
    <w:rsid w:val="00E81610"/>
    <w:rsid w:val="00E91856"/>
    <w:rsid w:val="00E96AD0"/>
    <w:rsid w:val="00EA20D1"/>
    <w:rsid w:val="00EB70CD"/>
    <w:rsid w:val="00ED47B6"/>
    <w:rsid w:val="00EE7EAD"/>
    <w:rsid w:val="00EF138D"/>
    <w:rsid w:val="00F15D49"/>
    <w:rsid w:val="00F32813"/>
    <w:rsid w:val="00F507B9"/>
    <w:rsid w:val="00F51AEA"/>
    <w:rsid w:val="00F866FC"/>
    <w:rsid w:val="00FA2C0B"/>
    <w:rsid w:val="00FA5B1B"/>
    <w:rsid w:val="00FB663C"/>
    <w:rsid w:val="00FD44B8"/>
    <w:rsid w:val="00FE1AAA"/>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536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link w:val="HTMLPreformattedChar"/>
    <w:uiPriority w:val="99"/>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4EFB"/>
    <w:pPr>
      <w:ind w:left="720"/>
      <w:contextualSpacing/>
    </w:pPr>
  </w:style>
  <w:style w:type="character" w:customStyle="1" w:styleId="HTMLPreformattedChar">
    <w:name w:val="HTML Preformatted Char"/>
    <w:basedOn w:val="DefaultParagraphFont"/>
    <w:link w:val="HTMLPreformatted"/>
    <w:uiPriority w:val="99"/>
    <w:rsid w:val="00EB70CD"/>
    <w:rPr>
      <w:rFonts w:ascii="Courier New" w:hAnsi="Courier New" w:cs="Courier New"/>
    </w:rPr>
  </w:style>
  <w:style w:type="character" w:customStyle="1" w:styleId="gewyw5ybjeb">
    <w:name w:val="gewyw5ybjeb"/>
    <w:basedOn w:val="DefaultParagraphFont"/>
    <w:rsid w:val="00EB70CD"/>
  </w:style>
  <w:style w:type="character" w:customStyle="1" w:styleId="gewyw5ybmdb">
    <w:name w:val="gewyw5ybmdb"/>
    <w:basedOn w:val="DefaultParagraphFont"/>
    <w:rsid w:val="00EB70CD"/>
  </w:style>
  <w:style w:type="character" w:styleId="CommentReference">
    <w:name w:val="annotation reference"/>
    <w:basedOn w:val="DefaultParagraphFont"/>
    <w:rsid w:val="00E500A9"/>
    <w:rPr>
      <w:sz w:val="16"/>
      <w:szCs w:val="16"/>
    </w:rPr>
  </w:style>
  <w:style w:type="paragraph" w:styleId="CommentText">
    <w:name w:val="annotation text"/>
    <w:basedOn w:val="Normal"/>
    <w:link w:val="CommentTextChar"/>
    <w:rsid w:val="00E500A9"/>
  </w:style>
  <w:style w:type="character" w:customStyle="1" w:styleId="CommentTextChar">
    <w:name w:val="Comment Text Char"/>
    <w:basedOn w:val="DefaultParagraphFont"/>
    <w:link w:val="CommentText"/>
    <w:rsid w:val="00E500A9"/>
  </w:style>
  <w:style w:type="paragraph" w:styleId="CommentSubject">
    <w:name w:val="annotation subject"/>
    <w:basedOn w:val="CommentText"/>
    <w:next w:val="CommentText"/>
    <w:link w:val="CommentSubjectChar"/>
    <w:rsid w:val="00E500A9"/>
    <w:rPr>
      <w:b/>
      <w:bCs/>
    </w:rPr>
  </w:style>
  <w:style w:type="character" w:customStyle="1" w:styleId="CommentSubjectChar">
    <w:name w:val="Comment Subject Char"/>
    <w:basedOn w:val="CommentTextChar"/>
    <w:link w:val="CommentSubject"/>
    <w:rsid w:val="00E500A9"/>
    <w:rPr>
      <w:b/>
      <w:bCs/>
    </w:rPr>
  </w:style>
  <w:style w:type="paragraph" w:styleId="BalloonText">
    <w:name w:val="Balloon Text"/>
    <w:basedOn w:val="Normal"/>
    <w:link w:val="BalloonTextChar"/>
    <w:rsid w:val="00E500A9"/>
    <w:rPr>
      <w:rFonts w:ascii="Segoe UI" w:hAnsi="Segoe UI" w:cs="Segoe UI"/>
      <w:sz w:val="18"/>
      <w:szCs w:val="18"/>
    </w:rPr>
  </w:style>
  <w:style w:type="character" w:customStyle="1" w:styleId="BalloonTextChar">
    <w:name w:val="Balloon Text Char"/>
    <w:basedOn w:val="DefaultParagraphFont"/>
    <w:link w:val="BalloonText"/>
    <w:rsid w:val="00E500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4050">
      <w:bodyDiv w:val="1"/>
      <w:marLeft w:val="0"/>
      <w:marRight w:val="0"/>
      <w:marTop w:val="0"/>
      <w:marBottom w:val="0"/>
      <w:divBdr>
        <w:top w:val="none" w:sz="0" w:space="0" w:color="auto"/>
        <w:left w:val="none" w:sz="0" w:space="0" w:color="auto"/>
        <w:bottom w:val="none" w:sz="0" w:space="0" w:color="auto"/>
        <w:right w:val="none" w:sz="0" w:space="0" w:color="auto"/>
      </w:divBdr>
    </w:div>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330380342">
      <w:bodyDiv w:val="1"/>
      <w:marLeft w:val="0"/>
      <w:marRight w:val="0"/>
      <w:marTop w:val="0"/>
      <w:marBottom w:val="0"/>
      <w:divBdr>
        <w:top w:val="none" w:sz="0" w:space="0" w:color="auto"/>
        <w:left w:val="none" w:sz="0" w:space="0" w:color="auto"/>
        <w:bottom w:val="none" w:sz="0" w:space="0" w:color="auto"/>
        <w:right w:val="none" w:sz="0" w:space="0" w:color="auto"/>
      </w:divBdr>
    </w:div>
    <w:div w:id="386074667">
      <w:bodyDiv w:val="1"/>
      <w:marLeft w:val="0"/>
      <w:marRight w:val="0"/>
      <w:marTop w:val="0"/>
      <w:marBottom w:val="0"/>
      <w:divBdr>
        <w:top w:val="none" w:sz="0" w:space="0" w:color="auto"/>
        <w:left w:val="none" w:sz="0" w:space="0" w:color="auto"/>
        <w:bottom w:val="none" w:sz="0" w:space="0" w:color="auto"/>
        <w:right w:val="none" w:sz="0" w:space="0" w:color="auto"/>
      </w:divBdr>
    </w:div>
    <w:div w:id="569271496">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944531422">
      <w:bodyDiv w:val="1"/>
      <w:marLeft w:val="0"/>
      <w:marRight w:val="0"/>
      <w:marTop w:val="0"/>
      <w:marBottom w:val="0"/>
      <w:divBdr>
        <w:top w:val="none" w:sz="0" w:space="0" w:color="auto"/>
        <w:left w:val="none" w:sz="0" w:space="0" w:color="auto"/>
        <w:bottom w:val="none" w:sz="0" w:space="0" w:color="auto"/>
        <w:right w:val="none" w:sz="0" w:space="0" w:color="auto"/>
      </w:divBdr>
    </w:div>
    <w:div w:id="1158812172">
      <w:bodyDiv w:val="1"/>
      <w:marLeft w:val="0"/>
      <w:marRight w:val="0"/>
      <w:marTop w:val="0"/>
      <w:marBottom w:val="0"/>
      <w:divBdr>
        <w:top w:val="none" w:sz="0" w:space="0" w:color="auto"/>
        <w:left w:val="none" w:sz="0" w:space="0" w:color="auto"/>
        <w:bottom w:val="none" w:sz="0" w:space="0" w:color="auto"/>
        <w:right w:val="none" w:sz="0" w:space="0" w:color="auto"/>
      </w:divBdr>
    </w:div>
    <w:div w:id="1498767585">
      <w:bodyDiv w:val="1"/>
      <w:marLeft w:val="0"/>
      <w:marRight w:val="0"/>
      <w:marTop w:val="0"/>
      <w:marBottom w:val="0"/>
      <w:divBdr>
        <w:top w:val="none" w:sz="0" w:space="0" w:color="auto"/>
        <w:left w:val="none" w:sz="0" w:space="0" w:color="auto"/>
        <w:bottom w:val="none" w:sz="0" w:space="0" w:color="auto"/>
        <w:right w:val="none" w:sz="0" w:space="0" w:color="auto"/>
      </w:divBdr>
    </w:div>
    <w:div w:id="1828084155">
      <w:bodyDiv w:val="1"/>
      <w:marLeft w:val="0"/>
      <w:marRight w:val="0"/>
      <w:marTop w:val="0"/>
      <w:marBottom w:val="0"/>
      <w:divBdr>
        <w:top w:val="none" w:sz="0" w:space="0" w:color="auto"/>
        <w:left w:val="none" w:sz="0" w:space="0" w:color="auto"/>
        <w:bottom w:val="none" w:sz="0" w:space="0" w:color="auto"/>
        <w:right w:val="none" w:sz="0" w:space="0" w:color="auto"/>
      </w:divBdr>
    </w:div>
    <w:div w:id="1923953425">
      <w:bodyDiv w:val="1"/>
      <w:marLeft w:val="0"/>
      <w:marRight w:val="0"/>
      <w:marTop w:val="0"/>
      <w:marBottom w:val="0"/>
      <w:divBdr>
        <w:top w:val="none" w:sz="0" w:space="0" w:color="auto"/>
        <w:left w:val="none" w:sz="0" w:space="0" w:color="auto"/>
        <w:bottom w:val="none" w:sz="0" w:space="0" w:color="auto"/>
        <w:right w:val="none" w:sz="0" w:space="0" w:color="auto"/>
      </w:divBdr>
    </w:div>
    <w:div w:id="2009551413">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3144</Words>
  <Characters>17927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2015-01-20T01:57:00Z</dcterms:created>
  <dcterms:modified xsi:type="dcterms:W3CDTF">2015-01-20T01:57:00Z</dcterms:modified>
</cp:coreProperties>
</file>