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E9D80" w14:textId="77777777" w:rsidR="00C93A29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518</w:t>
      </w:r>
      <w:r w:rsidR="00C93A29" w:rsidRPr="0036127B">
        <w:rPr>
          <w:b/>
          <w:color w:val="000000"/>
          <w:sz w:val="22"/>
          <w:szCs w:val="22"/>
        </w:rPr>
        <w:t xml:space="preserve">: </w:t>
      </w:r>
      <w:r>
        <w:rPr>
          <w:b/>
          <w:color w:val="000000"/>
          <w:sz w:val="22"/>
          <w:szCs w:val="22"/>
        </w:rPr>
        <w:t>Applied Biostatistics II</w:t>
      </w:r>
    </w:p>
    <w:p w14:paraId="186D0D25" w14:textId="77777777" w:rsidR="002F0282" w:rsidRPr="0036127B" w:rsidRDefault="002F0282" w:rsidP="002F0282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Biost 515: Biostatistics II</w:t>
      </w:r>
    </w:p>
    <w:p w14:paraId="2A9E0F85" w14:textId="77777777" w:rsidR="00C93A29" w:rsidRPr="0036127B" w:rsidRDefault="004D1292" w:rsidP="002F028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Emerson, </w:t>
      </w:r>
      <w:r w:rsidR="00B95181">
        <w:rPr>
          <w:color w:val="000000"/>
          <w:sz w:val="22"/>
          <w:szCs w:val="22"/>
        </w:rPr>
        <w:t>Winter 2015</w:t>
      </w:r>
    </w:p>
    <w:p w14:paraId="0CC63B4F" w14:textId="77777777" w:rsidR="00C93A29" w:rsidRPr="0036127B" w:rsidRDefault="00C93A29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2BDDFEF2" w14:textId="77777777" w:rsidR="00C93A29" w:rsidRPr="0036127B" w:rsidRDefault="002F0282" w:rsidP="00C93A29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Homework #1</w:t>
      </w:r>
    </w:p>
    <w:p w14:paraId="7E8A5B0F" w14:textId="77777777" w:rsidR="00C93A29" w:rsidRPr="0036127B" w:rsidRDefault="00B95181" w:rsidP="00C93A29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January 5, 2015</w:t>
      </w:r>
    </w:p>
    <w:p w14:paraId="1CD443CA" w14:textId="77777777" w:rsidR="00C93A29" w:rsidRPr="0036127B" w:rsidRDefault="00C93A29" w:rsidP="00410B8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14:paraId="5FCDCEEE" w14:textId="77777777" w:rsidR="00762DE6" w:rsidRDefault="00762DE6" w:rsidP="00C55091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The observations of time to death in this data are subject to (right) censoring. Nevertheless, problems </w:t>
      </w:r>
      <w:r w:rsidR="00B457A7" w:rsidRPr="009D5804">
        <w:rPr>
          <w:sz w:val="22"/>
          <w:szCs w:val="22"/>
        </w:rPr>
        <w:t>2</w:t>
      </w:r>
      <w:r w:rsidRPr="009D5804">
        <w:rPr>
          <w:sz w:val="22"/>
          <w:szCs w:val="22"/>
        </w:rPr>
        <w:t xml:space="preserve"> –</w:t>
      </w:r>
      <w:r w:rsidR="009D5804" w:rsidRPr="009D5804">
        <w:rPr>
          <w:sz w:val="22"/>
          <w:szCs w:val="22"/>
        </w:rPr>
        <w:t xml:space="preserve"> 6</w:t>
      </w:r>
      <w:r w:rsidRPr="009D5804">
        <w:rPr>
          <w:sz w:val="22"/>
          <w:szCs w:val="22"/>
        </w:rPr>
        <w:t xml:space="preserve"> ask you to dichotomize the time to d</w:t>
      </w:r>
      <w:r w:rsidR="00B95181">
        <w:rPr>
          <w:sz w:val="22"/>
          <w:szCs w:val="22"/>
        </w:rPr>
        <w:t>eath according to death within 4</w:t>
      </w:r>
      <w:r w:rsidRPr="009D5804">
        <w:rPr>
          <w:sz w:val="22"/>
          <w:szCs w:val="22"/>
        </w:rPr>
        <w:t xml:space="preserve"> years of study en</w:t>
      </w:r>
      <w:r w:rsidR="00B95181">
        <w:rPr>
          <w:sz w:val="22"/>
          <w:szCs w:val="22"/>
        </w:rPr>
        <w:t>rolment or death after 4</w:t>
      </w:r>
      <w:r w:rsidRPr="009D5804">
        <w:rPr>
          <w:sz w:val="22"/>
          <w:szCs w:val="22"/>
        </w:rPr>
        <w:t xml:space="preserve"> years. Why is this valid? Provide </w:t>
      </w:r>
      <w:r w:rsidR="00261CFB" w:rsidRPr="009D5804">
        <w:rPr>
          <w:sz w:val="22"/>
          <w:szCs w:val="22"/>
        </w:rPr>
        <w:t>descriptive statistics</w:t>
      </w:r>
      <w:r w:rsidRPr="009D5804">
        <w:rPr>
          <w:sz w:val="22"/>
          <w:szCs w:val="22"/>
        </w:rPr>
        <w:t xml:space="preserve"> that support your answer.</w:t>
      </w:r>
    </w:p>
    <w:p w14:paraId="5C4B6A49" w14:textId="0DA37ECF" w:rsidR="008A4887" w:rsidRPr="00EA094E" w:rsidRDefault="00575047" w:rsidP="008A4887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A094E">
        <w:rPr>
          <w:color w:val="0000FF"/>
          <w:sz w:val="22"/>
          <w:szCs w:val="22"/>
        </w:rPr>
        <w:t xml:space="preserve">The minimum time of follow up of censored observations </w:t>
      </w:r>
      <w:r w:rsidR="00EA094E" w:rsidRPr="00EA094E">
        <w:rPr>
          <w:color w:val="0000FF"/>
          <w:sz w:val="22"/>
          <w:szCs w:val="22"/>
        </w:rPr>
        <w:t xml:space="preserve">in this study </w:t>
      </w:r>
      <w:r w:rsidRPr="00EA094E">
        <w:rPr>
          <w:color w:val="0000FF"/>
          <w:sz w:val="22"/>
          <w:szCs w:val="22"/>
        </w:rPr>
        <w:t xml:space="preserve">is 1,480 </w:t>
      </w:r>
      <w:r w:rsidR="00EA094E" w:rsidRPr="00EA094E">
        <w:rPr>
          <w:color w:val="0000FF"/>
          <w:sz w:val="22"/>
          <w:szCs w:val="22"/>
        </w:rPr>
        <w:t>days,</w:t>
      </w:r>
      <w:r w:rsidRPr="00EA094E">
        <w:rPr>
          <w:color w:val="0000FF"/>
          <w:sz w:val="22"/>
          <w:szCs w:val="22"/>
        </w:rPr>
        <w:t xml:space="preserve"> which is slightly over 4 years. This means that the status of all individuals </w:t>
      </w:r>
      <w:r w:rsidR="00EA094E" w:rsidRPr="00EA094E">
        <w:rPr>
          <w:color w:val="0000FF"/>
          <w:sz w:val="22"/>
          <w:szCs w:val="22"/>
        </w:rPr>
        <w:t xml:space="preserve">since enrollment was known up to 4 years of follow up. </w:t>
      </w:r>
      <w:r w:rsidR="008A4887" w:rsidRPr="00EA094E">
        <w:rPr>
          <w:color w:val="0000FF"/>
          <w:sz w:val="22"/>
          <w:szCs w:val="22"/>
        </w:rPr>
        <w:t xml:space="preserve">It is therefore valid to </w:t>
      </w:r>
      <w:r w:rsidR="008A4887">
        <w:rPr>
          <w:color w:val="0000FF"/>
          <w:sz w:val="22"/>
          <w:szCs w:val="22"/>
        </w:rPr>
        <w:t>dichotomize the variable “time to dea</w:t>
      </w:r>
      <w:r w:rsidR="00B52D9C">
        <w:rPr>
          <w:color w:val="0000FF"/>
          <w:sz w:val="22"/>
          <w:szCs w:val="22"/>
        </w:rPr>
        <w:t xml:space="preserve">th” into death within 4 years and those who survived </w:t>
      </w:r>
      <w:r w:rsidR="00892DBB">
        <w:rPr>
          <w:color w:val="0000FF"/>
          <w:sz w:val="22"/>
          <w:szCs w:val="22"/>
        </w:rPr>
        <w:t xml:space="preserve">beyond </w:t>
      </w:r>
      <w:r w:rsidR="00B52D9C">
        <w:rPr>
          <w:color w:val="0000FF"/>
          <w:sz w:val="22"/>
          <w:szCs w:val="22"/>
        </w:rPr>
        <w:t>4 years.</w:t>
      </w:r>
    </w:p>
    <w:p w14:paraId="75887C64" w14:textId="593EE105" w:rsidR="00EA094E" w:rsidRPr="00EA094E" w:rsidRDefault="00EA094E" w:rsidP="00A27397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</w:p>
    <w:p w14:paraId="1018F2CE" w14:textId="77777777" w:rsidR="00261CFB" w:rsidRDefault="00762DE6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>Provide a suitable descriptive statistical analysis for selected variables in this</w:t>
      </w:r>
      <w:r w:rsidR="00261CFB" w:rsidRPr="009D5804">
        <w:rPr>
          <w:sz w:val="22"/>
          <w:szCs w:val="22"/>
        </w:rPr>
        <w:t xml:space="preserve"> dataset as might be presented in T</w:t>
      </w:r>
      <w:r w:rsidRPr="009D5804">
        <w:rPr>
          <w:sz w:val="22"/>
          <w:szCs w:val="22"/>
        </w:rPr>
        <w:t xml:space="preserve">able 1 of a manuscript exploring the association between serum </w:t>
      </w:r>
      <w:r w:rsidR="00B95181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</w:t>
      </w:r>
      <w:r w:rsidR="00261CFB" w:rsidRPr="009D5804">
        <w:rPr>
          <w:sz w:val="22"/>
          <w:szCs w:val="22"/>
        </w:rPr>
        <w:t xml:space="preserve"> in the medical literature. </w:t>
      </w:r>
      <w:r w:rsidRPr="009D5804">
        <w:rPr>
          <w:sz w:val="22"/>
          <w:szCs w:val="22"/>
        </w:rPr>
        <w:t xml:space="preserve">In </w:t>
      </w:r>
      <w:r w:rsidR="003F5F38">
        <w:rPr>
          <w:sz w:val="22"/>
          <w:szCs w:val="22"/>
        </w:rPr>
        <w:t>addition</w:t>
      </w:r>
      <w:r w:rsidRPr="009D5804">
        <w:rPr>
          <w:sz w:val="22"/>
          <w:szCs w:val="22"/>
        </w:rPr>
        <w:t xml:space="preserve"> to the two variables of primary interest, you may restrict attention to age, sex, </w:t>
      </w:r>
      <w:r w:rsidR="003F5F38">
        <w:rPr>
          <w:sz w:val="22"/>
          <w:szCs w:val="22"/>
        </w:rPr>
        <w:t>BMI</w:t>
      </w:r>
      <w:r w:rsidR="00C55091" w:rsidRPr="009D5804">
        <w:rPr>
          <w:sz w:val="22"/>
          <w:szCs w:val="22"/>
        </w:rPr>
        <w:t xml:space="preserve">, smoking history, </w:t>
      </w:r>
      <w:r w:rsidR="003F5F38">
        <w:rPr>
          <w:sz w:val="22"/>
          <w:szCs w:val="22"/>
        </w:rPr>
        <w:t xml:space="preserve">cholesterol, </w:t>
      </w:r>
      <w:r w:rsidR="00C55091" w:rsidRPr="009D5804">
        <w:rPr>
          <w:sz w:val="22"/>
          <w:szCs w:val="22"/>
        </w:rPr>
        <w:t>and prior history of cardiovascular disease.</w:t>
      </w:r>
    </w:p>
    <w:p w14:paraId="282780A9" w14:textId="77777777" w:rsidR="00DE1A4A" w:rsidRPr="00831C8F" w:rsidRDefault="00DE1A4A" w:rsidP="003C2044">
      <w:pPr>
        <w:autoSpaceDE w:val="0"/>
        <w:autoSpaceDN w:val="0"/>
        <w:adjustRightInd w:val="0"/>
        <w:spacing w:after="120"/>
        <w:ind w:left="720"/>
        <w:rPr>
          <w:b/>
          <w:color w:val="0000FF"/>
          <w:sz w:val="22"/>
          <w:szCs w:val="22"/>
          <w:u w:val="single"/>
        </w:rPr>
      </w:pPr>
      <w:r w:rsidRPr="00831C8F">
        <w:rPr>
          <w:b/>
          <w:color w:val="0000FF"/>
          <w:sz w:val="22"/>
          <w:szCs w:val="22"/>
          <w:u w:val="single"/>
        </w:rPr>
        <w:t>Methods:</w:t>
      </w:r>
    </w:p>
    <w:p w14:paraId="5F34F1E3" w14:textId="0F38FBC7" w:rsidR="00291996" w:rsidRDefault="008A4887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An additional indicator variable </w:t>
      </w:r>
      <w:r w:rsidR="00E93015">
        <w:rPr>
          <w:color w:val="0000FF"/>
          <w:sz w:val="22"/>
          <w:szCs w:val="22"/>
        </w:rPr>
        <w:t>“</w:t>
      </w:r>
      <w:r>
        <w:rPr>
          <w:color w:val="0000FF"/>
          <w:sz w:val="22"/>
          <w:szCs w:val="22"/>
        </w:rPr>
        <w:t>death within 4 years</w:t>
      </w:r>
      <w:r w:rsidR="00E93015">
        <w:rPr>
          <w:color w:val="0000FF"/>
          <w:sz w:val="22"/>
          <w:szCs w:val="22"/>
        </w:rPr>
        <w:t>”</w:t>
      </w:r>
      <w:r>
        <w:rPr>
          <w:color w:val="0000FF"/>
          <w:sz w:val="22"/>
          <w:szCs w:val="22"/>
        </w:rPr>
        <w:t xml:space="preserve"> was created</w:t>
      </w:r>
      <w:r w:rsidR="00E93015">
        <w:rPr>
          <w:color w:val="0000FF"/>
          <w:sz w:val="22"/>
          <w:szCs w:val="22"/>
        </w:rPr>
        <w:t xml:space="preserve"> in addition to the variables </w:t>
      </w:r>
      <w:r w:rsidR="00460836">
        <w:rPr>
          <w:color w:val="0000FF"/>
          <w:sz w:val="22"/>
          <w:szCs w:val="22"/>
        </w:rPr>
        <w:t>with</w:t>
      </w:r>
      <w:r w:rsidR="00E93015">
        <w:rPr>
          <w:color w:val="0000FF"/>
          <w:sz w:val="22"/>
          <w:szCs w:val="22"/>
        </w:rPr>
        <w:t>in the data set</w:t>
      </w:r>
      <w:r>
        <w:rPr>
          <w:color w:val="0000FF"/>
          <w:sz w:val="22"/>
          <w:szCs w:val="22"/>
        </w:rPr>
        <w:t xml:space="preserve">. </w:t>
      </w:r>
      <w:r w:rsidR="00E93015">
        <w:rPr>
          <w:color w:val="0000FF"/>
          <w:sz w:val="22"/>
          <w:szCs w:val="22"/>
        </w:rPr>
        <w:t xml:space="preserve">The predictor of interest – serum blood levels of C reactive protein (CRP) was categorized into three groups; less than 1mg/L, 1-3 mg/L and above 3mg/L. </w:t>
      </w:r>
      <w:r w:rsidR="001F3F50">
        <w:rPr>
          <w:color w:val="0000FF"/>
          <w:sz w:val="22"/>
          <w:szCs w:val="22"/>
        </w:rPr>
        <w:t>D</w:t>
      </w:r>
      <w:r>
        <w:rPr>
          <w:color w:val="0000FF"/>
          <w:sz w:val="22"/>
          <w:szCs w:val="22"/>
        </w:rPr>
        <w:t xml:space="preserve">escriptive statistics </w:t>
      </w:r>
      <w:r w:rsidR="00E93015">
        <w:rPr>
          <w:color w:val="0000FF"/>
          <w:sz w:val="22"/>
          <w:szCs w:val="22"/>
        </w:rPr>
        <w:t xml:space="preserve">that included </w:t>
      </w:r>
      <w:r w:rsidR="00460836">
        <w:rPr>
          <w:color w:val="0000FF"/>
          <w:sz w:val="22"/>
          <w:szCs w:val="22"/>
        </w:rPr>
        <w:t>the main outcome mortality defined as a categorical variable “death within 4 years”</w:t>
      </w:r>
      <w:r w:rsidR="00E93015">
        <w:rPr>
          <w:color w:val="0000FF"/>
          <w:sz w:val="22"/>
          <w:szCs w:val="22"/>
        </w:rPr>
        <w:t xml:space="preserve"> and </w:t>
      </w:r>
      <w:r w:rsidR="00892DBB">
        <w:rPr>
          <w:color w:val="0000FF"/>
          <w:sz w:val="22"/>
          <w:szCs w:val="22"/>
        </w:rPr>
        <w:t xml:space="preserve">population characteristics such as age, cholesterol blood </w:t>
      </w:r>
      <w:r w:rsidR="00E93015">
        <w:rPr>
          <w:color w:val="0000FF"/>
          <w:sz w:val="22"/>
          <w:szCs w:val="22"/>
        </w:rPr>
        <w:t>levels, body mass index, sex, s</w:t>
      </w:r>
      <w:r w:rsidR="00892DBB">
        <w:rPr>
          <w:color w:val="0000FF"/>
          <w:sz w:val="22"/>
          <w:szCs w:val="22"/>
        </w:rPr>
        <w:t>m</w:t>
      </w:r>
      <w:r w:rsidR="00E93015">
        <w:rPr>
          <w:color w:val="0000FF"/>
          <w:sz w:val="22"/>
          <w:szCs w:val="22"/>
        </w:rPr>
        <w:t>o</w:t>
      </w:r>
      <w:r w:rsidR="00892DBB">
        <w:rPr>
          <w:color w:val="0000FF"/>
          <w:sz w:val="22"/>
          <w:szCs w:val="22"/>
        </w:rPr>
        <w:t xml:space="preserve">king status and </w:t>
      </w:r>
      <w:r w:rsidR="00E93015">
        <w:rPr>
          <w:color w:val="0000FF"/>
          <w:sz w:val="22"/>
          <w:szCs w:val="22"/>
        </w:rPr>
        <w:t xml:space="preserve">prior history of cardiovascular disease were reported </w:t>
      </w:r>
      <w:r w:rsidR="000B5A49">
        <w:rPr>
          <w:color w:val="0000FF"/>
          <w:sz w:val="22"/>
          <w:szCs w:val="22"/>
        </w:rPr>
        <w:t xml:space="preserve">within </w:t>
      </w:r>
      <w:r w:rsidR="00E93015">
        <w:rPr>
          <w:color w:val="0000FF"/>
          <w:sz w:val="22"/>
          <w:szCs w:val="22"/>
        </w:rPr>
        <w:t xml:space="preserve">each CRP subgroup and </w:t>
      </w:r>
      <w:r w:rsidR="00460836">
        <w:rPr>
          <w:color w:val="0000FF"/>
          <w:sz w:val="22"/>
          <w:szCs w:val="22"/>
        </w:rPr>
        <w:t xml:space="preserve">for the </w:t>
      </w:r>
      <w:r w:rsidR="00E93015">
        <w:rPr>
          <w:color w:val="0000FF"/>
          <w:sz w:val="22"/>
          <w:szCs w:val="22"/>
        </w:rPr>
        <w:t xml:space="preserve">total sample. </w:t>
      </w:r>
      <w:r w:rsidR="00291996">
        <w:rPr>
          <w:color w:val="0000FF"/>
          <w:sz w:val="22"/>
          <w:szCs w:val="22"/>
        </w:rPr>
        <w:t>W</w:t>
      </w:r>
      <w:r w:rsidR="00E93015">
        <w:rPr>
          <w:color w:val="0000FF"/>
          <w:sz w:val="22"/>
          <w:szCs w:val="22"/>
        </w:rPr>
        <w:t xml:space="preserve">e reported </w:t>
      </w:r>
      <w:r w:rsidR="00291996">
        <w:rPr>
          <w:color w:val="0000FF"/>
          <w:sz w:val="22"/>
          <w:szCs w:val="22"/>
        </w:rPr>
        <w:t>the mean, standard deviation, minimum and maximum for continuous variables like age in years, cholesterol blood levels (mg/dl) and body mass index</w:t>
      </w:r>
      <w:r w:rsidR="00E93015">
        <w:rPr>
          <w:color w:val="0000FF"/>
          <w:sz w:val="22"/>
          <w:szCs w:val="22"/>
        </w:rPr>
        <w:t xml:space="preserve"> and </w:t>
      </w:r>
      <w:r w:rsidR="00291996">
        <w:rPr>
          <w:color w:val="0000FF"/>
          <w:sz w:val="22"/>
          <w:szCs w:val="22"/>
        </w:rPr>
        <w:t>percentages for binary variables such as sex (male), smoking status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>, prior history of cardiovascular disease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 xml:space="preserve"> and death within 4 years</w:t>
      </w:r>
      <w:r w:rsidR="00460836">
        <w:rPr>
          <w:color w:val="0000FF"/>
          <w:sz w:val="22"/>
          <w:szCs w:val="22"/>
        </w:rPr>
        <w:t xml:space="preserve"> (Yes)</w:t>
      </w:r>
      <w:r w:rsidR="00291996">
        <w:rPr>
          <w:color w:val="0000FF"/>
          <w:sz w:val="22"/>
          <w:szCs w:val="22"/>
        </w:rPr>
        <w:t>.</w:t>
      </w:r>
    </w:p>
    <w:p w14:paraId="3EBFF3B7" w14:textId="0D308143" w:rsidR="00067101" w:rsidRPr="00291996" w:rsidRDefault="00067101" w:rsidP="00291996">
      <w:pPr>
        <w:autoSpaceDE w:val="0"/>
        <w:autoSpaceDN w:val="0"/>
        <w:adjustRightInd w:val="0"/>
        <w:spacing w:after="120"/>
        <w:ind w:left="720"/>
        <w:rPr>
          <w:b/>
          <w:color w:val="0000FF"/>
          <w:sz w:val="22"/>
          <w:szCs w:val="22"/>
          <w:u w:val="single"/>
        </w:rPr>
      </w:pPr>
      <w:r w:rsidRPr="00291996">
        <w:rPr>
          <w:b/>
          <w:color w:val="0000FF"/>
          <w:sz w:val="22"/>
          <w:szCs w:val="22"/>
          <w:u w:val="single"/>
        </w:rPr>
        <w:t>Results:</w:t>
      </w:r>
    </w:p>
    <w:p w14:paraId="4403B2E8" w14:textId="37CD4C6D" w:rsidR="009556DE" w:rsidRDefault="00EA094E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31C8F">
        <w:rPr>
          <w:color w:val="0000FF"/>
          <w:sz w:val="22"/>
          <w:szCs w:val="22"/>
        </w:rPr>
        <w:t>The s</w:t>
      </w:r>
      <w:r w:rsidR="003C2044" w:rsidRPr="00831C8F">
        <w:rPr>
          <w:color w:val="0000FF"/>
          <w:sz w:val="22"/>
          <w:szCs w:val="22"/>
        </w:rPr>
        <w:t xml:space="preserve">ample size </w:t>
      </w:r>
      <w:r w:rsidRPr="00831C8F">
        <w:rPr>
          <w:color w:val="0000FF"/>
          <w:sz w:val="22"/>
          <w:szCs w:val="22"/>
        </w:rPr>
        <w:t xml:space="preserve">for this study </w:t>
      </w:r>
      <w:r w:rsidR="003C2044" w:rsidRPr="00831C8F">
        <w:rPr>
          <w:color w:val="0000FF"/>
          <w:sz w:val="22"/>
          <w:szCs w:val="22"/>
        </w:rPr>
        <w:t>is 5,000</w:t>
      </w:r>
      <w:r w:rsidRPr="00831C8F">
        <w:rPr>
          <w:color w:val="0000FF"/>
          <w:sz w:val="22"/>
          <w:szCs w:val="22"/>
        </w:rPr>
        <w:t>,</w:t>
      </w:r>
      <w:r w:rsidR="003C2044" w:rsidRPr="00831C8F">
        <w:rPr>
          <w:color w:val="0000FF"/>
          <w:sz w:val="22"/>
          <w:szCs w:val="22"/>
        </w:rPr>
        <w:t xml:space="preserve"> however </w:t>
      </w:r>
      <w:r w:rsidR="00E93015">
        <w:rPr>
          <w:color w:val="0000FF"/>
          <w:sz w:val="22"/>
          <w:szCs w:val="22"/>
        </w:rPr>
        <w:t>67 subjects had</w:t>
      </w:r>
      <w:r w:rsidR="009556DE">
        <w:rPr>
          <w:color w:val="0000FF"/>
          <w:sz w:val="22"/>
          <w:szCs w:val="22"/>
        </w:rPr>
        <w:t xml:space="preserve"> missing </w:t>
      </w:r>
      <w:r w:rsidR="003C2044" w:rsidRPr="00831C8F">
        <w:rPr>
          <w:color w:val="0000FF"/>
          <w:sz w:val="22"/>
          <w:szCs w:val="22"/>
        </w:rPr>
        <w:t>C</w:t>
      </w:r>
      <w:r w:rsidRPr="00831C8F">
        <w:rPr>
          <w:color w:val="0000FF"/>
          <w:sz w:val="22"/>
          <w:szCs w:val="22"/>
        </w:rPr>
        <w:t xml:space="preserve"> reactive protein</w:t>
      </w:r>
      <w:r w:rsidR="00FE07F7">
        <w:rPr>
          <w:color w:val="0000FF"/>
          <w:sz w:val="22"/>
          <w:szCs w:val="22"/>
        </w:rPr>
        <w:t xml:space="preserve"> (CRP)</w:t>
      </w:r>
      <w:r w:rsidR="009556DE">
        <w:rPr>
          <w:color w:val="0000FF"/>
          <w:sz w:val="22"/>
          <w:szCs w:val="22"/>
        </w:rPr>
        <w:t xml:space="preserve"> measurements</w:t>
      </w:r>
      <w:r w:rsidR="001F12CE">
        <w:rPr>
          <w:color w:val="0000FF"/>
          <w:sz w:val="22"/>
          <w:szCs w:val="22"/>
        </w:rPr>
        <w:t>, 11 of whom were</w:t>
      </w:r>
      <w:r w:rsidR="009556DE">
        <w:rPr>
          <w:color w:val="0000FF"/>
          <w:sz w:val="22"/>
          <w:szCs w:val="22"/>
        </w:rPr>
        <w:t xml:space="preserve"> </w:t>
      </w:r>
      <w:r w:rsidR="00E93015">
        <w:rPr>
          <w:color w:val="0000FF"/>
          <w:sz w:val="22"/>
          <w:szCs w:val="22"/>
        </w:rPr>
        <w:t>d</w:t>
      </w:r>
      <w:r w:rsidR="009556DE">
        <w:rPr>
          <w:color w:val="0000FF"/>
          <w:sz w:val="22"/>
          <w:szCs w:val="22"/>
        </w:rPr>
        <w:t>e</w:t>
      </w:r>
      <w:r w:rsidR="00E93015">
        <w:rPr>
          <w:color w:val="0000FF"/>
          <w:sz w:val="22"/>
          <w:szCs w:val="22"/>
        </w:rPr>
        <w:t>a</w:t>
      </w:r>
      <w:r w:rsidR="009556DE">
        <w:rPr>
          <w:color w:val="0000FF"/>
          <w:sz w:val="22"/>
          <w:szCs w:val="22"/>
        </w:rPr>
        <w:t xml:space="preserve">d within 4 years. </w:t>
      </w:r>
      <w:r w:rsidR="001F12CE">
        <w:rPr>
          <w:color w:val="0000FF"/>
          <w:sz w:val="22"/>
          <w:szCs w:val="22"/>
        </w:rPr>
        <w:t>We excluded CRP missing data from all analysis, and</w:t>
      </w:r>
      <w:r w:rsidR="003D5EE6">
        <w:rPr>
          <w:color w:val="0000FF"/>
          <w:sz w:val="22"/>
          <w:szCs w:val="22"/>
        </w:rPr>
        <w:t xml:space="preserve"> in addition</w:t>
      </w:r>
      <w:r w:rsidR="001F12CE">
        <w:rPr>
          <w:color w:val="0000FF"/>
          <w:sz w:val="22"/>
          <w:szCs w:val="22"/>
        </w:rPr>
        <w:t xml:space="preserve"> the remaining missing data for the three variables of interest such as BMI, smokers and cholesterol levels which had 13, 6 and 3 missing values respectively. </w:t>
      </w:r>
      <w:r w:rsidR="003D5EE6">
        <w:rPr>
          <w:color w:val="0000FF"/>
          <w:sz w:val="22"/>
          <w:szCs w:val="22"/>
        </w:rPr>
        <w:t>Of note BMI missing data had an additional four dead within 4 years.</w:t>
      </w:r>
      <w:r w:rsidR="001F12CE">
        <w:rPr>
          <w:color w:val="0000FF"/>
          <w:sz w:val="22"/>
          <w:szCs w:val="22"/>
        </w:rPr>
        <w:t xml:space="preserve"> </w:t>
      </w:r>
      <w:r w:rsidR="003D5EE6">
        <w:rPr>
          <w:color w:val="0000FF"/>
          <w:sz w:val="22"/>
          <w:szCs w:val="22"/>
        </w:rPr>
        <w:t>Because of</w:t>
      </w:r>
      <w:r w:rsidR="00D70523">
        <w:rPr>
          <w:color w:val="0000FF"/>
          <w:sz w:val="22"/>
          <w:szCs w:val="22"/>
        </w:rPr>
        <w:t xml:space="preserve"> the</w:t>
      </w:r>
      <w:r w:rsidR="003D5EE6">
        <w:rPr>
          <w:color w:val="0000FF"/>
          <w:sz w:val="22"/>
          <w:szCs w:val="22"/>
        </w:rPr>
        <w:t xml:space="preserve"> exclusion of all missing data, we will </w:t>
      </w:r>
      <w:r w:rsidR="00D70523">
        <w:rPr>
          <w:color w:val="0000FF"/>
          <w:sz w:val="22"/>
          <w:szCs w:val="22"/>
        </w:rPr>
        <w:t>not be able to assess its</w:t>
      </w:r>
      <w:r w:rsidR="001F3F50">
        <w:rPr>
          <w:color w:val="0000FF"/>
          <w:sz w:val="22"/>
          <w:szCs w:val="22"/>
        </w:rPr>
        <w:t xml:space="preserve"> impact </w:t>
      </w:r>
      <w:r w:rsidR="009556DE">
        <w:rPr>
          <w:color w:val="0000FF"/>
          <w:sz w:val="22"/>
          <w:szCs w:val="22"/>
        </w:rPr>
        <w:t xml:space="preserve">on </w:t>
      </w:r>
      <w:r w:rsidR="003D5EE6">
        <w:rPr>
          <w:color w:val="0000FF"/>
          <w:sz w:val="22"/>
          <w:szCs w:val="22"/>
        </w:rPr>
        <w:t xml:space="preserve">the </w:t>
      </w:r>
      <w:r w:rsidR="009556DE">
        <w:rPr>
          <w:color w:val="0000FF"/>
          <w:sz w:val="22"/>
          <w:szCs w:val="22"/>
        </w:rPr>
        <w:t>study generalizability.</w:t>
      </w:r>
    </w:p>
    <w:p w14:paraId="3C608745" w14:textId="557122D7" w:rsidR="00FE07F7" w:rsidRDefault="001F3F50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Out of </w:t>
      </w:r>
      <w:r w:rsidR="003D5EE6">
        <w:rPr>
          <w:color w:val="0000FF"/>
          <w:sz w:val="22"/>
          <w:szCs w:val="22"/>
        </w:rPr>
        <w:t xml:space="preserve">the </w:t>
      </w:r>
      <w:r w:rsidR="003D5EE6" w:rsidRPr="003D5EE6">
        <w:rPr>
          <w:color w:val="0000FF"/>
          <w:sz w:val="22"/>
          <w:szCs w:val="22"/>
        </w:rPr>
        <w:t xml:space="preserve">4,911 </w:t>
      </w:r>
      <w:r w:rsidR="00EA094E" w:rsidRPr="00831C8F">
        <w:rPr>
          <w:color w:val="0000FF"/>
          <w:sz w:val="22"/>
          <w:szCs w:val="22"/>
        </w:rPr>
        <w:t>subjects</w:t>
      </w:r>
      <w:r w:rsidR="003D5EE6">
        <w:rPr>
          <w:color w:val="0000FF"/>
          <w:sz w:val="22"/>
          <w:szCs w:val="22"/>
        </w:rPr>
        <w:t xml:space="preserve"> analyzed</w:t>
      </w:r>
      <w:r>
        <w:rPr>
          <w:color w:val="0000FF"/>
          <w:sz w:val="22"/>
          <w:szCs w:val="22"/>
        </w:rPr>
        <w:t xml:space="preserve">, </w:t>
      </w:r>
      <w:r w:rsidR="003D5EE6" w:rsidRPr="003D5EE6">
        <w:rPr>
          <w:color w:val="0000FF"/>
          <w:sz w:val="22"/>
          <w:szCs w:val="22"/>
        </w:rPr>
        <w:t>426</w:t>
      </w:r>
      <w:r w:rsidR="003D5EE6">
        <w:rPr>
          <w:color w:val="0000FF"/>
          <w:sz w:val="22"/>
          <w:szCs w:val="22"/>
        </w:rPr>
        <w:t xml:space="preserve"> (8.7%)</w:t>
      </w:r>
      <w:r w:rsidRPr="001F3F50">
        <w:rPr>
          <w:color w:val="0000FF"/>
          <w:sz w:val="22"/>
          <w:szCs w:val="22"/>
        </w:rPr>
        <w:t xml:space="preserve"> had CRP measurements below 1mg/L, </w:t>
      </w:r>
      <w:r w:rsidR="003D5EE6" w:rsidRPr="003D5EE6">
        <w:rPr>
          <w:color w:val="0000FF"/>
          <w:sz w:val="22"/>
          <w:szCs w:val="22"/>
        </w:rPr>
        <w:t>2,615</w:t>
      </w:r>
      <w:r w:rsidRPr="001F3F50">
        <w:rPr>
          <w:color w:val="0000FF"/>
          <w:sz w:val="22"/>
          <w:szCs w:val="22"/>
        </w:rPr>
        <w:t xml:space="preserve"> </w:t>
      </w:r>
      <w:r w:rsidR="003D5EE6">
        <w:rPr>
          <w:color w:val="0000FF"/>
          <w:sz w:val="22"/>
          <w:szCs w:val="22"/>
        </w:rPr>
        <w:t xml:space="preserve">(53.3%) </w:t>
      </w:r>
      <w:r w:rsidRPr="001F3F50">
        <w:rPr>
          <w:color w:val="0000FF"/>
          <w:sz w:val="22"/>
          <w:szCs w:val="22"/>
        </w:rPr>
        <w:t xml:space="preserve">between 1 and 3 mg/L and </w:t>
      </w:r>
      <w:r w:rsidR="003D5EE6" w:rsidRPr="003D5EE6">
        <w:rPr>
          <w:color w:val="0000FF"/>
          <w:sz w:val="22"/>
          <w:szCs w:val="22"/>
        </w:rPr>
        <w:t>1,870</w:t>
      </w:r>
      <w:r w:rsidR="003D5EE6">
        <w:rPr>
          <w:color w:val="0000FF"/>
          <w:sz w:val="22"/>
          <w:szCs w:val="22"/>
        </w:rPr>
        <w:t xml:space="preserve"> (38.1%)</w:t>
      </w:r>
      <w:r w:rsidR="003D5EE6" w:rsidRPr="003D5EE6">
        <w:rPr>
          <w:color w:val="0000FF"/>
          <w:sz w:val="22"/>
          <w:szCs w:val="22"/>
        </w:rPr>
        <w:t xml:space="preserve"> </w:t>
      </w:r>
      <w:r w:rsidRPr="001F3F50">
        <w:rPr>
          <w:color w:val="0000FF"/>
          <w:sz w:val="22"/>
          <w:szCs w:val="22"/>
        </w:rPr>
        <w:t xml:space="preserve">above 3mg/L. Table 1 below provides descriptive statistics of demographic, medical and behavioral risk factors and death within 4 years for each CRP category. </w:t>
      </w:r>
      <w:r w:rsidR="00F47898">
        <w:rPr>
          <w:color w:val="0000FF"/>
          <w:sz w:val="22"/>
          <w:szCs w:val="22"/>
        </w:rPr>
        <w:t>No consistent trend was seen across groups in age and cholesterol blood levels. Subjects with CRP below 1mg/L were more likely to be male.</w:t>
      </w:r>
      <w:r w:rsidR="00102372">
        <w:rPr>
          <w:color w:val="0000FF"/>
          <w:sz w:val="22"/>
          <w:szCs w:val="22"/>
        </w:rPr>
        <w:t xml:space="preserve"> There seems to be a positive trend noted with increasing body mass index and higher CRP levels. Similarly, the prevalence of those with prior chronic vascular disease and snokers is higher with increased </w:t>
      </w:r>
      <w:r w:rsidR="00102372">
        <w:rPr>
          <w:color w:val="0000FF"/>
          <w:sz w:val="22"/>
          <w:szCs w:val="22"/>
        </w:rPr>
        <w:lastRenderedPageBreak/>
        <w:t xml:space="preserve">levels of CRP. Finally, the prevalence of death within four years is higher with increasing CRP level category suggesting a positive trend. </w:t>
      </w:r>
    </w:p>
    <w:p w14:paraId="39608CEB" w14:textId="14096DA1" w:rsidR="00D42586" w:rsidRPr="00D42586" w:rsidRDefault="00D42586" w:rsidP="0029199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  <w:u w:val="single"/>
        </w:rPr>
      </w:pPr>
      <w:r w:rsidRPr="00D42586">
        <w:rPr>
          <w:color w:val="0000FF"/>
          <w:sz w:val="22"/>
          <w:szCs w:val="22"/>
          <w:u w:val="single"/>
        </w:rPr>
        <w:t xml:space="preserve">Table 1. Study population </w:t>
      </w:r>
      <w:r w:rsidR="00D70523">
        <w:rPr>
          <w:color w:val="0000FF"/>
          <w:sz w:val="22"/>
          <w:szCs w:val="22"/>
          <w:u w:val="single"/>
        </w:rPr>
        <w:t xml:space="preserve">characteristics and </w:t>
      </w:r>
      <w:r w:rsidRPr="00D42586">
        <w:rPr>
          <w:color w:val="0000FF"/>
          <w:sz w:val="22"/>
          <w:szCs w:val="22"/>
          <w:u w:val="single"/>
        </w:rPr>
        <w:t xml:space="preserve">mortality within </w:t>
      </w:r>
      <w:r w:rsidR="00D70523">
        <w:rPr>
          <w:color w:val="0000FF"/>
          <w:sz w:val="22"/>
          <w:szCs w:val="22"/>
          <w:u w:val="single"/>
        </w:rPr>
        <w:t xml:space="preserve">the </w:t>
      </w:r>
      <w:r w:rsidRPr="00D42586">
        <w:rPr>
          <w:color w:val="0000FF"/>
          <w:sz w:val="22"/>
          <w:szCs w:val="22"/>
          <w:u w:val="single"/>
        </w:rPr>
        <w:t>three C reactive protein serum level categories</w:t>
      </w:r>
    </w:p>
    <w:tbl>
      <w:tblPr>
        <w:tblpPr w:leftFromText="180" w:rightFromText="180" w:vertAnchor="text" w:horzAnchor="page" w:tblpX="2170" w:tblpY="136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710"/>
        <w:gridCol w:w="1800"/>
        <w:gridCol w:w="1710"/>
      </w:tblGrid>
      <w:tr w:rsidR="00F47898" w:rsidRPr="00115A3A" w14:paraId="7F686E6C" w14:textId="77777777" w:rsidTr="00F47898">
        <w:tc>
          <w:tcPr>
            <w:tcW w:w="2178" w:type="dxa"/>
            <w:shd w:val="clear" w:color="auto" w:fill="auto"/>
          </w:tcPr>
          <w:p w14:paraId="686BB55D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0719AF5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C reactive protein Levels (mg/L)</w:t>
            </w:r>
          </w:p>
        </w:tc>
      </w:tr>
      <w:tr w:rsidR="00F47898" w:rsidRPr="00115A3A" w14:paraId="44AD27EA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46132EC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/>
          </w:tcPr>
          <w:p w14:paraId="7FEB7427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Below 1 mg/L</w:t>
            </w:r>
          </w:p>
          <w:p w14:paraId="06D3F601" w14:textId="5EE47A86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(N=426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14:paraId="0C91455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1 - 3 mg/L</w:t>
            </w:r>
          </w:p>
          <w:p w14:paraId="3C1D6D80" w14:textId="763E8EAF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2,615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D9D9D9"/>
          </w:tcPr>
          <w:p w14:paraId="4FFE940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Above 3 mg/L</w:t>
            </w:r>
          </w:p>
          <w:p w14:paraId="7480AF4B" w14:textId="74518E4A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1,870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D9D9D9"/>
          </w:tcPr>
          <w:p w14:paraId="07D1D4A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Any level</w:t>
            </w:r>
          </w:p>
          <w:p w14:paraId="17D79649" w14:textId="2E7CBF82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(N=</w:t>
            </w:r>
            <w:r w:rsidR="00D70523" w:rsidRPr="003D5EE6">
              <w:rPr>
                <w:color w:val="0000FF"/>
                <w:sz w:val="22"/>
                <w:szCs w:val="22"/>
              </w:rPr>
              <w:t>4,911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</w:tr>
      <w:tr w:rsidR="00F47898" w:rsidRPr="00115A3A" w14:paraId="5386201C" w14:textId="77777777" w:rsidTr="00F47898">
        <w:tc>
          <w:tcPr>
            <w:tcW w:w="2178" w:type="dxa"/>
            <w:shd w:val="clear" w:color="auto" w:fill="E6E6E6"/>
          </w:tcPr>
          <w:p w14:paraId="41E11B1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Demographic Profile</w:t>
            </w:r>
          </w:p>
        </w:tc>
        <w:tc>
          <w:tcPr>
            <w:tcW w:w="1800" w:type="dxa"/>
            <w:shd w:val="clear" w:color="auto" w:fill="auto"/>
          </w:tcPr>
          <w:p w14:paraId="73D92E73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DD7DD99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0D5D1F1C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87F37A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66EFECF3" w14:textId="77777777" w:rsidTr="00F47898">
        <w:tc>
          <w:tcPr>
            <w:tcW w:w="2178" w:type="dxa"/>
            <w:shd w:val="clear" w:color="auto" w:fill="auto"/>
          </w:tcPr>
          <w:p w14:paraId="5B8ABF57" w14:textId="0FA70E01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Age (years)</w:t>
            </w:r>
            <w:r w:rsidR="00B52D9C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74DB5F65" w14:textId="5AB4F49E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73.4</w:t>
            </w:r>
          </w:p>
          <w:p w14:paraId="1EE78A06" w14:textId="2DA729BE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(5.79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-94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3A6C40C" w14:textId="58ECB22F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72.8</w:t>
            </w:r>
          </w:p>
          <w:p w14:paraId="1FBBDF39" w14:textId="43A342C4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(5.58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65-100)</w:t>
            </w:r>
          </w:p>
        </w:tc>
        <w:tc>
          <w:tcPr>
            <w:tcW w:w="1800" w:type="dxa"/>
            <w:shd w:val="clear" w:color="auto" w:fill="auto"/>
          </w:tcPr>
          <w:p w14:paraId="056F3F8A" w14:textId="20E0665B" w:rsidR="00F47898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72.6</w:t>
            </w:r>
          </w:p>
          <w:p w14:paraId="17E53C98" w14:textId="7683B8EF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(5.49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65-93)</w:t>
            </w:r>
          </w:p>
        </w:tc>
        <w:tc>
          <w:tcPr>
            <w:tcW w:w="1710" w:type="dxa"/>
            <w:shd w:val="clear" w:color="auto" w:fill="auto"/>
          </w:tcPr>
          <w:p w14:paraId="5052542E" w14:textId="77777777" w:rsidR="00F47898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72.8</w:t>
            </w:r>
          </w:p>
          <w:p w14:paraId="01745510" w14:textId="4B7B6CAC" w:rsidR="00F47898" w:rsidRPr="00115A3A" w:rsidRDefault="00D70523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(5.57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65 -100)</w:t>
            </w:r>
          </w:p>
        </w:tc>
      </w:tr>
      <w:tr w:rsidR="00F47898" w:rsidRPr="00115A3A" w14:paraId="16C3B570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1D62119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Male (%)</w:t>
            </w:r>
          </w:p>
        </w:tc>
        <w:tc>
          <w:tcPr>
            <w:tcW w:w="1800" w:type="dxa"/>
            <w:shd w:val="clear" w:color="auto" w:fill="auto"/>
          </w:tcPr>
          <w:p w14:paraId="56491DE6" w14:textId="4047E5CB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45.5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E0CF72A" w14:textId="37D4DE8F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44.5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6272F4B3" w14:textId="2B9342AE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37.8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6F226D3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42.0%</w:t>
            </w:r>
          </w:p>
        </w:tc>
      </w:tr>
      <w:tr w:rsidR="00F47898" w:rsidRPr="00115A3A" w14:paraId="677346F4" w14:textId="77777777" w:rsidTr="00F47898">
        <w:tc>
          <w:tcPr>
            <w:tcW w:w="2178" w:type="dxa"/>
            <w:shd w:val="clear" w:color="auto" w:fill="E6E6E6"/>
          </w:tcPr>
          <w:p w14:paraId="6D144BD9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Medical Profile</w:t>
            </w:r>
          </w:p>
        </w:tc>
        <w:tc>
          <w:tcPr>
            <w:tcW w:w="1800" w:type="dxa"/>
            <w:shd w:val="clear" w:color="auto" w:fill="auto"/>
          </w:tcPr>
          <w:p w14:paraId="3EAEAC95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E1FA79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2F6C64E8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C67DC17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6F704B8D" w14:textId="77777777" w:rsidTr="00F47898">
        <w:tc>
          <w:tcPr>
            <w:tcW w:w="2178" w:type="dxa"/>
            <w:shd w:val="clear" w:color="auto" w:fill="auto"/>
          </w:tcPr>
          <w:p w14:paraId="4C75EE5C" w14:textId="30386502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Body Mass Index</w:t>
            </w:r>
            <w:r w:rsidR="0028380A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DC046A">
              <w:rPr>
                <w:rFonts w:asciiTheme="majorHAnsi" w:hAnsiTheme="majorHAnsi"/>
                <w:color w:val="0000FF"/>
                <w:sz w:val="22"/>
                <w:szCs w:val="22"/>
              </w:rPr>
              <w:t>(Kg/m</w:t>
            </w:r>
            <w:r w:rsidR="00DC046A" w:rsidRPr="00DC046A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2</w:t>
            </w:r>
            <w:r w:rsidR="00DC046A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)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3461297" w14:textId="49596EE4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23.8</w:t>
            </w:r>
          </w:p>
          <w:p w14:paraId="12441C86" w14:textId="0D223C9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(3.64, 15.6 -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8.6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5A070936" w14:textId="251245DD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.1</w:t>
            </w:r>
          </w:p>
          <w:p w14:paraId="5AF92FDC" w14:textId="070566EB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(4.17, 14.7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-53.2)</w:t>
            </w:r>
          </w:p>
        </w:tc>
        <w:tc>
          <w:tcPr>
            <w:tcW w:w="1800" w:type="dxa"/>
            <w:shd w:val="clear" w:color="auto" w:fill="auto"/>
          </w:tcPr>
          <w:p w14:paraId="24AE038F" w14:textId="5F2EB5B2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28.1</w:t>
            </w:r>
          </w:p>
          <w:p w14:paraId="42CB495C" w14:textId="338B9B1B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(5</w:t>
            </w:r>
            <w:r w:rsidR="00F973F9">
              <w:rPr>
                <w:rFonts w:asciiTheme="majorHAnsi" w:hAnsiTheme="majorHAnsi"/>
                <w:color w:val="0000FF"/>
                <w:sz w:val="22"/>
                <w:szCs w:val="22"/>
              </w:rPr>
              <w:t>.18</w:t>
            </w: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15.3- 58.8)</w:t>
            </w:r>
          </w:p>
        </w:tc>
        <w:tc>
          <w:tcPr>
            <w:tcW w:w="1710" w:type="dxa"/>
            <w:shd w:val="clear" w:color="auto" w:fill="auto"/>
          </w:tcPr>
          <w:p w14:paraId="0BCA220C" w14:textId="77777777" w:rsidR="00F47898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26.7</w:t>
            </w:r>
          </w:p>
          <w:p w14:paraId="6488CEB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(4.72, 14.7-58.8)</w:t>
            </w:r>
          </w:p>
        </w:tc>
      </w:tr>
      <w:tr w:rsidR="00F47898" w:rsidRPr="00115A3A" w14:paraId="44E393FE" w14:textId="77777777" w:rsidTr="00F47898">
        <w:tc>
          <w:tcPr>
            <w:tcW w:w="2178" w:type="dxa"/>
            <w:shd w:val="clear" w:color="auto" w:fill="auto"/>
          </w:tcPr>
          <w:p w14:paraId="420F5C14" w14:textId="16D0F756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Cholesterol (mg/dl)</w:t>
            </w:r>
            <w:r w:rsidR="00B52D9C">
              <w:rPr>
                <w:rFonts w:asciiTheme="majorHAnsi" w:hAnsiTheme="majorHAnsi"/>
                <w:color w:val="0000FF"/>
                <w:sz w:val="22"/>
                <w:szCs w:val="22"/>
              </w:rPr>
              <w:t xml:space="preserve"> </w:t>
            </w:r>
            <w:r w:rsidR="00BC13E3" w:rsidRPr="00BC13E3">
              <w:rPr>
                <w:rFonts w:asciiTheme="majorHAnsi" w:hAnsiTheme="majorHAnsi"/>
                <w:color w:val="0000FF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624C4ED8" w14:textId="634AD795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6.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0000FF"/>
                <w:sz w:val="22"/>
                <w:szCs w:val="22"/>
              </w:rPr>
              <w:t>5</w:t>
            </w:r>
          </w:p>
          <w:p w14:paraId="24799DAC" w14:textId="3132282E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(40.46, 109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-407)</w:t>
            </w:r>
          </w:p>
        </w:tc>
        <w:tc>
          <w:tcPr>
            <w:tcW w:w="1710" w:type="dxa"/>
            <w:shd w:val="clear" w:color="auto" w:fill="auto"/>
          </w:tcPr>
          <w:p w14:paraId="68A283DB" w14:textId="0451D84D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212.52</w:t>
            </w:r>
          </w:p>
          <w:p w14:paraId="3DA9677D" w14:textId="425B39F2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(38.64, 73-363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14:paraId="26F3F4B6" w14:textId="72640AD7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211.8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0</w:t>
            </w:r>
          </w:p>
          <w:p w14:paraId="77FFBCD6" w14:textId="2E524283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(39.70, 96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-430)</w:t>
            </w:r>
          </w:p>
        </w:tc>
        <w:tc>
          <w:tcPr>
            <w:tcW w:w="1710" w:type="dxa"/>
            <w:shd w:val="clear" w:color="auto" w:fill="auto"/>
          </w:tcPr>
          <w:p w14:paraId="28FC4BF7" w14:textId="1E455C9A" w:rsidR="00F47898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211.70</w:t>
            </w:r>
          </w:p>
          <w:p w14:paraId="71FAFDB2" w14:textId="676BA0D9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(39.24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, 73-430)</w:t>
            </w:r>
          </w:p>
        </w:tc>
      </w:tr>
      <w:tr w:rsidR="00F47898" w:rsidRPr="00115A3A" w14:paraId="1FECCCE1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69B15AB3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Have prior history of Cardiovascular Disease (%)</w:t>
            </w:r>
          </w:p>
        </w:tc>
        <w:tc>
          <w:tcPr>
            <w:tcW w:w="1800" w:type="dxa"/>
            <w:shd w:val="clear" w:color="auto" w:fill="auto"/>
          </w:tcPr>
          <w:p w14:paraId="53F186A7" w14:textId="3F7FCDB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18.3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3C797A5" w14:textId="09B4C7FD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20.7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4B11931F" w14:textId="64DBD6C9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27.2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7C45E19A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22.9%</w:t>
            </w:r>
          </w:p>
        </w:tc>
      </w:tr>
      <w:tr w:rsidR="00F47898" w:rsidRPr="00115A3A" w14:paraId="3C147BDB" w14:textId="77777777" w:rsidTr="00F47898">
        <w:tc>
          <w:tcPr>
            <w:tcW w:w="2178" w:type="dxa"/>
            <w:shd w:val="clear" w:color="auto" w:fill="E6E6E6"/>
          </w:tcPr>
          <w:p w14:paraId="5A7C97FF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Behavioral Profile</w:t>
            </w:r>
          </w:p>
        </w:tc>
        <w:tc>
          <w:tcPr>
            <w:tcW w:w="1800" w:type="dxa"/>
            <w:shd w:val="clear" w:color="auto" w:fill="auto"/>
          </w:tcPr>
          <w:p w14:paraId="78DFFDA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4413F99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D5A052B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1185262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54D6605E" w14:textId="77777777" w:rsidTr="00F47898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14:paraId="78E05F6A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Smoker (%)</w:t>
            </w:r>
          </w:p>
        </w:tc>
        <w:tc>
          <w:tcPr>
            <w:tcW w:w="1800" w:type="dxa"/>
            <w:shd w:val="clear" w:color="auto" w:fill="auto"/>
          </w:tcPr>
          <w:p w14:paraId="52B96410" w14:textId="3926C54C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9.6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2D408BB6" w14:textId="08798BFA" w:rsidR="00F47898" w:rsidRPr="00115A3A" w:rsidRDefault="00F973F9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10.1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800" w:type="dxa"/>
            <w:shd w:val="clear" w:color="auto" w:fill="auto"/>
          </w:tcPr>
          <w:p w14:paraId="203C8D0D" w14:textId="51FBF9DA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15.7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DFBED9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12.2%</w:t>
            </w:r>
          </w:p>
        </w:tc>
      </w:tr>
      <w:tr w:rsidR="00F47898" w:rsidRPr="00115A3A" w14:paraId="780254DD" w14:textId="77777777" w:rsidTr="00F47898">
        <w:tc>
          <w:tcPr>
            <w:tcW w:w="2178" w:type="dxa"/>
            <w:shd w:val="clear" w:color="auto" w:fill="E6E6E6"/>
          </w:tcPr>
          <w:p w14:paraId="3F3BDDED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Mortality</w:t>
            </w:r>
          </w:p>
        </w:tc>
        <w:tc>
          <w:tcPr>
            <w:tcW w:w="1800" w:type="dxa"/>
            <w:shd w:val="clear" w:color="auto" w:fill="auto"/>
          </w:tcPr>
          <w:p w14:paraId="76BD9686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6244932E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BCF3954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14:paraId="57D741C0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</w:p>
        </w:tc>
      </w:tr>
      <w:tr w:rsidR="00F47898" w:rsidRPr="00115A3A" w14:paraId="33CA578E" w14:textId="77777777" w:rsidTr="00F47898">
        <w:tc>
          <w:tcPr>
            <w:tcW w:w="2178" w:type="dxa"/>
            <w:shd w:val="clear" w:color="auto" w:fill="auto"/>
          </w:tcPr>
          <w:p w14:paraId="0C7E94A1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Death within 4 years (%)</w:t>
            </w:r>
          </w:p>
        </w:tc>
        <w:tc>
          <w:tcPr>
            <w:tcW w:w="1800" w:type="dxa"/>
            <w:shd w:val="clear" w:color="auto" w:fill="auto"/>
          </w:tcPr>
          <w:p w14:paraId="6F189F28" w14:textId="48BC6358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4.9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1E9EA3FD" w14:textId="5D70E875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7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.6%</w:t>
            </w:r>
          </w:p>
        </w:tc>
        <w:tc>
          <w:tcPr>
            <w:tcW w:w="1800" w:type="dxa"/>
            <w:shd w:val="clear" w:color="auto" w:fill="auto"/>
          </w:tcPr>
          <w:p w14:paraId="4705EE76" w14:textId="7777CDC5" w:rsidR="00F47898" w:rsidRPr="00115A3A" w:rsidRDefault="00FB098B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>
              <w:rPr>
                <w:rFonts w:asciiTheme="majorHAnsi" w:hAnsiTheme="majorHAnsi"/>
                <w:color w:val="0000FF"/>
                <w:sz w:val="22"/>
                <w:szCs w:val="22"/>
              </w:rPr>
              <w:t>14.0</w:t>
            </w:r>
            <w:r w:rsidR="00F47898"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%</w:t>
            </w:r>
          </w:p>
        </w:tc>
        <w:tc>
          <w:tcPr>
            <w:tcW w:w="1710" w:type="dxa"/>
            <w:shd w:val="clear" w:color="auto" w:fill="auto"/>
          </w:tcPr>
          <w:p w14:paraId="4999FEA2" w14:textId="77777777" w:rsidR="00F47898" w:rsidRPr="00115A3A" w:rsidRDefault="00F47898" w:rsidP="00F4789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Theme="majorHAnsi" w:hAnsiTheme="majorHAnsi"/>
                <w:color w:val="0000FF"/>
                <w:sz w:val="22"/>
                <w:szCs w:val="22"/>
              </w:rPr>
            </w:pPr>
            <w:r w:rsidRPr="00115A3A">
              <w:rPr>
                <w:rFonts w:asciiTheme="majorHAnsi" w:hAnsiTheme="majorHAnsi"/>
                <w:color w:val="0000FF"/>
                <w:sz w:val="22"/>
                <w:szCs w:val="22"/>
              </w:rPr>
              <w:t>9.8%</w:t>
            </w:r>
          </w:p>
        </w:tc>
      </w:tr>
    </w:tbl>
    <w:p w14:paraId="60F2AA60" w14:textId="77777777" w:rsidR="005944F7" w:rsidRDefault="005944F7" w:rsidP="00240CFF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28CA5014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746EE4C2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5D4AC9FB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933846B" w14:textId="77777777" w:rsidR="00F47898" w:rsidRDefault="00F47898" w:rsidP="00983670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0F4B4CAD" w14:textId="01C88612" w:rsidR="00F47898" w:rsidRPr="00F47898" w:rsidRDefault="00DE3E9E" w:rsidP="00F47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F47898">
        <w:rPr>
          <w:sz w:val="22"/>
          <w:szCs w:val="22"/>
        </w:rPr>
        <w:t>Statistics displ</w:t>
      </w:r>
    </w:p>
    <w:p w14:paraId="40103DF1" w14:textId="77777777" w:rsidR="00F47898" w:rsidRDefault="00F47898" w:rsidP="00F4789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2E57FAFB" w14:textId="7B6C3912" w:rsidR="00983670" w:rsidRPr="00BC13E3" w:rsidRDefault="00F47898" w:rsidP="00BC13E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BC13E3">
        <w:rPr>
          <w:color w:val="0000FF"/>
          <w:sz w:val="22"/>
          <w:szCs w:val="22"/>
        </w:rPr>
        <w:t xml:space="preserve">istic </w:t>
      </w:r>
      <w:r w:rsidR="00BC13E3" w:rsidRPr="00BC13E3">
        <w:rPr>
          <w:color w:val="0000FF"/>
          <w:sz w:val="22"/>
          <w:szCs w:val="22"/>
          <w:vertAlign w:val="superscript"/>
        </w:rPr>
        <w:t>1</w:t>
      </w:r>
      <w:r w:rsidR="00BC13E3">
        <w:rPr>
          <w:color w:val="0000FF"/>
          <w:sz w:val="22"/>
          <w:szCs w:val="22"/>
        </w:rPr>
        <w:t xml:space="preserve"> Variable Statistic </w:t>
      </w:r>
      <w:r w:rsidRPr="00BC13E3">
        <w:rPr>
          <w:color w:val="0000FF"/>
          <w:sz w:val="22"/>
          <w:szCs w:val="22"/>
        </w:rPr>
        <w:t>displ</w:t>
      </w:r>
      <w:r w:rsidR="00DE3E9E" w:rsidRPr="00BC13E3">
        <w:rPr>
          <w:color w:val="0000FF"/>
          <w:sz w:val="22"/>
          <w:szCs w:val="22"/>
        </w:rPr>
        <w:t>ay</w:t>
      </w:r>
      <w:r w:rsidRPr="00BC13E3">
        <w:rPr>
          <w:color w:val="0000FF"/>
          <w:sz w:val="22"/>
          <w:szCs w:val="22"/>
        </w:rPr>
        <w:t xml:space="preserve"> </w:t>
      </w:r>
      <w:r w:rsidR="00102372" w:rsidRPr="00BC13E3">
        <w:rPr>
          <w:color w:val="0000FF"/>
          <w:sz w:val="22"/>
          <w:szCs w:val="22"/>
        </w:rPr>
        <w:t>include the mean (</w:t>
      </w:r>
      <w:r w:rsidR="00DE3E9E" w:rsidRPr="00BC13E3">
        <w:rPr>
          <w:color w:val="0000FF"/>
          <w:sz w:val="22"/>
          <w:szCs w:val="22"/>
        </w:rPr>
        <w:t>standard deviation, minimum – maximum)</w:t>
      </w:r>
    </w:p>
    <w:p w14:paraId="7CD64DD9" w14:textId="11538F39" w:rsidR="009A2EF1" w:rsidRPr="00FB098B" w:rsidRDefault="00C55091" w:rsidP="00FB098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</w:p>
    <w:p w14:paraId="0853840F" w14:textId="789B3550" w:rsidR="009A2EF1" w:rsidRPr="00BC13E3" w:rsidRDefault="00E17688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05D56">
        <w:rPr>
          <w:b/>
          <w:color w:val="0000FF"/>
          <w:sz w:val="22"/>
          <w:szCs w:val="22"/>
          <w:u w:val="single"/>
        </w:rPr>
        <w:t>Methods:</w:t>
      </w:r>
      <w:r w:rsidRPr="00BC13E3">
        <w:rPr>
          <w:color w:val="0000FF"/>
          <w:sz w:val="22"/>
          <w:szCs w:val="22"/>
        </w:rPr>
        <w:t xml:space="preserve"> The t test that assumes unequal variances was used to test the difference in mean</w:t>
      </w:r>
      <w:r w:rsidR="009A2EF1" w:rsidRPr="00BC13E3">
        <w:rPr>
          <w:color w:val="0000FF"/>
          <w:sz w:val="22"/>
          <w:szCs w:val="22"/>
        </w:rPr>
        <w:t xml:space="preserve"> CRP measurements </w:t>
      </w:r>
      <w:r w:rsidR="007A7DDF">
        <w:rPr>
          <w:color w:val="0000FF"/>
          <w:sz w:val="22"/>
          <w:szCs w:val="22"/>
        </w:rPr>
        <w:t xml:space="preserve">in mg/L units </w:t>
      </w:r>
      <w:r w:rsidRPr="00BC13E3">
        <w:rPr>
          <w:color w:val="0000FF"/>
          <w:sz w:val="22"/>
          <w:szCs w:val="22"/>
        </w:rPr>
        <w:t>between subjects who died within 4 years</w:t>
      </w:r>
      <w:r w:rsidR="00FB098B">
        <w:rPr>
          <w:color w:val="0000FF"/>
          <w:sz w:val="22"/>
          <w:szCs w:val="22"/>
        </w:rPr>
        <w:t xml:space="preserve"> to</w:t>
      </w:r>
      <w:r w:rsidRPr="00BC13E3">
        <w:rPr>
          <w:color w:val="0000FF"/>
          <w:sz w:val="22"/>
          <w:szCs w:val="22"/>
        </w:rPr>
        <w:t xml:space="preserve"> </w:t>
      </w:r>
      <w:r w:rsidR="009760EC">
        <w:rPr>
          <w:color w:val="0000FF"/>
          <w:sz w:val="22"/>
          <w:szCs w:val="22"/>
        </w:rPr>
        <w:t xml:space="preserve">those who survived at least 4 years </w:t>
      </w:r>
      <w:r w:rsidRPr="00BC13E3">
        <w:rPr>
          <w:color w:val="0000FF"/>
          <w:sz w:val="22"/>
          <w:szCs w:val="22"/>
        </w:rPr>
        <w:t xml:space="preserve">(Satterthwaite's approximation). </w:t>
      </w:r>
      <w:r w:rsidR="007A7DDF" w:rsidRPr="007A7DDF">
        <w:rPr>
          <w:color w:val="0000FF"/>
          <w:sz w:val="22"/>
          <w:szCs w:val="22"/>
        </w:rPr>
        <w:t>Similarly the</w:t>
      </w:r>
      <w:r w:rsidR="007A7DDF">
        <w:rPr>
          <w:color w:val="0000FF"/>
          <w:sz w:val="22"/>
          <w:szCs w:val="22"/>
        </w:rPr>
        <w:t xml:space="preserve"> generated 95% confidence interval of the difference </w:t>
      </w:r>
      <w:r w:rsidR="007A7DDF" w:rsidRPr="007A7DDF">
        <w:rPr>
          <w:color w:val="0000FF"/>
          <w:sz w:val="22"/>
          <w:szCs w:val="22"/>
        </w:rPr>
        <w:t>is under the assumption of unequal variances</w:t>
      </w:r>
      <w:r w:rsidR="00C15C05">
        <w:rPr>
          <w:color w:val="0000FF"/>
          <w:sz w:val="22"/>
          <w:szCs w:val="22"/>
        </w:rPr>
        <w:t xml:space="preserve">. </w:t>
      </w:r>
    </w:p>
    <w:p w14:paraId="369AB681" w14:textId="245369A1" w:rsidR="00805D56" w:rsidRDefault="009A2EF1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05D56">
        <w:rPr>
          <w:b/>
          <w:color w:val="0000FF"/>
          <w:sz w:val="22"/>
          <w:szCs w:val="22"/>
          <w:u w:val="single"/>
        </w:rPr>
        <w:t>Results</w:t>
      </w:r>
      <w:r w:rsidR="00B35CFE" w:rsidRPr="00805D56">
        <w:rPr>
          <w:b/>
          <w:color w:val="0000FF"/>
          <w:sz w:val="22"/>
          <w:szCs w:val="22"/>
          <w:u w:val="single"/>
        </w:rPr>
        <w:t>:</w:t>
      </w:r>
      <w:r w:rsidR="00B35CFE" w:rsidRPr="00BC13E3">
        <w:rPr>
          <w:color w:val="0000FF"/>
          <w:sz w:val="22"/>
          <w:szCs w:val="22"/>
        </w:rPr>
        <w:t xml:space="preserve"> The mean CRP level for thos</w:t>
      </w:r>
      <w:r w:rsidR="00FB098B">
        <w:rPr>
          <w:color w:val="0000FF"/>
          <w:sz w:val="22"/>
          <w:szCs w:val="22"/>
        </w:rPr>
        <w:t>e who died within 4 years (N=482) is 5.39</w:t>
      </w:r>
      <w:r w:rsidR="00B35CFE" w:rsidRPr="00BC13E3">
        <w:rPr>
          <w:color w:val="0000FF"/>
          <w:sz w:val="22"/>
          <w:szCs w:val="22"/>
        </w:rPr>
        <w:t xml:space="preserve"> mg/L, while the m</w:t>
      </w:r>
      <w:r w:rsidR="00FB098B">
        <w:rPr>
          <w:color w:val="0000FF"/>
          <w:sz w:val="22"/>
          <w:szCs w:val="22"/>
        </w:rPr>
        <w:t>ean of those who did not (N=4,42</w:t>
      </w:r>
      <w:r w:rsidR="00B35CFE" w:rsidRPr="00BC13E3">
        <w:rPr>
          <w:color w:val="0000FF"/>
          <w:sz w:val="22"/>
          <w:szCs w:val="22"/>
        </w:rPr>
        <w:t xml:space="preserve">9) is 3.42mg/L. The </w:t>
      </w:r>
      <w:r w:rsidR="00BC13E3" w:rsidRPr="00BC13E3">
        <w:rPr>
          <w:color w:val="0000FF"/>
          <w:sz w:val="22"/>
          <w:szCs w:val="22"/>
        </w:rPr>
        <w:t xml:space="preserve">observed </w:t>
      </w:r>
      <w:r w:rsidR="00B35CFE" w:rsidRPr="00BC13E3">
        <w:rPr>
          <w:color w:val="0000FF"/>
          <w:sz w:val="22"/>
          <w:szCs w:val="22"/>
        </w:rPr>
        <w:t xml:space="preserve">difference </w:t>
      </w:r>
      <w:r w:rsidR="00BC13E3" w:rsidRPr="00BC13E3">
        <w:rPr>
          <w:color w:val="0000FF"/>
          <w:sz w:val="22"/>
          <w:szCs w:val="22"/>
        </w:rPr>
        <w:t xml:space="preserve">in </w:t>
      </w:r>
      <w:r w:rsidR="007D08DD">
        <w:rPr>
          <w:color w:val="0000FF"/>
          <w:sz w:val="22"/>
          <w:szCs w:val="22"/>
        </w:rPr>
        <w:t xml:space="preserve">mean </w:t>
      </w:r>
      <w:r w:rsidR="00BC13E3" w:rsidRPr="00BC13E3">
        <w:rPr>
          <w:color w:val="0000FF"/>
          <w:sz w:val="22"/>
          <w:szCs w:val="22"/>
        </w:rPr>
        <w:t xml:space="preserve">CRP levels </w:t>
      </w:r>
      <w:r w:rsidR="007D08DD">
        <w:rPr>
          <w:color w:val="0000FF"/>
          <w:sz w:val="22"/>
          <w:szCs w:val="22"/>
        </w:rPr>
        <w:t xml:space="preserve">is </w:t>
      </w:r>
      <w:r w:rsidR="00FB098B">
        <w:rPr>
          <w:color w:val="0000FF"/>
          <w:sz w:val="22"/>
          <w:szCs w:val="22"/>
        </w:rPr>
        <w:t>1.97</w:t>
      </w:r>
      <w:r w:rsidR="00B35CFE" w:rsidRPr="00BC13E3">
        <w:rPr>
          <w:color w:val="0000FF"/>
          <w:sz w:val="22"/>
          <w:szCs w:val="22"/>
        </w:rPr>
        <w:t xml:space="preserve"> mg/L </w:t>
      </w:r>
      <w:r w:rsidR="00BC13E3" w:rsidRPr="00BC13E3">
        <w:rPr>
          <w:color w:val="0000FF"/>
          <w:sz w:val="22"/>
          <w:szCs w:val="22"/>
        </w:rPr>
        <w:t xml:space="preserve">higher among those who died </w:t>
      </w:r>
      <w:r w:rsidR="00B35CFE" w:rsidRPr="00BC13E3">
        <w:rPr>
          <w:color w:val="0000FF"/>
          <w:sz w:val="22"/>
          <w:szCs w:val="22"/>
        </w:rPr>
        <w:t>within 4 years</w:t>
      </w:r>
      <w:r w:rsidR="007D08DD">
        <w:rPr>
          <w:color w:val="0000FF"/>
          <w:sz w:val="22"/>
          <w:szCs w:val="22"/>
        </w:rPr>
        <w:t xml:space="preserve"> compared to those who survived at least four years. This difference in mean CRP</w:t>
      </w:r>
      <w:r w:rsidR="00B35CFE" w:rsidRPr="00BC13E3">
        <w:rPr>
          <w:color w:val="0000FF"/>
          <w:sz w:val="22"/>
          <w:szCs w:val="22"/>
        </w:rPr>
        <w:t xml:space="preserve"> will not be unusual if </w:t>
      </w:r>
      <w:r w:rsidR="00BC13E3" w:rsidRPr="00BC13E3">
        <w:rPr>
          <w:color w:val="0000FF"/>
          <w:sz w:val="22"/>
          <w:szCs w:val="22"/>
        </w:rPr>
        <w:t>the true population difference is between</w:t>
      </w:r>
      <w:r w:rsidR="00FB098B">
        <w:rPr>
          <w:color w:val="0000FF"/>
          <w:sz w:val="22"/>
          <w:szCs w:val="22"/>
        </w:rPr>
        <w:t xml:space="preserve"> 1.23 and 2.72</w:t>
      </w:r>
      <w:r w:rsidR="00BC13E3" w:rsidRPr="00BC13E3">
        <w:rPr>
          <w:color w:val="0000FF"/>
          <w:sz w:val="22"/>
          <w:szCs w:val="22"/>
        </w:rPr>
        <w:t xml:space="preserve"> mg/L higher among those who died within 4 years</w:t>
      </w:r>
      <w:r w:rsidR="007D08DD">
        <w:rPr>
          <w:color w:val="0000FF"/>
          <w:sz w:val="22"/>
          <w:szCs w:val="22"/>
        </w:rPr>
        <w:t xml:space="preserve"> compared to those who survived at least four years</w:t>
      </w:r>
      <w:r w:rsidR="00BC13E3" w:rsidRPr="00BC13E3">
        <w:rPr>
          <w:color w:val="0000FF"/>
          <w:sz w:val="22"/>
          <w:szCs w:val="22"/>
        </w:rPr>
        <w:t>.</w:t>
      </w:r>
      <w:r w:rsidR="00BC13E3">
        <w:rPr>
          <w:color w:val="0000FF"/>
          <w:sz w:val="22"/>
          <w:szCs w:val="22"/>
        </w:rPr>
        <w:t xml:space="preserve"> The difference in the means is also statistically significant at </w:t>
      </w:r>
      <w:r w:rsidR="00805D56">
        <w:rPr>
          <w:color w:val="0000FF"/>
          <w:sz w:val="22"/>
          <w:szCs w:val="22"/>
        </w:rPr>
        <w:t xml:space="preserve">a </w:t>
      </w:r>
      <w:r w:rsidR="00BC13E3">
        <w:rPr>
          <w:color w:val="0000FF"/>
          <w:sz w:val="22"/>
          <w:szCs w:val="22"/>
        </w:rPr>
        <w:t xml:space="preserve">0.05 level (two sided </w:t>
      </w:r>
      <w:r w:rsidR="00805D56">
        <w:rPr>
          <w:color w:val="0000FF"/>
          <w:sz w:val="22"/>
          <w:szCs w:val="22"/>
        </w:rPr>
        <w:t xml:space="preserve">P &lt;0.0001), rejecting the null hypothesis that states that there is no difference between the mean levels of CRP between those who die within 4 years or after. </w:t>
      </w:r>
    </w:p>
    <w:p w14:paraId="1D331632" w14:textId="77777777" w:rsidR="00805D56" w:rsidRDefault="00805D56" w:rsidP="009A2EF1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</w:p>
    <w:p w14:paraId="561FA372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 and 4</w:t>
      </w:r>
      <w:r w:rsidRPr="009D5804">
        <w:rPr>
          <w:sz w:val="22"/>
          <w:szCs w:val="22"/>
        </w:rPr>
        <w:t xml:space="preserve"> year all-cause mortality by comparing geometric mean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values across groups defined by vital status at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years.</w:t>
      </w:r>
      <w:r w:rsidR="003F5F38">
        <w:rPr>
          <w:sz w:val="22"/>
          <w:szCs w:val="22"/>
        </w:rPr>
        <w:t xml:space="preserve"> (Note that there are some measurements of CRP that are reported as zeroes. Make clear how you handle these measurements.)</w:t>
      </w:r>
    </w:p>
    <w:p w14:paraId="18633728" w14:textId="77777777" w:rsidR="000023E4" w:rsidRDefault="000023E4" w:rsidP="00F87246">
      <w:pPr>
        <w:autoSpaceDE w:val="0"/>
        <w:autoSpaceDN w:val="0"/>
        <w:adjustRightInd w:val="0"/>
        <w:spacing w:after="120"/>
        <w:rPr>
          <w:sz w:val="22"/>
          <w:szCs w:val="22"/>
        </w:rPr>
      </w:pPr>
    </w:p>
    <w:p w14:paraId="78806D6F" w14:textId="0D215BD5" w:rsidR="00E9753A" w:rsidRPr="00BC13E3" w:rsidRDefault="007A7DDF" w:rsidP="00E9753A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7A7DDF">
        <w:rPr>
          <w:b/>
          <w:color w:val="0000FF"/>
          <w:sz w:val="22"/>
          <w:szCs w:val="22"/>
          <w:u w:val="single"/>
        </w:rPr>
        <w:t>Methods:</w:t>
      </w:r>
      <w:r w:rsidRPr="007A7DDF">
        <w:rPr>
          <w:color w:val="0000FF"/>
          <w:sz w:val="22"/>
          <w:szCs w:val="22"/>
        </w:rPr>
        <w:t xml:space="preserve"> </w:t>
      </w:r>
      <w:r w:rsidR="00404084">
        <w:rPr>
          <w:color w:val="0000FF"/>
          <w:sz w:val="22"/>
          <w:szCs w:val="22"/>
        </w:rPr>
        <w:t xml:space="preserve">Since some CRP values are equal to zero, 0.5 (half of lowest value) was added to all </w:t>
      </w:r>
      <w:r w:rsidR="00765DCC">
        <w:rPr>
          <w:color w:val="0000FF"/>
          <w:sz w:val="22"/>
          <w:szCs w:val="22"/>
        </w:rPr>
        <w:t>CRP values</w:t>
      </w:r>
      <w:r w:rsidR="00404084">
        <w:rPr>
          <w:color w:val="0000FF"/>
          <w:sz w:val="22"/>
          <w:szCs w:val="22"/>
        </w:rPr>
        <w:t xml:space="preserve">. </w:t>
      </w:r>
      <w:r w:rsidR="00B52D9C">
        <w:rPr>
          <w:color w:val="0000FF"/>
          <w:sz w:val="22"/>
          <w:szCs w:val="22"/>
        </w:rPr>
        <w:t xml:space="preserve">The </w:t>
      </w:r>
      <w:r w:rsidR="00F20784">
        <w:rPr>
          <w:color w:val="0000FF"/>
          <w:sz w:val="22"/>
          <w:szCs w:val="22"/>
        </w:rPr>
        <w:t xml:space="preserve">CRP values </w:t>
      </w:r>
      <w:r w:rsidR="005234A0">
        <w:rPr>
          <w:color w:val="0000FF"/>
          <w:sz w:val="22"/>
          <w:szCs w:val="22"/>
        </w:rPr>
        <w:t>were then log transformed (base 10)</w:t>
      </w:r>
      <w:r w:rsidR="00F20784">
        <w:rPr>
          <w:color w:val="0000FF"/>
          <w:sz w:val="22"/>
          <w:szCs w:val="22"/>
        </w:rPr>
        <w:t>.</w:t>
      </w:r>
      <w:r w:rsidR="00765DCC">
        <w:rPr>
          <w:color w:val="0000FF"/>
          <w:sz w:val="22"/>
          <w:szCs w:val="22"/>
        </w:rPr>
        <w:t xml:space="preserve"> </w:t>
      </w:r>
      <w:r w:rsidRPr="007A7DDF">
        <w:rPr>
          <w:color w:val="0000FF"/>
          <w:sz w:val="22"/>
          <w:szCs w:val="22"/>
        </w:rPr>
        <w:t xml:space="preserve">The t test that assumes unequal variances was used to test the difference in mean </w:t>
      </w:r>
      <w:r>
        <w:rPr>
          <w:color w:val="0000FF"/>
          <w:sz w:val="22"/>
          <w:szCs w:val="22"/>
        </w:rPr>
        <w:t xml:space="preserve">of log transformed </w:t>
      </w:r>
      <w:r w:rsidRPr="007A7DDF">
        <w:rPr>
          <w:color w:val="0000FF"/>
          <w:sz w:val="22"/>
          <w:szCs w:val="22"/>
        </w:rPr>
        <w:t>CRP measurements</w:t>
      </w:r>
      <w:r>
        <w:rPr>
          <w:color w:val="0000FF"/>
          <w:sz w:val="22"/>
          <w:szCs w:val="22"/>
        </w:rPr>
        <w:t xml:space="preserve"> (mg/L)</w:t>
      </w:r>
      <w:r w:rsidRPr="007A7DDF">
        <w:rPr>
          <w:color w:val="0000FF"/>
          <w:sz w:val="22"/>
          <w:szCs w:val="22"/>
        </w:rPr>
        <w:t xml:space="preserve"> between subjects who died within 4 years </w:t>
      </w:r>
      <w:r w:rsidR="009760EC">
        <w:rPr>
          <w:color w:val="0000FF"/>
          <w:sz w:val="22"/>
          <w:szCs w:val="22"/>
        </w:rPr>
        <w:t xml:space="preserve">and those who survived at least 4 years </w:t>
      </w:r>
      <w:r w:rsidRPr="007A7DDF">
        <w:rPr>
          <w:color w:val="0000FF"/>
          <w:sz w:val="22"/>
          <w:szCs w:val="22"/>
        </w:rPr>
        <w:t>(Satterthwaite's approximation). Similarly the</w:t>
      </w:r>
      <w:r>
        <w:rPr>
          <w:color w:val="0000FF"/>
          <w:sz w:val="22"/>
          <w:szCs w:val="22"/>
        </w:rPr>
        <w:t xml:space="preserve"> generated 95% confidence interval of the </w:t>
      </w:r>
      <w:r w:rsidR="00B52D9C">
        <w:rPr>
          <w:color w:val="0000FF"/>
          <w:sz w:val="22"/>
          <w:szCs w:val="22"/>
        </w:rPr>
        <w:t xml:space="preserve">mean log </w:t>
      </w:r>
      <w:r>
        <w:rPr>
          <w:color w:val="0000FF"/>
          <w:sz w:val="22"/>
          <w:szCs w:val="22"/>
        </w:rPr>
        <w:t xml:space="preserve">difference </w:t>
      </w:r>
      <w:r w:rsidRPr="007A7DDF">
        <w:rPr>
          <w:color w:val="0000FF"/>
          <w:sz w:val="22"/>
          <w:szCs w:val="22"/>
        </w:rPr>
        <w:t>is under the assumption of unequal variances.</w:t>
      </w:r>
      <w:r w:rsidR="00E9753A">
        <w:rPr>
          <w:color w:val="0000FF"/>
          <w:sz w:val="22"/>
          <w:szCs w:val="22"/>
        </w:rPr>
        <w:t xml:space="preserve"> The </w:t>
      </w:r>
      <w:r w:rsidR="00404084">
        <w:rPr>
          <w:color w:val="0000FF"/>
          <w:sz w:val="22"/>
          <w:szCs w:val="22"/>
        </w:rPr>
        <w:t xml:space="preserve">geometric mean </w:t>
      </w:r>
      <w:r w:rsidR="00E9753A">
        <w:rPr>
          <w:color w:val="0000FF"/>
          <w:sz w:val="22"/>
          <w:szCs w:val="22"/>
        </w:rPr>
        <w:t>estimates were then exponentiated back to unit scale</w:t>
      </w:r>
      <w:r w:rsidR="00404084">
        <w:rPr>
          <w:color w:val="0000FF"/>
          <w:sz w:val="22"/>
          <w:szCs w:val="22"/>
        </w:rPr>
        <w:t xml:space="preserve"> and 0.5 subtracted to make inferences in point estimates and 95% confidence intervals.</w:t>
      </w:r>
    </w:p>
    <w:p w14:paraId="1A0B5FAF" w14:textId="755928D5" w:rsidR="007A7DDF" w:rsidRPr="007A7DDF" w:rsidRDefault="007A7DDF" w:rsidP="007A7DDF">
      <w:pPr>
        <w:pStyle w:val="ListParagraph"/>
        <w:autoSpaceDE w:val="0"/>
        <w:autoSpaceDN w:val="0"/>
        <w:adjustRightInd w:val="0"/>
        <w:spacing w:after="120"/>
        <w:rPr>
          <w:color w:val="0000FF"/>
          <w:sz w:val="22"/>
          <w:szCs w:val="22"/>
        </w:rPr>
      </w:pPr>
    </w:p>
    <w:p w14:paraId="41626CC1" w14:textId="41DB5F73" w:rsidR="007A7DDF" w:rsidRPr="007A7DDF" w:rsidRDefault="007A7DDF" w:rsidP="007A7DDF">
      <w:pPr>
        <w:pStyle w:val="ListParagraph"/>
        <w:autoSpaceDE w:val="0"/>
        <w:autoSpaceDN w:val="0"/>
        <w:adjustRightInd w:val="0"/>
        <w:spacing w:after="120"/>
        <w:rPr>
          <w:color w:val="0000FF"/>
          <w:sz w:val="22"/>
          <w:szCs w:val="22"/>
        </w:rPr>
      </w:pPr>
      <w:r w:rsidRPr="007A7DDF">
        <w:rPr>
          <w:b/>
          <w:color w:val="0000FF"/>
          <w:sz w:val="22"/>
          <w:szCs w:val="22"/>
          <w:u w:val="single"/>
        </w:rPr>
        <w:t>Results:</w:t>
      </w:r>
      <w:r w:rsidRPr="007A7DDF">
        <w:rPr>
          <w:color w:val="0000FF"/>
          <w:sz w:val="22"/>
          <w:szCs w:val="22"/>
        </w:rPr>
        <w:t xml:space="preserve"> The </w:t>
      </w:r>
      <w:r w:rsidR="00380092">
        <w:rPr>
          <w:color w:val="0000FF"/>
          <w:sz w:val="22"/>
          <w:szCs w:val="22"/>
        </w:rPr>
        <w:t>geometric mean</w:t>
      </w:r>
      <w:r w:rsidRPr="007A7DDF">
        <w:rPr>
          <w:color w:val="0000FF"/>
          <w:sz w:val="22"/>
          <w:szCs w:val="22"/>
        </w:rPr>
        <w:t xml:space="preserve"> CRP level for thos</w:t>
      </w:r>
      <w:r w:rsidR="00E9753A">
        <w:rPr>
          <w:color w:val="0000FF"/>
          <w:sz w:val="22"/>
          <w:szCs w:val="22"/>
        </w:rPr>
        <w:t>e who died within 4 years (N=482</w:t>
      </w:r>
      <w:r w:rsidRPr="007A7DDF">
        <w:rPr>
          <w:color w:val="0000FF"/>
          <w:sz w:val="22"/>
          <w:szCs w:val="22"/>
        </w:rPr>
        <w:t xml:space="preserve">) is </w:t>
      </w:r>
      <w:r w:rsidR="00404084">
        <w:rPr>
          <w:color w:val="0000FF"/>
          <w:sz w:val="22"/>
          <w:szCs w:val="22"/>
        </w:rPr>
        <w:t>3.0</w:t>
      </w:r>
      <w:r w:rsidR="00E9753A">
        <w:rPr>
          <w:color w:val="0000FF"/>
          <w:sz w:val="22"/>
          <w:szCs w:val="22"/>
        </w:rPr>
        <w:t xml:space="preserve">8 </w:t>
      </w:r>
      <w:r w:rsidR="00BB65F5">
        <w:rPr>
          <w:color w:val="0000FF"/>
          <w:sz w:val="22"/>
          <w:szCs w:val="22"/>
        </w:rPr>
        <w:t>mg/L</w:t>
      </w:r>
      <w:r w:rsidR="00380092">
        <w:rPr>
          <w:color w:val="0000FF"/>
          <w:sz w:val="22"/>
          <w:szCs w:val="22"/>
        </w:rPr>
        <w:t>, while that for</w:t>
      </w:r>
      <w:r w:rsidRPr="007A7DDF">
        <w:rPr>
          <w:color w:val="0000FF"/>
          <w:sz w:val="22"/>
          <w:szCs w:val="22"/>
        </w:rPr>
        <w:t xml:space="preserve"> </w:t>
      </w:r>
      <w:r w:rsidR="00E9753A">
        <w:rPr>
          <w:color w:val="0000FF"/>
          <w:sz w:val="22"/>
          <w:szCs w:val="22"/>
        </w:rPr>
        <w:t>those who survived beyond 4 years (N=4,429</w:t>
      </w:r>
      <w:r w:rsidRPr="007A7DDF">
        <w:rPr>
          <w:color w:val="0000FF"/>
          <w:sz w:val="22"/>
          <w:szCs w:val="22"/>
        </w:rPr>
        <w:t xml:space="preserve">) is </w:t>
      </w:r>
      <w:r w:rsidR="00404084">
        <w:rPr>
          <w:color w:val="0000FF"/>
          <w:sz w:val="22"/>
          <w:szCs w:val="22"/>
        </w:rPr>
        <w:t>2.02</w:t>
      </w:r>
      <w:r w:rsidR="00BB65F5">
        <w:rPr>
          <w:color w:val="0000FF"/>
          <w:sz w:val="22"/>
          <w:szCs w:val="22"/>
        </w:rPr>
        <w:t>mg/L</w:t>
      </w:r>
      <w:r w:rsidRPr="007A7DDF">
        <w:rPr>
          <w:color w:val="0000FF"/>
          <w:sz w:val="22"/>
          <w:szCs w:val="22"/>
        </w:rPr>
        <w:t xml:space="preserve">. The observed difference in </w:t>
      </w:r>
      <w:r w:rsidR="00380092">
        <w:rPr>
          <w:color w:val="0000FF"/>
          <w:sz w:val="22"/>
          <w:szCs w:val="22"/>
        </w:rPr>
        <w:t>geometric mean of</w:t>
      </w:r>
      <w:r w:rsidR="007D08DD">
        <w:rPr>
          <w:color w:val="0000FF"/>
          <w:sz w:val="22"/>
          <w:szCs w:val="22"/>
        </w:rPr>
        <w:t xml:space="preserve"> CRP levels is </w:t>
      </w:r>
      <w:r w:rsidR="004D0902">
        <w:rPr>
          <w:color w:val="0000FF"/>
          <w:sz w:val="22"/>
          <w:szCs w:val="22"/>
        </w:rPr>
        <w:t>35.4</w:t>
      </w:r>
      <w:r w:rsidR="00BB65F5">
        <w:rPr>
          <w:color w:val="0000FF"/>
          <w:sz w:val="22"/>
          <w:szCs w:val="22"/>
        </w:rPr>
        <w:t xml:space="preserve">% </w:t>
      </w:r>
      <w:r w:rsidRPr="007A7DDF">
        <w:rPr>
          <w:color w:val="0000FF"/>
          <w:sz w:val="22"/>
          <w:szCs w:val="22"/>
        </w:rPr>
        <w:t>higher among those who died within 4 years</w:t>
      </w:r>
      <w:r w:rsidR="007D08DD">
        <w:rPr>
          <w:color w:val="0000FF"/>
          <w:sz w:val="22"/>
          <w:szCs w:val="22"/>
        </w:rPr>
        <w:t xml:space="preserve"> compared to those that survived at least 4 years. This difference</w:t>
      </w:r>
      <w:r w:rsidRPr="007A7DDF">
        <w:rPr>
          <w:color w:val="0000FF"/>
          <w:sz w:val="22"/>
          <w:szCs w:val="22"/>
        </w:rPr>
        <w:t xml:space="preserve"> </w:t>
      </w:r>
      <w:r w:rsidR="007D08DD">
        <w:rPr>
          <w:color w:val="0000FF"/>
          <w:sz w:val="22"/>
          <w:szCs w:val="22"/>
        </w:rPr>
        <w:t xml:space="preserve">in log means </w:t>
      </w:r>
      <w:r w:rsidRPr="007A7DDF">
        <w:rPr>
          <w:color w:val="0000FF"/>
          <w:sz w:val="22"/>
          <w:szCs w:val="22"/>
        </w:rPr>
        <w:t>will not be unusual if the true population difference</w:t>
      </w:r>
      <w:r w:rsidR="007D08DD">
        <w:rPr>
          <w:color w:val="0000FF"/>
          <w:sz w:val="22"/>
          <w:szCs w:val="22"/>
        </w:rPr>
        <w:t xml:space="preserve"> </w:t>
      </w:r>
      <w:r w:rsidRPr="007A7DDF">
        <w:rPr>
          <w:color w:val="0000FF"/>
          <w:sz w:val="22"/>
          <w:szCs w:val="22"/>
        </w:rPr>
        <w:t xml:space="preserve">is between </w:t>
      </w:r>
      <w:r w:rsidR="004D0902">
        <w:rPr>
          <w:color w:val="0000FF"/>
          <w:sz w:val="22"/>
          <w:szCs w:val="22"/>
        </w:rPr>
        <w:t>26.4</w:t>
      </w:r>
      <w:r w:rsidR="00DB6A3F">
        <w:rPr>
          <w:color w:val="0000FF"/>
          <w:sz w:val="22"/>
          <w:szCs w:val="22"/>
        </w:rPr>
        <w:t>%</w:t>
      </w:r>
      <w:r w:rsidR="00380092">
        <w:rPr>
          <w:color w:val="0000FF"/>
          <w:sz w:val="22"/>
          <w:szCs w:val="22"/>
        </w:rPr>
        <w:t xml:space="preserve"> </w:t>
      </w:r>
      <w:r w:rsidR="00326E81">
        <w:rPr>
          <w:color w:val="0000FF"/>
          <w:sz w:val="22"/>
          <w:szCs w:val="22"/>
        </w:rPr>
        <w:t xml:space="preserve">and </w:t>
      </w:r>
      <w:r w:rsidR="004D0902">
        <w:rPr>
          <w:color w:val="0000FF"/>
          <w:sz w:val="22"/>
          <w:szCs w:val="22"/>
        </w:rPr>
        <w:t>43.7</w:t>
      </w:r>
      <w:r w:rsidR="00DB6A3F">
        <w:rPr>
          <w:color w:val="0000FF"/>
          <w:sz w:val="22"/>
          <w:szCs w:val="22"/>
        </w:rPr>
        <w:t xml:space="preserve">% </w:t>
      </w:r>
      <w:r w:rsidRPr="007A7DDF">
        <w:rPr>
          <w:color w:val="0000FF"/>
          <w:sz w:val="22"/>
          <w:szCs w:val="22"/>
        </w:rPr>
        <w:t>higher among those who died within 4 years</w:t>
      </w:r>
      <w:r w:rsidR="007D08DD">
        <w:rPr>
          <w:color w:val="0000FF"/>
          <w:sz w:val="22"/>
          <w:szCs w:val="22"/>
        </w:rPr>
        <w:t xml:space="preserve"> compared to those who survived at least four years</w:t>
      </w:r>
      <w:r w:rsidRPr="007A7DDF">
        <w:rPr>
          <w:color w:val="0000FF"/>
          <w:sz w:val="22"/>
          <w:szCs w:val="22"/>
        </w:rPr>
        <w:t xml:space="preserve">. The difference in the </w:t>
      </w:r>
      <w:r w:rsidR="007D08DD">
        <w:rPr>
          <w:color w:val="0000FF"/>
          <w:sz w:val="22"/>
          <w:szCs w:val="22"/>
        </w:rPr>
        <w:t xml:space="preserve">log </w:t>
      </w:r>
      <w:r w:rsidRPr="007A7DDF">
        <w:rPr>
          <w:color w:val="0000FF"/>
          <w:sz w:val="22"/>
          <w:szCs w:val="22"/>
        </w:rPr>
        <w:t xml:space="preserve">means is also statistically significant at a 0.05 level (two sided P &lt;0.0001), rejecting the null hypothesis that states that there is no difference between </w:t>
      </w:r>
      <w:r w:rsidR="00380092">
        <w:rPr>
          <w:color w:val="0000FF"/>
          <w:sz w:val="22"/>
          <w:szCs w:val="22"/>
        </w:rPr>
        <w:t>geometric means</w:t>
      </w:r>
      <w:r w:rsidRPr="007A7DDF">
        <w:rPr>
          <w:color w:val="0000FF"/>
          <w:sz w:val="22"/>
          <w:szCs w:val="22"/>
        </w:rPr>
        <w:t xml:space="preserve"> of CRP between those who die within 4 years or </w:t>
      </w:r>
      <w:r w:rsidR="00326E81">
        <w:rPr>
          <w:color w:val="0000FF"/>
          <w:sz w:val="22"/>
          <w:szCs w:val="22"/>
        </w:rPr>
        <w:t xml:space="preserve">survived beyond 4 years. </w:t>
      </w:r>
    </w:p>
    <w:p w14:paraId="07BDDE72" w14:textId="77777777" w:rsidR="007A7DDF" w:rsidRPr="009D5804" w:rsidRDefault="007A7DDF" w:rsidP="007A7DDF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16CE382A" w14:textId="77777777" w:rsidR="00C55091" w:rsidRDefault="00C55091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probability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</w:t>
      </w:r>
      <w:r w:rsidR="00B457A7" w:rsidRPr="009D5804">
        <w:rPr>
          <w:sz w:val="22"/>
          <w:szCs w:val="22"/>
        </w:rPr>
        <w:t xml:space="preserve">whether the subjects have high serum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="00B457A7" w:rsidRPr="009D5804">
        <w:rPr>
          <w:sz w:val="22"/>
          <w:szCs w:val="22"/>
        </w:rPr>
        <w:t xml:space="preserve"> </w:t>
      </w:r>
      <w:r w:rsidR="00B457A7" w:rsidRPr="003F5F38">
        <w:rPr>
          <w:sz w:val="22"/>
          <w:szCs w:val="22"/>
        </w:rPr>
        <w:t>&gt;</w:t>
      </w:r>
      <w:r w:rsidR="00B457A7"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="00B457A7" w:rsidRPr="009D5804">
        <w:rPr>
          <w:sz w:val="22"/>
          <w:szCs w:val="22"/>
        </w:rPr>
        <w:t>L).</w:t>
      </w:r>
    </w:p>
    <w:p w14:paraId="023496CE" w14:textId="77777777" w:rsidR="00A36F84" w:rsidRPr="00865544" w:rsidRDefault="00B52D9C" w:rsidP="0046760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65544">
        <w:rPr>
          <w:b/>
          <w:color w:val="0000FF"/>
          <w:sz w:val="22"/>
          <w:szCs w:val="22"/>
          <w:u w:val="single"/>
        </w:rPr>
        <w:t>Methods:</w:t>
      </w:r>
      <w:r w:rsidR="009A4FFF" w:rsidRPr="00865544">
        <w:rPr>
          <w:color w:val="0000FF"/>
          <w:sz w:val="22"/>
          <w:szCs w:val="22"/>
        </w:rPr>
        <w:t xml:space="preserve"> </w:t>
      </w:r>
    </w:p>
    <w:p w14:paraId="34F0A430" w14:textId="593CC606" w:rsidR="0046760F" w:rsidRPr="00865544" w:rsidRDefault="00A36F84" w:rsidP="0046760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865544">
        <w:rPr>
          <w:color w:val="0000FF"/>
          <w:sz w:val="22"/>
          <w:szCs w:val="22"/>
        </w:rPr>
        <w:t xml:space="preserve">Two </w:t>
      </w:r>
      <w:r w:rsidR="00380092">
        <w:rPr>
          <w:color w:val="0000FF"/>
          <w:sz w:val="22"/>
          <w:szCs w:val="22"/>
        </w:rPr>
        <w:t xml:space="preserve">categories of CRP </w:t>
      </w:r>
      <w:r w:rsidR="00036F2C">
        <w:rPr>
          <w:color w:val="0000FF"/>
          <w:sz w:val="22"/>
          <w:szCs w:val="22"/>
        </w:rPr>
        <w:t xml:space="preserve">serum levels </w:t>
      </w:r>
      <w:r w:rsidRPr="00865544">
        <w:rPr>
          <w:color w:val="0000FF"/>
          <w:sz w:val="22"/>
          <w:szCs w:val="22"/>
        </w:rPr>
        <w:t xml:space="preserve">were created, </w:t>
      </w:r>
      <w:r w:rsidR="00036F2C">
        <w:rPr>
          <w:color w:val="0000FF"/>
          <w:sz w:val="22"/>
          <w:szCs w:val="22"/>
        </w:rPr>
        <w:t xml:space="preserve">a </w:t>
      </w:r>
      <w:r w:rsidR="00865544" w:rsidRPr="00865544">
        <w:rPr>
          <w:color w:val="0000FF"/>
          <w:sz w:val="22"/>
          <w:szCs w:val="22"/>
        </w:rPr>
        <w:t>“</w:t>
      </w:r>
      <w:r w:rsidRPr="00865544">
        <w:rPr>
          <w:color w:val="0000FF"/>
          <w:sz w:val="22"/>
          <w:szCs w:val="22"/>
        </w:rPr>
        <w:t>high</w:t>
      </w:r>
      <w:r w:rsidR="00865544" w:rsidRPr="00865544">
        <w:rPr>
          <w:color w:val="0000FF"/>
          <w:sz w:val="22"/>
          <w:szCs w:val="22"/>
        </w:rPr>
        <w:t>”</w:t>
      </w:r>
      <w:r w:rsidRPr="00865544">
        <w:rPr>
          <w:color w:val="0000FF"/>
          <w:sz w:val="22"/>
          <w:szCs w:val="22"/>
        </w:rPr>
        <w:t xml:space="preserve"> defined as greater than 3mg/L and </w:t>
      </w:r>
      <w:r w:rsidR="00036F2C">
        <w:rPr>
          <w:color w:val="0000FF"/>
          <w:sz w:val="22"/>
          <w:szCs w:val="22"/>
        </w:rPr>
        <w:t xml:space="preserve">a </w:t>
      </w:r>
      <w:r w:rsidR="00865544" w:rsidRPr="00865544">
        <w:rPr>
          <w:color w:val="0000FF"/>
          <w:sz w:val="22"/>
          <w:szCs w:val="22"/>
        </w:rPr>
        <w:t>“</w:t>
      </w:r>
      <w:r w:rsidRPr="00865544">
        <w:rPr>
          <w:color w:val="0000FF"/>
          <w:sz w:val="22"/>
          <w:szCs w:val="22"/>
        </w:rPr>
        <w:t>low</w:t>
      </w:r>
      <w:r w:rsidR="00865544" w:rsidRPr="00865544">
        <w:rPr>
          <w:color w:val="0000FF"/>
          <w:sz w:val="22"/>
          <w:szCs w:val="22"/>
        </w:rPr>
        <w:t>”</w:t>
      </w:r>
      <w:r w:rsidRPr="00865544">
        <w:rPr>
          <w:color w:val="0000FF"/>
          <w:sz w:val="22"/>
          <w:szCs w:val="22"/>
        </w:rPr>
        <w:t xml:space="preserve"> as equal </w:t>
      </w:r>
      <w:r w:rsidR="00865544" w:rsidRPr="00865544">
        <w:rPr>
          <w:color w:val="0000FF"/>
          <w:sz w:val="22"/>
          <w:szCs w:val="22"/>
        </w:rPr>
        <w:t>to or</w:t>
      </w:r>
      <w:r w:rsidRPr="00865544">
        <w:rPr>
          <w:color w:val="0000FF"/>
          <w:sz w:val="22"/>
          <w:szCs w:val="22"/>
        </w:rPr>
        <w:t xml:space="preserve"> less than 3. </w:t>
      </w:r>
      <w:r w:rsidR="009A4FFF" w:rsidRPr="00865544">
        <w:rPr>
          <w:color w:val="0000FF"/>
          <w:sz w:val="22"/>
          <w:szCs w:val="22"/>
        </w:rPr>
        <w:t xml:space="preserve">The proportion of those who died within 4 years in subjects with </w:t>
      </w:r>
      <w:r w:rsidR="00036F2C">
        <w:rPr>
          <w:color w:val="0000FF"/>
          <w:sz w:val="22"/>
          <w:szCs w:val="22"/>
        </w:rPr>
        <w:t>“</w:t>
      </w:r>
      <w:r w:rsidR="009A4FFF" w:rsidRPr="00865544">
        <w:rPr>
          <w:color w:val="0000FF"/>
          <w:sz w:val="22"/>
          <w:szCs w:val="22"/>
        </w:rPr>
        <w:t>high</w:t>
      </w:r>
      <w:r w:rsidR="00036F2C">
        <w:rPr>
          <w:color w:val="0000FF"/>
          <w:sz w:val="22"/>
          <w:szCs w:val="22"/>
        </w:rPr>
        <w:t>”</w:t>
      </w:r>
      <w:r w:rsidR="0046760F" w:rsidRPr="00865544">
        <w:rPr>
          <w:color w:val="0000FF"/>
          <w:sz w:val="22"/>
          <w:szCs w:val="22"/>
        </w:rPr>
        <w:t xml:space="preserve"> serum CRP was compared to the proportion of subjects</w:t>
      </w:r>
      <w:r w:rsidR="009A4FFF" w:rsidRPr="00865544">
        <w:rPr>
          <w:color w:val="0000FF"/>
          <w:sz w:val="22"/>
          <w:szCs w:val="22"/>
        </w:rPr>
        <w:t xml:space="preserve"> </w:t>
      </w:r>
      <w:r w:rsidR="0046760F" w:rsidRPr="00865544">
        <w:rPr>
          <w:color w:val="0000FF"/>
          <w:sz w:val="22"/>
          <w:szCs w:val="22"/>
        </w:rPr>
        <w:t xml:space="preserve">who died within 4 years </w:t>
      </w:r>
      <w:r w:rsidR="009A4FFF" w:rsidRPr="00865544">
        <w:rPr>
          <w:color w:val="0000FF"/>
          <w:sz w:val="22"/>
          <w:szCs w:val="22"/>
        </w:rPr>
        <w:t xml:space="preserve">with </w:t>
      </w:r>
      <w:r w:rsidR="00036F2C">
        <w:rPr>
          <w:color w:val="0000FF"/>
          <w:sz w:val="22"/>
          <w:szCs w:val="22"/>
        </w:rPr>
        <w:t>“low”</w:t>
      </w:r>
      <w:r w:rsidR="009A4FFF" w:rsidRPr="00865544">
        <w:rPr>
          <w:color w:val="0000FF"/>
          <w:sz w:val="22"/>
          <w:szCs w:val="22"/>
        </w:rPr>
        <w:t xml:space="preserve"> </w:t>
      </w:r>
      <w:r w:rsidR="0046760F" w:rsidRPr="00865544">
        <w:rPr>
          <w:color w:val="0000FF"/>
          <w:sz w:val="22"/>
          <w:szCs w:val="22"/>
        </w:rPr>
        <w:t xml:space="preserve">serum CRP </w:t>
      </w:r>
      <w:r w:rsidR="009A4FFF" w:rsidRPr="00865544">
        <w:rPr>
          <w:color w:val="0000FF"/>
          <w:sz w:val="22"/>
          <w:szCs w:val="22"/>
        </w:rPr>
        <w:t>levels</w:t>
      </w:r>
      <w:r w:rsidR="00036F2C">
        <w:rPr>
          <w:color w:val="0000FF"/>
          <w:sz w:val="22"/>
          <w:szCs w:val="22"/>
        </w:rPr>
        <w:t xml:space="preserve">. </w:t>
      </w:r>
      <w:r w:rsidR="00100132" w:rsidRPr="00865544">
        <w:rPr>
          <w:color w:val="0000FF"/>
          <w:sz w:val="22"/>
          <w:szCs w:val="22"/>
        </w:rPr>
        <w:t xml:space="preserve">Pearson’s chi squared test was used to test the differences in probability </w:t>
      </w:r>
      <w:r w:rsidR="0046760F" w:rsidRPr="00865544">
        <w:rPr>
          <w:color w:val="0000FF"/>
          <w:sz w:val="22"/>
          <w:szCs w:val="22"/>
        </w:rPr>
        <w:t>between both groups and 95% confidence intervals of the difference in probabilities were computed using Wald statistics.</w:t>
      </w:r>
    </w:p>
    <w:p w14:paraId="10B2AAC8" w14:textId="76D4CE0B" w:rsidR="0046760F" w:rsidRPr="00865544" w:rsidRDefault="00B52D9C" w:rsidP="00865544">
      <w:pPr>
        <w:autoSpaceDE w:val="0"/>
        <w:autoSpaceDN w:val="0"/>
        <w:adjustRightInd w:val="0"/>
        <w:spacing w:after="120"/>
        <w:ind w:left="720"/>
        <w:rPr>
          <w:b/>
          <w:sz w:val="22"/>
          <w:szCs w:val="22"/>
          <w:u w:val="single"/>
        </w:rPr>
      </w:pPr>
      <w:r w:rsidRPr="00865544">
        <w:rPr>
          <w:b/>
          <w:color w:val="0000FF"/>
          <w:sz w:val="22"/>
          <w:szCs w:val="22"/>
          <w:u w:val="single"/>
        </w:rPr>
        <w:t xml:space="preserve">Results: </w:t>
      </w:r>
      <w:r w:rsidR="00036F2C">
        <w:rPr>
          <w:color w:val="0000FF"/>
          <w:sz w:val="22"/>
          <w:szCs w:val="22"/>
        </w:rPr>
        <w:t>14.0</w:t>
      </w:r>
      <w:r w:rsidR="0046760F" w:rsidRPr="00865544">
        <w:rPr>
          <w:color w:val="0000FF"/>
          <w:sz w:val="22"/>
          <w:szCs w:val="22"/>
        </w:rPr>
        <w:t>% of those with serum CR</w:t>
      </w:r>
      <w:r w:rsidR="009F141E" w:rsidRPr="00865544">
        <w:rPr>
          <w:color w:val="0000FF"/>
          <w:sz w:val="22"/>
          <w:szCs w:val="22"/>
        </w:rPr>
        <w:t xml:space="preserve">P greater than </w:t>
      </w:r>
      <w:r w:rsidR="00036F2C">
        <w:rPr>
          <w:color w:val="0000FF"/>
          <w:sz w:val="22"/>
          <w:szCs w:val="22"/>
        </w:rPr>
        <w:t>3mg/L (N=1,870</w:t>
      </w:r>
      <w:r w:rsidR="0046760F" w:rsidRPr="00865544">
        <w:rPr>
          <w:color w:val="0000FF"/>
          <w:sz w:val="22"/>
          <w:szCs w:val="22"/>
        </w:rPr>
        <w:t>)</w:t>
      </w:r>
      <w:r w:rsidR="00F311E9" w:rsidRPr="00865544">
        <w:rPr>
          <w:color w:val="0000FF"/>
          <w:sz w:val="22"/>
          <w:szCs w:val="22"/>
        </w:rPr>
        <w:t xml:space="preserve"> died with 4 years</w:t>
      </w:r>
      <w:r w:rsidR="00036F2C">
        <w:rPr>
          <w:color w:val="0000FF"/>
          <w:sz w:val="22"/>
          <w:szCs w:val="22"/>
        </w:rPr>
        <w:t xml:space="preserve"> since enrolment compared to 7.3</w:t>
      </w:r>
      <w:r w:rsidR="00A36F84" w:rsidRPr="00865544">
        <w:rPr>
          <w:color w:val="0000FF"/>
          <w:sz w:val="22"/>
          <w:szCs w:val="22"/>
        </w:rPr>
        <w:t xml:space="preserve"> </w:t>
      </w:r>
      <w:r w:rsidR="00F311E9" w:rsidRPr="00865544">
        <w:rPr>
          <w:color w:val="0000FF"/>
          <w:sz w:val="22"/>
          <w:szCs w:val="22"/>
        </w:rPr>
        <w:t>% of those wit</w:t>
      </w:r>
      <w:r w:rsidR="00A36F84" w:rsidRPr="00865544">
        <w:rPr>
          <w:color w:val="0000FF"/>
          <w:sz w:val="22"/>
          <w:szCs w:val="22"/>
        </w:rPr>
        <w:t xml:space="preserve">h serum </w:t>
      </w:r>
      <w:r w:rsidR="00865544" w:rsidRPr="00865544">
        <w:rPr>
          <w:color w:val="0000FF"/>
          <w:sz w:val="22"/>
          <w:szCs w:val="22"/>
        </w:rPr>
        <w:t xml:space="preserve">equal to or </w:t>
      </w:r>
      <w:r w:rsidR="00A36F84" w:rsidRPr="00865544">
        <w:rPr>
          <w:color w:val="0000FF"/>
          <w:sz w:val="22"/>
          <w:szCs w:val="22"/>
        </w:rPr>
        <w:t>less than 3 mg/L (N=3,</w:t>
      </w:r>
      <w:r w:rsidR="00036F2C">
        <w:rPr>
          <w:color w:val="0000FF"/>
          <w:sz w:val="22"/>
          <w:szCs w:val="22"/>
        </w:rPr>
        <w:t>041</w:t>
      </w:r>
      <w:r w:rsidR="00F311E9" w:rsidRPr="00865544">
        <w:rPr>
          <w:color w:val="0000FF"/>
          <w:sz w:val="22"/>
          <w:szCs w:val="22"/>
        </w:rPr>
        <w:t>)</w:t>
      </w:r>
      <w:r w:rsidR="009F141E" w:rsidRPr="00865544">
        <w:rPr>
          <w:color w:val="0000FF"/>
          <w:sz w:val="22"/>
          <w:szCs w:val="22"/>
        </w:rPr>
        <w:t>. The difference in probabili</w:t>
      </w:r>
      <w:r w:rsidR="00036F2C">
        <w:rPr>
          <w:color w:val="0000FF"/>
          <w:sz w:val="22"/>
          <w:szCs w:val="22"/>
        </w:rPr>
        <w:t>ty of death within 4 groups of 6.7</w:t>
      </w:r>
      <w:r w:rsidR="009F141E" w:rsidRPr="00865544">
        <w:rPr>
          <w:color w:val="0000FF"/>
          <w:sz w:val="22"/>
          <w:szCs w:val="22"/>
        </w:rPr>
        <w:t xml:space="preserve">% is not unusual if the true difference in probabilities between </w:t>
      </w:r>
      <w:r w:rsidR="00036F2C">
        <w:rPr>
          <w:color w:val="0000FF"/>
          <w:sz w:val="22"/>
          <w:szCs w:val="22"/>
        </w:rPr>
        <w:t xml:space="preserve">“high” and “low” </w:t>
      </w:r>
      <w:r w:rsidR="009F141E" w:rsidRPr="00865544">
        <w:rPr>
          <w:color w:val="0000FF"/>
          <w:sz w:val="22"/>
          <w:szCs w:val="22"/>
        </w:rPr>
        <w:t xml:space="preserve">CRP serum groups </w:t>
      </w:r>
      <w:r w:rsidR="00A36F84" w:rsidRPr="00865544">
        <w:rPr>
          <w:color w:val="0000FF"/>
          <w:sz w:val="22"/>
          <w:szCs w:val="22"/>
        </w:rPr>
        <w:t>is between 5.3% and 9.8</w:t>
      </w:r>
      <w:r w:rsidR="009F141E" w:rsidRPr="00865544">
        <w:rPr>
          <w:color w:val="0000FF"/>
          <w:sz w:val="22"/>
          <w:szCs w:val="22"/>
        </w:rPr>
        <w:t>%.  Chi square test indicates that the difference is significant at 0.05 level (two sided P&lt;0.0001),</w:t>
      </w:r>
      <w:r w:rsidR="00865544" w:rsidRPr="00865544">
        <w:rPr>
          <w:color w:val="0000FF"/>
          <w:sz w:val="22"/>
          <w:szCs w:val="22"/>
        </w:rPr>
        <w:t xml:space="preserve"> rejecting the null hypothesis </w:t>
      </w:r>
      <w:r w:rsidR="009F141E" w:rsidRPr="00865544">
        <w:rPr>
          <w:color w:val="0000FF"/>
          <w:sz w:val="22"/>
          <w:szCs w:val="22"/>
        </w:rPr>
        <w:t xml:space="preserve">that states that there is no </w:t>
      </w:r>
      <w:r w:rsidR="00A36F84" w:rsidRPr="00865544">
        <w:rPr>
          <w:color w:val="0000FF"/>
          <w:sz w:val="22"/>
          <w:szCs w:val="22"/>
        </w:rPr>
        <w:t xml:space="preserve">difference in probability of death within 4 years between those who have greater than 3mg/L versus </w:t>
      </w:r>
      <w:r w:rsidR="00036F2C">
        <w:rPr>
          <w:color w:val="0000FF"/>
          <w:sz w:val="22"/>
          <w:szCs w:val="22"/>
        </w:rPr>
        <w:t xml:space="preserve">(“high” CRP serum) to </w:t>
      </w:r>
      <w:r w:rsidR="00A36F84" w:rsidRPr="00865544">
        <w:rPr>
          <w:color w:val="0000FF"/>
          <w:sz w:val="22"/>
          <w:szCs w:val="22"/>
        </w:rPr>
        <w:t xml:space="preserve">those </w:t>
      </w:r>
      <w:r w:rsidR="00865544" w:rsidRPr="00865544">
        <w:rPr>
          <w:color w:val="0000FF"/>
          <w:sz w:val="22"/>
          <w:szCs w:val="22"/>
        </w:rPr>
        <w:t>equal to or</w:t>
      </w:r>
      <w:r w:rsidR="00A36F84" w:rsidRPr="00865544">
        <w:rPr>
          <w:color w:val="0000FF"/>
          <w:sz w:val="22"/>
          <w:szCs w:val="22"/>
        </w:rPr>
        <w:t xml:space="preserve"> less than 3mg/L</w:t>
      </w:r>
      <w:r w:rsidR="00036F2C">
        <w:rPr>
          <w:color w:val="0000FF"/>
          <w:sz w:val="22"/>
          <w:szCs w:val="22"/>
        </w:rPr>
        <w:t xml:space="preserve"> (“low” CRP serum)</w:t>
      </w:r>
      <w:r w:rsidR="00A36F84" w:rsidRPr="00865544">
        <w:rPr>
          <w:color w:val="0000FF"/>
          <w:sz w:val="22"/>
          <w:szCs w:val="22"/>
        </w:rPr>
        <w:t>.</w:t>
      </w:r>
      <w:r w:rsidR="00865544">
        <w:rPr>
          <w:sz w:val="22"/>
          <w:szCs w:val="22"/>
        </w:rPr>
        <w:t xml:space="preserve"> </w:t>
      </w:r>
    </w:p>
    <w:p w14:paraId="004D6CC4" w14:textId="77777777" w:rsidR="009D5804" w:rsidRDefault="009D5804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 all-cause mortality by comparing the odds of death within </w:t>
      </w:r>
      <w:r w:rsidR="003F5F38">
        <w:rPr>
          <w:sz w:val="22"/>
          <w:szCs w:val="22"/>
        </w:rPr>
        <w:t>4</w:t>
      </w:r>
      <w:r w:rsidRPr="009D5804">
        <w:rPr>
          <w:sz w:val="22"/>
          <w:szCs w:val="22"/>
        </w:rPr>
        <w:t xml:space="preserve"> years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P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5376298A" w14:textId="4929C8FB" w:rsidR="000B6EE8" w:rsidRPr="00AA24CF" w:rsidRDefault="00F87246" w:rsidP="00AA24CF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AA24CF">
        <w:rPr>
          <w:b/>
          <w:color w:val="0000FF"/>
          <w:sz w:val="22"/>
          <w:szCs w:val="22"/>
          <w:u w:val="single"/>
        </w:rPr>
        <w:t>Method:</w:t>
      </w:r>
      <w:r w:rsidR="00E94C1D" w:rsidRPr="00E94C1D">
        <w:rPr>
          <w:color w:val="0000FF"/>
          <w:sz w:val="22"/>
          <w:szCs w:val="22"/>
        </w:rPr>
        <w:t xml:space="preserve"> The odds of those who died within 4 years since enrollment was compared between those who had “high” serum CRP levels defined e</w:t>
      </w:r>
      <w:r w:rsidR="00F035D1">
        <w:rPr>
          <w:color w:val="0000FF"/>
          <w:sz w:val="22"/>
          <w:szCs w:val="22"/>
        </w:rPr>
        <w:t>arlier as greater than 3mg/L versus</w:t>
      </w:r>
      <w:r w:rsidR="00E94C1D" w:rsidRPr="00E94C1D">
        <w:rPr>
          <w:color w:val="0000FF"/>
          <w:sz w:val="22"/>
          <w:szCs w:val="22"/>
        </w:rPr>
        <w:t xml:space="preserve"> “low” serum CRP levels </w:t>
      </w:r>
      <w:r w:rsidR="00F035D1">
        <w:rPr>
          <w:color w:val="0000FF"/>
          <w:sz w:val="22"/>
          <w:szCs w:val="22"/>
        </w:rPr>
        <w:t xml:space="preserve">as </w:t>
      </w:r>
      <w:r w:rsidR="00E94C1D" w:rsidRPr="00E94C1D">
        <w:rPr>
          <w:color w:val="0000FF"/>
          <w:sz w:val="22"/>
          <w:szCs w:val="22"/>
        </w:rPr>
        <w:t>equal to or less than 3mg/L. Pearson’s chi squared test was used to test the differences in odds between both groups and 95% confidence</w:t>
      </w:r>
      <w:r w:rsidR="00E94C1D" w:rsidRPr="00865544">
        <w:rPr>
          <w:color w:val="0000FF"/>
          <w:sz w:val="22"/>
          <w:szCs w:val="22"/>
        </w:rPr>
        <w:t xml:space="preserve"> intervals of the difference in </w:t>
      </w:r>
      <w:r w:rsidR="00E94C1D">
        <w:rPr>
          <w:color w:val="0000FF"/>
          <w:sz w:val="22"/>
          <w:szCs w:val="22"/>
        </w:rPr>
        <w:t>odds</w:t>
      </w:r>
      <w:r w:rsidR="00E94C1D" w:rsidRPr="00865544">
        <w:rPr>
          <w:color w:val="0000FF"/>
          <w:sz w:val="22"/>
          <w:szCs w:val="22"/>
        </w:rPr>
        <w:t xml:space="preserve"> were computed using Wald statistics.</w:t>
      </w:r>
    </w:p>
    <w:p w14:paraId="037A5497" w14:textId="2CCCD043" w:rsidR="00904518" w:rsidRPr="00A55DED" w:rsidRDefault="00F87246" w:rsidP="00904518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AA24CF">
        <w:rPr>
          <w:b/>
          <w:color w:val="0000FF"/>
          <w:sz w:val="22"/>
          <w:szCs w:val="22"/>
          <w:u w:val="single"/>
        </w:rPr>
        <w:t>Results:</w:t>
      </w:r>
      <w:r w:rsidR="00904518" w:rsidRPr="00AA24CF">
        <w:rPr>
          <w:color w:val="0000FF"/>
          <w:sz w:val="22"/>
          <w:szCs w:val="22"/>
        </w:rPr>
        <w:t xml:space="preserve"> </w:t>
      </w:r>
      <w:r w:rsidR="000B6EE8" w:rsidRPr="00AA24CF">
        <w:rPr>
          <w:color w:val="0000FF"/>
          <w:sz w:val="22"/>
          <w:szCs w:val="22"/>
        </w:rPr>
        <w:t>The odds of dying withi</w:t>
      </w:r>
      <w:r w:rsidR="00F035D1">
        <w:rPr>
          <w:color w:val="0000FF"/>
          <w:sz w:val="22"/>
          <w:szCs w:val="22"/>
        </w:rPr>
        <w:t>n 4 years since enrolment is 0.16</w:t>
      </w:r>
      <w:r w:rsidR="000B6EE8" w:rsidRPr="00AA24CF">
        <w:rPr>
          <w:color w:val="0000FF"/>
          <w:sz w:val="22"/>
          <w:szCs w:val="22"/>
        </w:rPr>
        <w:t xml:space="preserve"> among participants</w:t>
      </w:r>
      <w:r w:rsidR="00A55DED" w:rsidRPr="00AA24CF">
        <w:rPr>
          <w:color w:val="0000FF"/>
          <w:sz w:val="22"/>
          <w:szCs w:val="22"/>
        </w:rPr>
        <w:t xml:space="preserve"> (</w:t>
      </w:r>
      <w:r w:rsidR="00F035D1">
        <w:rPr>
          <w:color w:val="0000FF"/>
          <w:sz w:val="22"/>
          <w:szCs w:val="22"/>
        </w:rPr>
        <w:t>N=1,870</w:t>
      </w:r>
      <w:r w:rsidR="00A55DED" w:rsidRPr="00865544">
        <w:rPr>
          <w:color w:val="0000FF"/>
          <w:sz w:val="22"/>
          <w:szCs w:val="22"/>
        </w:rPr>
        <w:t>)</w:t>
      </w:r>
      <w:r w:rsidR="000B6EE8">
        <w:rPr>
          <w:sz w:val="22"/>
          <w:szCs w:val="22"/>
        </w:rPr>
        <w:t xml:space="preserve"> </w:t>
      </w:r>
      <w:r w:rsidR="00904518" w:rsidRPr="00865544">
        <w:rPr>
          <w:color w:val="0000FF"/>
          <w:sz w:val="22"/>
          <w:szCs w:val="22"/>
        </w:rPr>
        <w:t>with</w:t>
      </w:r>
      <w:r w:rsidR="000B6EE8">
        <w:rPr>
          <w:color w:val="0000FF"/>
          <w:sz w:val="22"/>
          <w:szCs w:val="22"/>
        </w:rPr>
        <w:t xml:space="preserve"> “high”</w:t>
      </w:r>
      <w:r w:rsidR="00904518" w:rsidRPr="00865544">
        <w:rPr>
          <w:color w:val="0000FF"/>
          <w:sz w:val="22"/>
          <w:szCs w:val="22"/>
        </w:rPr>
        <w:t xml:space="preserve"> serum CRP</w:t>
      </w:r>
      <w:r w:rsidR="00A55DED">
        <w:rPr>
          <w:color w:val="0000FF"/>
          <w:sz w:val="22"/>
          <w:szCs w:val="22"/>
        </w:rPr>
        <w:t xml:space="preserve"> defined as</w:t>
      </w:r>
      <w:r w:rsidR="00904518" w:rsidRPr="00865544">
        <w:rPr>
          <w:color w:val="0000FF"/>
          <w:sz w:val="22"/>
          <w:szCs w:val="22"/>
        </w:rPr>
        <w:t xml:space="preserve"> greater than 3mg/L</w:t>
      </w:r>
      <w:r w:rsidR="00A55DED">
        <w:rPr>
          <w:color w:val="0000FF"/>
          <w:sz w:val="22"/>
          <w:szCs w:val="22"/>
        </w:rPr>
        <w:t>. In comparison, the odds of dying withi</w:t>
      </w:r>
      <w:r w:rsidR="00F035D1">
        <w:rPr>
          <w:color w:val="0000FF"/>
          <w:sz w:val="22"/>
          <w:szCs w:val="22"/>
        </w:rPr>
        <w:t>n 4 years since enrolment is 0.08</w:t>
      </w:r>
      <w:r w:rsidR="00A55DED">
        <w:rPr>
          <w:color w:val="0000FF"/>
          <w:sz w:val="22"/>
          <w:szCs w:val="22"/>
        </w:rPr>
        <w:t xml:space="preserve"> in participants </w:t>
      </w:r>
      <w:r w:rsidR="00A55DED" w:rsidRPr="00865544">
        <w:rPr>
          <w:color w:val="0000FF"/>
          <w:sz w:val="22"/>
          <w:szCs w:val="22"/>
        </w:rPr>
        <w:t>(N=3,758)</w:t>
      </w:r>
      <w:r w:rsidR="00A55DED">
        <w:rPr>
          <w:color w:val="0000FF"/>
          <w:sz w:val="22"/>
          <w:szCs w:val="22"/>
        </w:rPr>
        <w:t xml:space="preserve"> with low </w:t>
      </w:r>
      <w:r w:rsidR="00904518" w:rsidRPr="00865544">
        <w:rPr>
          <w:color w:val="0000FF"/>
          <w:sz w:val="22"/>
          <w:szCs w:val="22"/>
        </w:rPr>
        <w:t>serum</w:t>
      </w:r>
      <w:r w:rsidR="00A55DED">
        <w:rPr>
          <w:color w:val="0000FF"/>
          <w:sz w:val="22"/>
          <w:szCs w:val="22"/>
        </w:rPr>
        <w:t xml:space="preserve"> CRP defined as</w:t>
      </w:r>
      <w:r w:rsidR="00904518" w:rsidRPr="00865544">
        <w:rPr>
          <w:color w:val="0000FF"/>
          <w:sz w:val="22"/>
          <w:szCs w:val="22"/>
        </w:rPr>
        <w:t xml:space="preserve"> equal to or less than 3 mg/L. The </w:t>
      </w:r>
      <w:r w:rsidR="00A55DED">
        <w:rPr>
          <w:color w:val="0000FF"/>
          <w:sz w:val="22"/>
          <w:szCs w:val="22"/>
        </w:rPr>
        <w:t>odds ra</w:t>
      </w:r>
      <w:r w:rsidR="00F035D1">
        <w:rPr>
          <w:color w:val="0000FF"/>
          <w:sz w:val="22"/>
          <w:szCs w:val="22"/>
        </w:rPr>
        <w:t>tio between these groups is 2.07</w:t>
      </w:r>
      <w:r w:rsidR="00904518" w:rsidRPr="00865544">
        <w:rPr>
          <w:color w:val="0000FF"/>
          <w:sz w:val="22"/>
          <w:szCs w:val="22"/>
        </w:rPr>
        <w:t xml:space="preserve"> </w:t>
      </w:r>
      <w:r w:rsidR="00A55DED">
        <w:rPr>
          <w:color w:val="0000FF"/>
          <w:sz w:val="22"/>
          <w:szCs w:val="22"/>
        </w:rPr>
        <w:t xml:space="preserve">and this finding will not be unusual if the true odds ratio is </w:t>
      </w:r>
      <w:r w:rsidR="00A55DED" w:rsidRPr="00A55DED">
        <w:rPr>
          <w:color w:val="0000FF"/>
          <w:sz w:val="22"/>
          <w:szCs w:val="22"/>
        </w:rPr>
        <w:t>1.7</w:t>
      </w:r>
      <w:r w:rsidR="00F035D1">
        <w:rPr>
          <w:color w:val="0000FF"/>
          <w:sz w:val="22"/>
          <w:szCs w:val="22"/>
        </w:rPr>
        <w:t>1 and 2.50</w:t>
      </w:r>
      <w:r w:rsidR="00A55DED" w:rsidRPr="00A55DED">
        <w:rPr>
          <w:color w:val="0000FF"/>
          <w:sz w:val="22"/>
          <w:szCs w:val="22"/>
        </w:rPr>
        <w:t xml:space="preserve"> (Cornfield).</w:t>
      </w:r>
      <w:r w:rsidR="00A55DED">
        <w:rPr>
          <w:color w:val="0000FF"/>
          <w:sz w:val="22"/>
          <w:szCs w:val="22"/>
        </w:rPr>
        <w:t xml:space="preserve"> </w:t>
      </w:r>
      <w:r w:rsidR="00904518" w:rsidRPr="00865544">
        <w:rPr>
          <w:color w:val="0000FF"/>
          <w:sz w:val="22"/>
          <w:szCs w:val="22"/>
        </w:rPr>
        <w:t xml:space="preserve">Chi square test indicates that the difference is significant at 0.05 level (two sided P&lt;0.0001), rejecting the null hypothesis that states that there is no difference in </w:t>
      </w:r>
      <w:r w:rsidR="00A55DED">
        <w:rPr>
          <w:color w:val="0000FF"/>
          <w:sz w:val="22"/>
          <w:szCs w:val="22"/>
        </w:rPr>
        <w:t xml:space="preserve">odds </w:t>
      </w:r>
      <w:r w:rsidR="00904518" w:rsidRPr="00865544">
        <w:rPr>
          <w:color w:val="0000FF"/>
          <w:sz w:val="22"/>
          <w:szCs w:val="22"/>
        </w:rPr>
        <w:t>of death within 4 years between those who have greater than 3mg/L</w:t>
      </w:r>
      <w:r w:rsidR="00F035D1">
        <w:rPr>
          <w:color w:val="0000FF"/>
          <w:sz w:val="22"/>
          <w:szCs w:val="22"/>
        </w:rPr>
        <w:t xml:space="preserve"> or “high” CRP levels compared </w:t>
      </w:r>
      <w:r w:rsidR="00904518" w:rsidRPr="00865544">
        <w:rPr>
          <w:color w:val="0000FF"/>
          <w:sz w:val="22"/>
          <w:szCs w:val="22"/>
        </w:rPr>
        <w:t xml:space="preserve">those </w:t>
      </w:r>
      <w:r w:rsidR="00F035D1">
        <w:rPr>
          <w:color w:val="0000FF"/>
          <w:sz w:val="22"/>
          <w:szCs w:val="22"/>
        </w:rPr>
        <w:t xml:space="preserve">with “low” CRP levels </w:t>
      </w:r>
      <w:r w:rsidR="00904518" w:rsidRPr="00865544">
        <w:rPr>
          <w:color w:val="0000FF"/>
          <w:sz w:val="22"/>
          <w:szCs w:val="22"/>
        </w:rPr>
        <w:t>equal to or less than 3mg/L.</w:t>
      </w:r>
      <w:r w:rsidR="00904518" w:rsidRPr="00A55DED">
        <w:rPr>
          <w:color w:val="0000FF"/>
          <w:sz w:val="22"/>
          <w:szCs w:val="22"/>
        </w:rPr>
        <w:t xml:space="preserve"> </w:t>
      </w:r>
    </w:p>
    <w:p w14:paraId="3C7EA5F7" w14:textId="2D2F1D0D" w:rsidR="00F87246" w:rsidRDefault="00F87246" w:rsidP="00E94C1D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</w:p>
    <w:p w14:paraId="355255F3" w14:textId="77777777" w:rsidR="00B457A7" w:rsidRDefault="00B457A7" w:rsidP="003F5F38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 xml:space="preserve">Perform a statistical analysis evaluating an association between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and all-cause mortality over the entire period of observation of these subjects by comparing the instantaneous risk of death across groups defined by whether the subjects have high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(“high” =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&gt;</w:t>
      </w:r>
      <w:r w:rsidRPr="009D5804">
        <w:rPr>
          <w:sz w:val="22"/>
          <w:szCs w:val="22"/>
        </w:rPr>
        <w:t xml:space="preserve"> </w:t>
      </w:r>
      <w:r w:rsidR="003F5F38">
        <w:rPr>
          <w:sz w:val="22"/>
          <w:szCs w:val="22"/>
        </w:rPr>
        <w:t>3 mg/</w:t>
      </w:r>
      <w:r w:rsidRPr="009D5804">
        <w:rPr>
          <w:sz w:val="22"/>
          <w:szCs w:val="22"/>
        </w:rPr>
        <w:t>L).</w:t>
      </w:r>
    </w:p>
    <w:p w14:paraId="70AE20E7" w14:textId="18D43DBB" w:rsidR="00D42586" w:rsidRPr="00F035D1" w:rsidRDefault="00F87246" w:rsidP="00D4258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84F1E">
        <w:rPr>
          <w:b/>
          <w:color w:val="0000FF"/>
          <w:sz w:val="22"/>
          <w:szCs w:val="22"/>
          <w:u w:val="single"/>
        </w:rPr>
        <w:t>Method:</w:t>
      </w:r>
      <w:r w:rsidR="00A45948" w:rsidRPr="00F035D1">
        <w:rPr>
          <w:color w:val="0000FF"/>
          <w:sz w:val="22"/>
          <w:szCs w:val="22"/>
        </w:rPr>
        <w:t xml:space="preserve"> Kaplan-Meier estimates was used </w:t>
      </w:r>
      <w:r w:rsidR="00D42586" w:rsidRPr="00F035D1">
        <w:rPr>
          <w:color w:val="0000FF"/>
          <w:sz w:val="22"/>
          <w:szCs w:val="22"/>
        </w:rPr>
        <w:t xml:space="preserve">to determine the association </w:t>
      </w:r>
      <w:r w:rsidR="00A45948" w:rsidRPr="00F035D1">
        <w:rPr>
          <w:color w:val="0000FF"/>
          <w:sz w:val="22"/>
          <w:szCs w:val="22"/>
        </w:rPr>
        <w:t>for CRP serum level subgroups defined as “high” greater than 3mg/L and “low” equal to or less than 3mg/L</w:t>
      </w:r>
      <w:r w:rsidR="00D42586" w:rsidRPr="00F035D1">
        <w:rPr>
          <w:color w:val="0000FF"/>
          <w:sz w:val="22"/>
          <w:szCs w:val="22"/>
        </w:rPr>
        <w:t xml:space="preserve"> and all cause mortality over the entire period of study</w:t>
      </w:r>
      <w:r w:rsidR="00A45948" w:rsidRPr="00F035D1">
        <w:rPr>
          <w:color w:val="0000FF"/>
          <w:sz w:val="22"/>
          <w:szCs w:val="22"/>
        </w:rPr>
        <w:t xml:space="preserve">. The survival distributions’ difference was </w:t>
      </w:r>
      <w:r w:rsidR="00D42586" w:rsidRPr="00F035D1">
        <w:rPr>
          <w:color w:val="0000FF"/>
          <w:sz w:val="22"/>
          <w:szCs w:val="22"/>
        </w:rPr>
        <w:t>tested using log rank statistic. Cox proportional hazard regression that does not assume equal variances was used to calculate the hazard ratio and 95% confidence intervals.</w:t>
      </w:r>
    </w:p>
    <w:p w14:paraId="380464AD" w14:textId="1F4FAA19" w:rsidR="00F87246" w:rsidRDefault="00F87246" w:rsidP="00D42586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</w:rPr>
      </w:pPr>
      <w:r w:rsidRPr="00E84F1E">
        <w:rPr>
          <w:b/>
          <w:color w:val="0000FF"/>
          <w:sz w:val="22"/>
          <w:szCs w:val="22"/>
          <w:u w:val="single"/>
        </w:rPr>
        <w:t>Results:</w:t>
      </w:r>
      <w:r w:rsidR="00D42586" w:rsidRPr="00E84F1E">
        <w:rPr>
          <w:color w:val="0000FF"/>
          <w:sz w:val="22"/>
          <w:szCs w:val="22"/>
        </w:rPr>
        <w:t xml:space="preserve"> Figure 1 below illustrates </w:t>
      </w:r>
      <w:r w:rsidR="005C30D8" w:rsidRPr="00E84F1E">
        <w:rPr>
          <w:color w:val="0000FF"/>
          <w:sz w:val="22"/>
          <w:szCs w:val="22"/>
        </w:rPr>
        <w:t>the survival probability for participants with “high” serum CRP levels defined as greater than 3mg/L and “low” serum CRP levels equal to or less than 3mg/L. The survival curve for those with ‘high” serum CRP levels</w:t>
      </w:r>
      <w:r w:rsidR="00E84F1E" w:rsidRPr="00E84F1E">
        <w:rPr>
          <w:color w:val="0000FF"/>
          <w:sz w:val="22"/>
          <w:szCs w:val="22"/>
        </w:rPr>
        <w:t xml:space="preserve"> depicted as a blue line</w:t>
      </w:r>
      <w:r w:rsidR="005C30D8" w:rsidRPr="00E84F1E">
        <w:rPr>
          <w:color w:val="0000FF"/>
          <w:sz w:val="22"/>
          <w:szCs w:val="22"/>
        </w:rPr>
        <w:t xml:space="preserve"> have lower survival rates compared to those with “low” serum CRP</w:t>
      </w:r>
      <w:r w:rsidR="005C30D8">
        <w:rPr>
          <w:color w:val="0000FF"/>
          <w:sz w:val="22"/>
          <w:szCs w:val="22"/>
        </w:rPr>
        <w:t xml:space="preserve"> levels</w:t>
      </w:r>
      <w:r w:rsidR="00E84F1E">
        <w:rPr>
          <w:color w:val="0000FF"/>
          <w:sz w:val="22"/>
          <w:szCs w:val="22"/>
        </w:rPr>
        <w:t xml:space="preserve"> depicted in red</w:t>
      </w:r>
      <w:r w:rsidR="005C30D8">
        <w:rPr>
          <w:color w:val="0000FF"/>
          <w:sz w:val="22"/>
          <w:szCs w:val="22"/>
        </w:rPr>
        <w:t xml:space="preserve">. The log rank test two sided p value is &lt;0.0001 rejects the null hypothesis of no difference of survival curves between both groups, indicating that CRP serum levels are significantly associated with survival rates. </w:t>
      </w:r>
      <w:r w:rsidR="00F035D1">
        <w:rPr>
          <w:color w:val="0000FF"/>
          <w:sz w:val="22"/>
          <w:szCs w:val="22"/>
        </w:rPr>
        <w:t xml:space="preserve">The instantaneous risk of death is 60% higher for those with “high” </w:t>
      </w:r>
      <w:r w:rsidR="00E84F1E">
        <w:rPr>
          <w:color w:val="0000FF"/>
          <w:sz w:val="22"/>
          <w:szCs w:val="22"/>
        </w:rPr>
        <w:t>CRP levels compared to “low” CRP levels. Alternatively, t</w:t>
      </w:r>
      <w:r w:rsidR="005C30D8">
        <w:rPr>
          <w:color w:val="0000FF"/>
          <w:sz w:val="22"/>
          <w:szCs w:val="22"/>
        </w:rPr>
        <w:t xml:space="preserve">he </w:t>
      </w:r>
      <w:r w:rsidR="008D5873">
        <w:rPr>
          <w:color w:val="0000FF"/>
          <w:sz w:val="22"/>
          <w:szCs w:val="22"/>
        </w:rPr>
        <w:t xml:space="preserve">hazard ratio is </w:t>
      </w:r>
      <w:r w:rsidR="00F035D1">
        <w:rPr>
          <w:color w:val="0000FF"/>
          <w:sz w:val="22"/>
          <w:szCs w:val="22"/>
        </w:rPr>
        <w:t>1.60</w:t>
      </w:r>
      <w:r w:rsidR="00140807">
        <w:rPr>
          <w:color w:val="0000FF"/>
          <w:sz w:val="22"/>
          <w:szCs w:val="22"/>
        </w:rPr>
        <w:t xml:space="preserve"> </w:t>
      </w:r>
      <w:r w:rsidR="00485775">
        <w:rPr>
          <w:color w:val="0000FF"/>
          <w:sz w:val="22"/>
          <w:szCs w:val="22"/>
        </w:rPr>
        <w:t>and this ratio will be unusual if the true hazard ratio is between 1.4</w:t>
      </w:r>
      <w:r w:rsidR="00F035D1">
        <w:rPr>
          <w:color w:val="0000FF"/>
          <w:sz w:val="22"/>
          <w:szCs w:val="22"/>
        </w:rPr>
        <w:t xml:space="preserve">2 and </w:t>
      </w:r>
      <w:r w:rsidR="00485775" w:rsidRPr="00485775">
        <w:rPr>
          <w:color w:val="0000FF"/>
          <w:sz w:val="22"/>
          <w:szCs w:val="22"/>
        </w:rPr>
        <w:t>1.</w:t>
      </w:r>
      <w:r w:rsidR="00F035D1">
        <w:rPr>
          <w:color w:val="0000FF"/>
          <w:sz w:val="22"/>
          <w:szCs w:val="22"/>
        </w:rPr>
        <w:t>8</w:t>
      </w:r>
      <w:r w:rsidR="00485775">
        <w:rPr>
          <w:color w:val="0000FF"/>
          <w:sz w:val="22"/>
          <w:szCs w:val="22"/>
        </w:rPr>
        <w:t>.</w:t>
      </w:r>
    </w:p>
    <w:p w14:paraId="5855C1D2" w14:textId="45AF292E" w:rsidR="00D42586" w:rsidRPr="00E84F1E" w:rsidRDefault="00D42586" w:rsidP="00A45948">
      <w:pPr>
        <w:autoSpaceDE w:val="0"/>
        <w:autoSpaceDN w:val="0"/>
        <w:adjustRightInd w:val="0"/>
        <w:spacing w:after="120"/>
        <w:ind w:left="720"/>
        <w:rPr>
          <w:color w:val="0000FF"/>
          <w:sz w:val="22"/>
          <w:szCs w:val="22"/>
          <w:u w:val="single"/>
        </w:rPr>
      </w:pPr>
      <w:r w:rsidRPr="00E84F1E">
        <w:rPr>
          <w:color w:val="0000FF"/>
          <w:sz w:val="22"/>
          <w:szCs w:val="22"/>
          <w:u w:val="single"/>
        </w:rPr>
        <w:t xml:space="preserve">Figure 1. </w:t>
      </w:r>
      <w:r w:rsidR="00404084">
        <w:rPr>
          <w:color w:val="0000FF"/>
          <w:sz w:val="22"/>
          <w:szCs w:val="22"/>
          <w:u w:val="single"/>
        </w:rPr>
        <w:t xml:space="preserve">Kaplan-Meier </w:t>
      </w:r>
      <w:r w:rsidRPr="00E84F1E">
        <w:rPr>
          <w:color w:val="0000FF"/>
          <w:sz w:val="22"/>
          <w:szCs w:val="22"/>
          <w:u w:val="single"/>
        </w:rPr>
        <w:t>Survival estimates for populations with “high” and “low” serum CRP levels over study period</w:t>
      </w:r>
    </w:p>
    <w:p w14:paraId="071AFF2D" w14:textId="3E5F2BCD" w:rsidR="00A45948" w:rsidRPr="009D5804" w:rsidRDefault="00F035D1" w:rsidP="00F87246">
      <w:pPr>
        <w:autoSpaceDE w:val="0"/>
        <w:autoSpaceDN w:val="0"/>
        <w:adjustRightInd w:val="0"/>
        <w:spacing w:after="120"/>
        <w:ind w:left="720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4BE323A7" wp14:editId="65F335AD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80E57" w14:textId="77777777" w:rsidR="00261CFB" w:rsidRDefault="00B457A7" w:rsidP="00261CFB">
      <w:pPr>
        <w:numPr>
          <w:ilvl w:val="0"/>
          <w:numId w:val="19"/>
        </w:numPr>
        <w:autoSpaceDE w:val="0"/>
        <w:autoSpaceDN w:val="0"/>
        <w:adjustRightInd w:val="0"/>
        <w:spacing w:after="120"/>
        <w:rPr>
          <w:sz w:val="22"/>
          <w:szCs w:val="22"/>
        </w:rPr>
      </w:pPr>
      <w:r w:rsidRPr="009D5804">
        <w:rPr>
          <w:sz w:val="22"/>
          <w:szCs w:val="22"/>
        </w:rPr>
        <w:t>Supposing I had not been so redundant</w:t>
      </w:r>
      <w:r w:rsidR="009D5804" w:rsidRPr="009D5804">
        <w:rPr>
          <w:sz w:val="22"/>
          <w:szCs w:val="22"/>
        </w:rPr>
        <w:t xml:space="preserve"> (in a scientifically inappropriate manner)</w:t>
      </w:r>
      <w:r w:rsidRPr="009D5804">
        <w:rPr>
          <w:sz w:val="22"/>
          <w:szCs w:val="22"/>
        </w:rPr>
        <w:t xml:space="preserve"> and so prescriptive about methods of detecting an association, what analysis would you have preferred </w:t>
      </w:r>
      <w:r w:rsidRPr="009D5804">
        <w:rPr>
          <w:i/>
          <w:iCs/>
          <w:sz w:val="22"/>
          <w:szCs w:val="22"/>
        </w:rPr>
        <w:t>a priori</w:t>
      </w:r>
      <w:r w:rsidRPr="009D5804">
        <w:rPr>
          <w:sz w:val="22"/>
          <w:szCs w:val="22"/>
        </w:rPr>
        <w:t xml:space="preserve"> in order to answer the question about an association between mortality and serum </w:t>
      </w:r>
      <w:r w:rsidR="003F5F38">
        <w:rPr>
          <w:sz w:val="22"/>
          <w:szCs w:val="22"/>
        </w:rPr>
        <w:t>CRP</w:t>
      </w:r>
      <w:r w:rsidRPr="009D5804">
        <w:rPr>
          <w:sz w:val="22"/>
          <w:szCs w:val="22"/>
        </w:rPr>
        <w:t>? Why?</w:t>
      </w:r>
    </w:p>
    <w:p w14:paraId="5975DCF0" w14:textId="451794C6" w:rsidR="007B4C04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1. </w:t>
      </w:r>
      <w:r w:rsidR="00A1388F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CRP is an inflammatory marker that is associated with several diseases and some types of cancer. </w:t>
      </w:r>
      <w:r w:rsidR="007B4C04" w:rsidRPr="004D0902">
        <w:rPr>
          <w:rFonts w:ascii="Times New Roman" w:hAnsi="Times New Roman" w:cs="Times New Roman"/>
          <w:color w:val="0000FF"/>
          <w:sz w:val="22"/>
          <w:szCs w:val="22"/>
        </w:rPr>
        <w:t>However, the study population is elderly healthy population and CRP levels are therefore not expected to vary much</w:t>
      </w: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 or be in multiplicative scale </w:t>
      </w:r>
      <w:r w:rsidR="004D0902" w:rsidRPr="004D0902">
        <w:rPr>
          <w:rFonts w:ascii="Times New Roman" w:hAnsi="Times New Roman" w:cs="Times New Roman"/>
          <w:color w:val="0000FF"/>
          <w:sz w:val="22"/>
          <w:szCs w:val="22"/>
        </w:rPr>
        <w:t>to consider log transformation of CRP.</w:t>
      </w:r>
    </w:p>
    <w:p w14:paraId="1EF69087" w14:textId="77777777" w:rsidR="007B4C04" w:rsidRPr="004D0902" w:rsidRDefault="007B4C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40265B9E" w14:textId="348DB7A4" w:rsidR="007B4C04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2. </w:t>
      </w:r>
      <w:r w:rsidR="00A1388F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The study design is prospective </w:t>
      </w:r>
      <w:r w:rsidR="007B4C04" w:rsidRPr="004D0902">
        <w:rPr>
          <w:rFonts w:ascii="Times New Roman" w:hAnsi="Times New Roman" w:cs="Times New Roman"/>
          <w:color w:val="0000FF"/>
          <w:sz w:val="22"/>
          <w:szCs w:val="22"/>
        </w:rPr>
        <w:t>with an assumption that CRP levels occur before and have an associated “effect” on mortality. I wil</w:t>
      </w:r>
      <w:r w:rsidRPr="004D0902">
        <w:rPr>
          <w:rFonts w:ascii="Times New Roman" w:hAnsi="Times New Roman" w:cs="Times New Roman"/>
          <w:color w:val="0000FF"/>
          <w:sz w:val="22"/>
          <w:szCs w:val="22"/>
        </w:rPr>
        <w:t>l therefore examine the mortality conditioning different levels of CRP.</w:t>
      </w:r>
    </w:p>
    <w:p w14:paraId="75670E36" w14:textId="77777777" w:rsidR="007B4C04" w:rsidRPr="004D0902" w:rsidRDefault="007B4C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405AE2B6" w14:textId="3BCAEBCA" w:rsidR="00791F71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3. Odds ratios and geometric measures are hard to interpret </w:t>
      </w:r>
    </w:p>
    <w:p w14:paraId="292FF939" w14:textId="77777777" w:rsidR="00791F71" w:rsidRPr="004D0902" w:rsidRDefault="00791F71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59DDC218" w14:textId="0790E6C9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4. I would like to utilize as much of the data as possible, i.e. include censored data </w:t>
      </w:r>
    </w:p>
    <w:p w14:paraId="60D288F6" w14:textId="77777777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p w14:paraId="07DD4114" w14:textId="34B3383D" w:rsidR="00791F71" w:rsidRPr="004D0902" w:rsidRDefault="00791F71" w:rsidP="00791F71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  <w:r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For the above reasons, my </w:t>
      </w:r>
      <w:r w:rsidR="00404084" w:rsidRPr="004D0902">
        <w:rPr>
          <w:rFonts w:ascii="Times New Roman" w:hAnsi="Times New Roman" w:cs="Times New Roman"/>
          <w:color w:val="0000FF"/>
          <w:sz w:val="22"/>
          <w:szCs w:val="22"/>
        </w:rPr>
        <w:t>preference is to use Kaplan Meier Survival estimates</w:t>
      </w:r>
      <w:r w:rsidR="004D0902" w:rsidRPr="004D0902">
        <w:rPr>
          <w:rFonts w:ascii="Times New Roman" w:hAnsi="Times New Roman" w:cs="Times New Roman"/>
          <w:color w:val="0000FF"/>
          <w:sz w:val="22"/>
          <w:szCs w:val="22"/>
        </w:rPr>
        <w:t xml:space="preserve"> that utilizes censored data but the setback is that CRP data will be categorized into groups and not utilizing all the data hence losing on precision.</w:t>
      </w:r>
    </w:p>
    <w:p w14:paraId="5A0AF745" w14:textId="7A1DA7BC" w:rsidR="009D5804" w:rsidRPr="004D0902" w:rsidRDefault="009D5804" w:rsidP="009D5804">
      <w:pPr>
        <w:pStyle w:val="PlainText"/>
        <w:rPr>
          <w:rFonts w:ascii="Times New Roman" w:hAnsi="Times New Roman" w:cs="Times New Roman"/>
          <w:color w:val="0000FF"/>
          <w:sz w:val="22"/>
          <w:szCs w:val="22"/>
        </w:rPr>
      </w:pPr>
    </w:p>
    <w:sectPr w:rsidR="009D5804" w:rsidRPr="004D0902" w:rsidSect="001E5158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DE721" w14:textId="77777777" w:rsidR="004D0902" w:rsidRDefault="004D0902">
      <w:r>
        <w:separator/>
      </w:r>
    </w:p>
  </w:endnote>
  <w:endnote w:type="continuationSeparator" w:id="0">
    <w:p w14:paraId="1D568B31" w14:textId="77777777" w:rsidR="004D0902" w:rsidRDefault="004D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CFFD5" w14:textId="77777777" w:rsidR="004D0902" w:rsidRDefault="004D0902">
      <w:r>
        <w:separator/>
      </w:r>
    </w:p>
  </w:footnote>
  <w:footnote w:type="continuationSeparator" w:id="0">
    <w:p w14:paraId="3C9614F2" w14:textId="77777777" w:rsidR="004D0902" w:rsidRDefault="004D09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BEA76" w14:textId="77777777" w:rsidR="004D0902" w:rsidRDefault="004D0902" w:rsidP="002F0282">
    <w:pPr>
      <w:pStyle w:val="Header"/>
    </w:pPr>
    <w:r>
      <w:t>Biost 518 / 515, Winter 2015</w:t>
    </w:r>
    <w:r>
      <w:tab/>
      <w:t>Homework #1</w:t>
    </w:r>
    <w:r>
      <w:tab/>
      <w:t xml:space="preserve">January 5, 2015, </w:t>
    </w: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80E21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80E21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068B"/>
    <w:multiLevelType w:val="hybridMultilevel"/>
    <w:tmpl w:val="D0D034FA"/>
    <w:lvl w:ilvl="0" w:tplc="B204C7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FA337C"/>
    <w:multiLevelType w:val="hybridMultilevel"/>
    <w:tmpl w:val="A28EA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01E0C"/>
    <w:multiLevelType w:val="hybridMultilevel"/>
    <w:tmpl w:val="BDEEF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B4713"/>
    <w:multiLevelType w:val="hybridMultilevel"/>
    <w:tmpl w:val="DE96C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B25FCA"/>
    <w:multiLevelType w:val="hybridMultilevel"/>
    <w:tmpl w:val="3C60AC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67235D6"/>
    <w:multiLevelType w:val="multilevel"/>
    <w:tmpl w:val="BD5C2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245C75"/>
    <w:multiLevelType w:val="hybridMultilevel"/>
    <w:tmpl w:val="646E2E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A7403"/>
    <w:multiLevelType w:val="hybridMultilevel"/>
    <w:tmpl w:val="C54C766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5606647C"/>
    <w:multiLevelType w:val="hybridMultilevel"/>
    <w:tmpl w:val="F5C42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245FD"/>
    <w:multiLevelType w:val="multilevel"/>
    <w:tmpl w:val="E91A1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83F49"/>
    <w:multiLevelType w:val="hybridMultilevel"/>
    <w:tmpl w:val="D84EC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E42A0"/>
    <w:multiLevelType w:val="hybridMultilevel"/>
    <w:tmpl w:val="383EFD9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2869A7"/>
    <w:multiLevelType w:val="hybridMultilevel"/>
    <w:tmpl w:val="B0949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355B46"/>
    <w:multiLevelType w:val="multilevel"/>
    <w:tmpl w:val="A28EA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7C6AE9"/>
    <w:multiLevelType w:val="hybridMultilevel"/>
    <w:tmpl w:val="6310D3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353794"/>
    <w:multiLevelType w:val="hybridMultilevel"/>
    <w:tmpl w:val="EF10C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CB6932"/>
    <w:multiLevelType w:val="hybridMultilevel"/>
    <w:tmpl w:val="E9C267C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65D47EA"/>
    <w:multiLevelType w:val="hybridMultilevel"/>
    <w:tmpl w:val="CDA25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641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463E71"/>
    <w:multiLevelType w:val="hybridMultilevel"/>
    <w:tmpl w:val="BBD08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D77389"/>
    <w:multiLevelType w:val="hybridMultilevel"/>
    <w:tmpl w:val="5C7689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6"/>
  </w:num>
  <w:num w:numId="6">
    <w:abstractNumId w:val="18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15"/>
  </w:num>
  <w:num w:numId="15">
    <w:abstractNumId w:val="0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89"/>
    <w:rsid w:val="000023E4"/>
    <w:rsid w:val="00004547"/>
    <w:rsid w:val="000263C2"/>
    <w:rsid w:val="00036F2C"/>
    <w:rsid w:val="00054A42"/>
    <w:rsid w:val="00060C13"/>
    <w:rsid w:val="00067101"/>
    <w:rsid w:val="000817A7"/>
    <w:rsid w:val="00086779"/>
    <w:rsid w:val="00097520"/>
    <w:rsid w:val="000A3E09"/>
    <w:rsid w:val="000B5A49"/>
    <w:rsid w:val="000B6EE8"/>
    <w:rsid w:val="000E6C88"/>
    <w:rsid w:val="000F52B6"/>
    <w:rsid w:val="00100132"/>
    <w:rsid w:val="00102372"/>
    <w:rsid w:val="0010428A"/>
    <w:rsid w:val="00115A3A"/>
    <w:rsid w:val="00132AEC"/>
    <w:rsid w:val="00132BA1"/>
    <w:rsid w:val="00140807"/>
    <w:rsid w:val="00140EC9"/>
    <w:rsid w:val="00160820"/>
    <w:rsid w:val="0016628E"/>
    <w:rsid w:val="00195B2D"/>
    <w:rsid w:val="001A1CED"/>
    <w:rsid w:val="001D2DC2"/>
    <w:rsid w:val="001E36FF"/>
    <w:rsid w:val="001E5158"/>
    <w:rsid w:val="001F12CE"/>
    <w:rsid w:val="001F3F50"/>
    <w:rsid w:val="001F7D91"/>
    <w:rsid w:val="00202909"/>
    <w:rsid w:val="00212FDC"/>
    <w:rsid w:val="0021517E"/>
    <w:rsid w:val="002213A5"/>
    <w:rsid w:val="0022654E"/>
    <w:rsid w:val="00240CFF"/>
    <w:rsid w:val="0024368C"/>
    <w:rsid w:val="00254231"/>
    <w:rsid w:val="00261CFB"/>
    <w:rsid w:val="0028380A"/>
    <w:rsid w:val="00291996"/>
    <w:rsid w:val="002C2D3E"/>
    <w:rsid w:val="002D5B86"/>
    <w:rsid w:val="002F0282"/>
    <w:rsid w:val="003041E2"/>
    <w:rsid w:val="00326E81"/>
    <w:rsid w:val="003471E3"/>
    <w:rsid w:val="00353B06"/>
    <w:rsid w:val="0036127B"/>
    <w:rsid w:val="00380092"/>
    <w:rsid w:val="00385CD1"/>
    <w:rsid w:val="003A6D85"/>
    <w:rsid w:val="003C0FBE"/>
    <w:rsid w:val="003C1E7D"/>
    <w:rsid w:val="003C2044"/>
    <w:rsid w:val="003D5EE6"/>
    <w:rsid w:val="003F5F38"/>
    <w:rsid w:val="00404084"/>
    <w:rsid w:val="00410B89"/>
    <w:rsid w:val="00412672"/>
    <w:rsid w:val="00415759"/>
    <w:rsid w:val="0042294F"/>
    <w:rsid w:val="00422D91"/>
    <w:rsid w:val="0044058B"/>
    <w:rsid w:val="00443606"/>
    <w:rsid w:val="004514C0"/>
    <w:rsid w:val="00452963"/>
    <w:rsid w:val="00460836"/>
    <w:rsid w:val="004664FD"/>
    <w:rsid w:val="0046760F"/>
    <w:rsid w:val="00473C91"/>
    <w:rsid w:val="00480E21"/>
    <w:rsid w:val="00485775"/>
    <w:rsid w:val="004D0902"/>
    <w:rsid w:val="004D1289"/>
    <w:rsid w:val="004D1292"/>
    <w:rsid w:val="00501EC4"/>
    <w:rsid w:val="00510B41"/>
    <w:rsid w:val="00511C56"/>
    <w:rsid w:val="0051635C"/>
    <w:rsid w:val="005234A0"/>
    <w:rsid w:val="00523AA4"/>
    <w:rsid w:val="00556CEF"/>
    <w:rsid w:val="00567523"/>
    <w:rsid w:val="00575047"/>
    <w:rsid w:val="00586C10"/>
    <w:rsid w:val="00590E84"/>
    <w:rsid w:val="0059384E"/>
    <w:rsid w:val="005944F7"/>
    <w:rsid w:val="005B14E3"/>
    <w:rsid w:val="005C30D8"/>
    <w:rsid w:val="005C35DF"/>
    <w:rsid w:val="005C5726"/>
    <w:rsid w:val="005D7E06"/>
    <w:rsid w:val="005E10EC"/>
    <w:rsid w:val="005E415C"/>
    <w:rsid w:val="00601D47"/>
    <w:rsid w:val="006138F9"/>
    <w:rsid w:val="006152BE"/>
    <w:rsid w:val="00616083"/>
    <w:rsid w:val="0062265F"/>
    <w:rsid w:val="006268D1"/>
    <w:rsid w:val="006324E9"/>
    <w:rsid w:val="006336A9"/>
    <w:rsid w:val="0063762C"/>
    <w:rsid w:val="006508C5"/>
    <w:rsid w:val="00654208"/>
    <w:rsid w:val="00673A26"/>
    <w:rsid w:val="00676B73"/>
    <w:rsid w:val="0069225A"/>
    <w:rsid w:val="0069325D"/>
    <w:rsid w:val="006B1E11"/>
    <w:rsid w:val="006C49EE"/>
    <w:rsid w:val="006E16C5"/>
    <w:rsid w:val="006E5205"/>
    <w:rsid w:val="00710ADB"/>
    <w:rsid w:val="007356DE"/>
    <w:rsid w:val="007366CC"/>
    <w:rsid w:val="00741AE1"/>
    <w:rsid w:val="00751474"/>
    <w:rsid w:val="00762DE6"/>
    <w:rsid w:val="00765DCC"/>
    <w:rsid w:val="00767D4A"/>
    <w:rsid w:val="007733B3"/>
    <w:rsid w:val="00785A87"/>
    <w:rsid w:val="00791F71"/>
    <w:rsid w:val="007A7DDF"/>
    <w:rsid w:val="007B4C04"/>
    <w:rsid w:val="007B4E60"/>
    <w:rsid w:val="007D08DD"/>
    <w:rsid w:val="00805D56"/>
    <w:rsid w:val="00831C8F"/>
    <w:rsid w:val="00836540"/>
    <w:rsid w:val="00855445"/>
    <w:rsid w:val="00865544"/>
    <w:rsid w:val="008702C5"/>
    <w:rsid w:val="0087636D"/>
    <w:rsid w:val="0088657E"/>
    <w:rsid w:val="00892DBB"/>
    <w:rsid w:val="008A45D9"/>
    <w:rsid w:val="008A4887"/>
    <w:rsid w:val="008D5873"/>
    <w:rsid w:val="008F73A3"/>
    <w:rsid w:val="00904518"/>
    <w:rsid w:val="00905BC9"/>
    <w:rsid w:val="00905E82"/>
    <w:rsid w:val="0094708F"/>
    <w:rsid w:val="00954F4E"/>
    <w:rsid w:val="009556DE"/>
    <w:rsid w:val="009760EC"/>
    <w:rsid w:val="00983670"/>
    <w:rsid w:val="009A2EF1"/>
    <w:rsid w:val="009A4FFF"/>
    <w:rsid w:val="009B2370"/>
    <w:rsid w:val="009C542B"/>
    <w:rsid w:val="009D5804"/>
    <w:rsid w:val="009F141E"/>
    <w:rsid w:val="009F413F"/>
    <w:rsid w:val="00A01BE6"/>
    <w:rsid w:val="00A0233D"/>
    <w:rsid w:val="00A05CD5"/>
    <w:rsid w:val="00A1388F"/>
    <w:rsid w:val="00A27397"/>
    <w:rsid w:val="00A31D8C"/>
    <w:rsid w:val="00A36F84"/>
    <w:rsid w:val="00A4205F"/>
    <w:rsid w:val="00A44034"/>
    <w:rsid w:val="00A45948"/>
    <w:rsid w:val="00A55DED"/>
    <w:rsid w:val="00AA24CF"/>
    <w:rsid w:val="00AD0515"/>
    <w:rsid w:val="00AD29C0"/>
    <w:rsid w:val="00B04F23"/>
    <w:rsid w:val="00B12B84"/>
    <w:rsid w:val="00B15F79"/>
    <w:rsid w:val="00B16889"/>
    <w:rsid w:val="00B17CB5"/>
    <w:rsid w:val="00B212A5"/>
    <w:rsid w:val="00B35CFE"/>
    <w:rsid w:val="00B42150"/>
    <w:rsid w:val="00B43F52"/>
    <w:rsid w:val="00B457A7"/>
    <w:rsid w:val="00B4705C"/>
    <w:rsid w:val="00B52D9C"/>
    <w:rsid w:val="00B70375"/>
    <w:rsid w:val="00B814FA"/>
    <w:rsid w:val="00B95181"/>
    <w:rsid w:val="00BB65F5"/>
    <w:rsid w:val="00BC13E3"/>
    <w:rsid w:val="00BE104D"/>
    <w:rsid w:val="00C07EA9"/>
    <w:rsid w:val="00C15C05"/>
    <w:rsid w:val="00C15CDE"/>
    <w:rsid w:val="00C34EBC"/>
    <w:rsid w:val="00C55091"/>
    <w:rsid w:val="00C642DD"/>
    <w:rsid w:val="00C74FEC"/>
    <w:rsid w:val="00C93A29"/>
    <w:rsid w:val="00CA6F7B"/>
    <w:rsid w:val="00D16C04"/>
    <w:rsid w:val="00D16C0C"/>
    <w:rsid w:val="00D42586"/>
    <w:rsid w:val="00D64A7D"/>
    <w:rsid w:val="00D70523"/>
    <w:rsid w:val="00D72BD7"/>
    <w:rsid w:val="00DB6A3F"/>
    <w:rsid w:val="00DC01FF"/>
    <w:rsid w:val="00DC046A"/>
    <w:rsid w:val="00DD6B80"/>
    <w:rsid w:val="00DE1A4A"/>
    <w:rsid w:val="00DE3817"/>
    <w:rsid w:val="00DE3E9E"/>
    <w:rsid w:val="00E17688"/>
    <w:rsid w:val="00E642DA"/>
    <w:rsid w:val="00E741C7"/>
    <w:rsid w:val="00E75092"/>
    <w:rsid w:val="00E81610"/>
    <w:rsid w:val="00E84F1E"/>
    <w:rsid w:val="00E91856"/>
    <w:rsid w:val="00E93015"/>
    <w:rsid w:val="00E94C1D"/>
    <w:rsid w:val="00E9753A"/>
    <w:rsid w:val="00E97964"/>
    <w:rsid w:val="00EA094E"/>
    <w:rsid w:val="00ED47B6"/>
    <w:rsid w:val="00F035D1"/>
    <w:rsid w:val="00F15D49"/>
    <w:rsid w:val="00F20784"/>
    <w:rsid w:val="00F311E9"/>
    <w:rsid w:val="00F47898"/>
    <w:rsid w:val="00F507B9"/>
    <w:rsid w:val="00F51AEA"/>
    <w:rsid w:val="00F87246"/>
    <w:rsid w:val="00F973F9"/>
    <w:rsid w:val="00FA2C0B"/>
    <w:rsid w:val="00FB098B"/>
    <w:rsid w:val="00FB663C"/>
    <w:rsid w:val="00FE07F7"/>
    <w:rsid w:val="00FE67F0"/>
    <w:rsid w:val="00FF31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DB1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126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2672"/>
    <w:rPr>
      <w:sz w:val="24"/>
      <w:szCs w:val="24"/>
    </w:rPr>
  </w:style>
  <w:style w:type="character" w:customStyle="1" w:styleId="CommentTextChar">
    <w:name w:val="Comment Text Char"/>
    <w:link w:val="CommentText"/>
    <w:rsid w:val="004126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26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1267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2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126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9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0B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0B8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514C0"/>
    <w:rPr>
      <w:rFonts w:ascii="Courier New" w:hAnsi="Courier New" w:cs="Courier New"/>
    </w:rPr>
  </w:style>
  <w:style w:type="character" w:styleId="Hyperlink">
    <w:name w:val="Hyperlink"/>
    <w:rsid w:val="002F0282"/>
    <w:rPr>
      <w:color w:val="0000FF"/>
      <w:u w:val="single"/>
    </w:rPr>
  </w:style>
  <w:style w:type="paragraph" w:styleId="HTMLPreformatted">
    <w:name w:val="HTML Preformatted"/>
    <w:basedOn w:val="Normal"/>
    <w:rsid w:val="00FB66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leGrid">
    <w:name w:val="Table Grid"/>
    <w:basedOn w:val="TableNormal"/>
    <w:rsid w:val="00C55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412672"/>
    <w:rPr>
      <w:sz w:val="18"/>
      <w:szCs w:val="18"/>
    </w:rPr>
  </w:style>
  <w:style w:type="paragraph" w:styleId="CommentText">
    <w:name w:val="annotation text"/>
    <w:basedOn w:val="Normal"/>
    <w:link w:val="CommentTextChar"/>
    <w:rsid w:val="00412672"/>
    <w:rPr>
      <w:sz w:val="24"/>
      <w:szCs w:val="24"/>
    </w:rPr>
  </w:style>
  <w:style w:type="character" w:customStyle="1" w:styleId="CommentTextChar">
    <w:name w:val="Comment Text Char"/>
    <w:link w:val="CommentText"/>
    <w:rsid w:val="0041267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41267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412672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4126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1267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2178</Words>
  <Characters>11025</Characters>
  <Application>Microsoft Macintosh Word</Application>
  <DocSecurity>0</DocSecurity>
  <Lines>262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#2</vt:lpstr>
    </vt:vector>
  </TitlesOfParts>
  <Manager/>
  <Company/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#2</dc:title>
  <dc:subject/>
  <dc:creator/>
  <cp:keywords/>
  <dc:description/>
  <cp:lastModifiedBy/>
  <cp:revision>2</cp:revision>
  <dcterms:created xsi:type="dcterms:W3CDTF">2015-01-11T12:23:00Z</dcterms:created>
  <dcterms:modified xsi:type="dcterms:W3CDTF">2015-01-12T03:34:00Z</dcterms:modified>
</cp:coreProperties>
</file>