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rsidR="00C93A29" w:rsidRPr="0036127B" w:rsidRDefault="00C93A29"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rsidTr="00A44034">
        <w:trPr>
          <w:jc w:val="center"/>
        </w:trPr>
        <w:tc>
          <w:tcPr>
            <w:tcW w:w="0" w:type="auto"/>
          </w:tcPr>
          <w:p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rsidR="001E5158" w:rsidRPr="009D5804" w:rsidRDefault="001E5158" w:rsidP="00261CFB">
      <w:pPr>
        <w:autoSpaceDE w:val="0"/>
        <w:autoSpaceDN w:val="0"/>
        <w:adjustRightInd w:val="0"/>
        <w:spacing w:after="120"/>
        <w:rPr>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rsidR="00F225C1" w:rsidRP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sz w:val="22"/>
          <w:szCs w:val="22"/>
        </w:rPr>
        <w:t xml:space="preserve">The minimum </w:t>
      </w:r>
      <w:r>
        <w:rPr>
          <w:rFonts w:ascii="Arial" w:hAnsi="Arial" w:cs="Arial"/>
          <w:sz w:val="22"/>
          <w:szCs w:val="22"/>
        </w:rPr>
        <w:t xml:space="preserve">length of </w:t>
      </w:r>
      <w:r w:rsidRPr="00F225C1">
        <w:rPr>
          <w:rFonts w:ascii="Arial" w:hAnsi="Arial" w:cs="Arial"/>
          <w:sz w:val="22"/>
          <w:szCs w:val="22"/>
        </w:rPr>
        <w:t xml:space="preserve">follow-up </w:t>
      </w:r>
      <w:r>
        <w:rPr>
          <w:rFonts w:ascii="Arial" w:hAnsi="Arial" w:cs="Arial"/>
          <w:sz w:val="22"/>
          <w:szCs w:val="22"/>
        </w:rPr>
        <w:t xml:space="preserve">time </w:t>
      </w:r>
      <w:r w:rsidRPr="00F225C1">
        <w:rPr>
          <w:rFonts w:ascii="Arial" w:hAnsi="Arial" w:cs="Arial"/>
          <w:sz w:val="22"/>
          <w:szCs w:val="22"/>
        </w:rPr>
        <w:t xml:space="preserve">among censored observations </w:t>
      </w:r>
      <w:r>
        <w:rPr>
          <w:rFonts w:ascii="Arial" w:hAnsi="Arial" w:cs="Arial"/>
          <w:sz w:val="22"/>
          <w:szCs w:val="22"/>
        </w:rPr>
        <w:t xml:space="preserve">(death = 0) </w:t>
      </w:r>
      <w:r w:rsidRPr="00F225C1">
        <w:rPr>
          <w:rFonts w:ascii="Arial" w:hAnsi="Arial" w:cs="Arial"/>
          <w:sz w:val="22"/>
          <w:szCs w:val="22"/>
        </w:rPr>
        <w:t xml:space="preserve">is </w:t>
      </w:r>
      <w:r>
        <w:rPr>
          <w:rFonts w:ascii="Arial" w:hAnsi="Arial" w:cs="Arial"/>
          <w:sz w:val="22"/>
          <w:szCs w:val="22"/>
        </w:rPr>
        <w:t>1480</w:t>
      </w:r>
      <w:r w:rsidRPr="00F225C1">
        <w:rPr>
          <w:rFonts w:ascii="Arial" w:hAnsi="Arial" w:cs="Arial"/>
          <w:sz w:val="22"/>
          <w:szCs w:val="22"/>
        </w:rPr>
        <w:t xml:space="preserve"> days, </w:t>
      </w:r>
      <w:r>
        <w:rPr>
          <w:rFonts w:ascii="Arial" w:hAnsi="Arial" w:cs="Arial"/>
          <w:sz w:val="22"/>
          <w:szCs w:val="22"/>
        </w:rPr>
        <w:t>which is slightly longer than 4</w:t>
      </w:r>
      <w:r w:rsidRPr="00F225C1">
        <w:rPr>
          <w:rFonts w:ascii="Arial" w:hAnsi="Arial" w:cs="Arial"/>
          <w:sz w:val="22"/>
          <w:szCs w:val="22"/>
        </w:rPr>
        <w:t xml:space="preserve"> years.</w:t>
      </w:r>
      <w:r w:rsidR="00852FFA">
        <w:rPr>
          <w:rFonts w:ascii="Arial" w:hAnsi="Arial" w:cs="Arial"/>
          <w:sz w:val="22"/>
          <w:szCs w:val="22"/>
        </w:rPr>
        <w:t xml:space="preserve"> Therefore, the mortality outcome</w:t>
      </w:r>
      <w:r>
        <w:rPr>
          <w:rFonts w:ascii="Arial" w:hAnsi="Arial" w:cs="Arial"/>
          <w:sz w:val="22"/>
          <w:szCs w:val="22"/>
        </w:rPr>
        <w:t xml:space="preserve"> </w:t>
      </w:r>
      <w:r w:rsidRPr="00F225C1">
        <w:rPr>
          <w:rFonts w:ascii="Arial" w:hAnsi="Arial" w:cs="Arial"/>
          <w:sz w:val="22"/>
          <w:szCs w:val="22"/>
        </w:rPr>
        <w:t xml:space="preserve">of every </w:t>
      </w:r>
      <w:r>
        <w:rPr>
          <w:rFonts w:ascii="Arial" w:hAnsi="Arial" w:cs="Arial"/>
          <w:sz w:val="22"/>
          <w:szCs w:val="22"/>
        </w:rPr>
        <w:t xml:space="preserve">study participant </w:t>
      </w:r>
      <w:r w:rsidRPr="00F225C1">
        <w:rPr>
          <w:rFonts w:ascii="Arial" w:hAnsi="Arial" w:cs="Arial"/>
          <w:sz w:val="22"/>
          <w:szCs w:val="22"/>
        </w:rPr>
        <w:t>is known at</w:t>
      </w:r>
      <w:r>
        <w:rPr>
          <w:rFonts w:ascii="Arial" w:hAnsi="Arial" w:cs="Arial"/>
          <w:sz w:val="22"/>
          <w:szCs w:val="22"/>
        </w:rPr>
        <w:t xml:space="preserve"> 4</w:t>
      </w:r>
      <w:r w:rsidRPr="00F225C1">
        <w:rPr>
          <w:rFonts w:ascii="Arial" w:hAnsi="Arial" w:cs="Arial"/>
          <w:sz w:val="22"/>
          <w:szCs w:val="22"/>
        </w:rPr>
        <w:t xml:space="preserve"> years.</w:t>
      </w:r>
    </w:p>
    <w:p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rsid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b/>
          <w:sz w:val="22"/>
          <w:szCs w:val="22"/>
        </w:rPr>
        <w:t>Methods:</w:t>
      </w:r>
      <w:r w:rsidRPr="00F225C1">
        <w:rPr>
          <w:rFonts w:ascii="Arial" w:hAnsi="Arial" w:cs="Arial"/>
          <w:sz w:val="22"/>
          <w:szCs w:val="22"/>
        </w:rPr>
        <w:t xml:space="preserve"> </w:t>
      </w:r>
      <w:r w:rsidR="006D10EF" w:rsidRPr="00F225C1">
        <w:rPr>
          <w:rFonts w:ascii="Arial" w:hAnsi="Arial" w:cs="Arial"/>
          <w:sz w:val="22"/>
          <w:szCs w:val="22"/>
        </w:rPr>
        <w:t>Descriptive</w:t>
      </w:r>
      <w:r w:rsidR="006D10EF">
        <w:rPr>
          <w:rFonts w:ascii="Arial" w:hAnsi="Arial" w:cs="Arial"/>
          <w:sz w:val="22"/>
          <w:szCs w:val="22"/>
        </w:rPr>
        <w:t xml:space="preserve"> </w:t>
      </w:r>
      <w:r w:rsidR="006D10EF" w:rsidRPr="00F225C1">
        <w:rPr>
          <w:rFonts w:ascii="Arial" w:hAnsi="Arial" w:cs="Arial"/>
          <w:sz w:val="22"/>
          <w:szCs w:val="22"/>
        </w:rPr>
        <w:t xml:space="preserve">statistics are </w:t>
      </w:r>
      <w:r w:rsidR="006D10EF">
        <w:rPr>
          <w:rFonts w:ascii="Arial" w:hAnsi="Arial" w:cs="Arial"/>
          <w:sz w:val="22"/>
          <w:szCs w:val="22"/>
        </w:rPr>
        <w:t>categorized into</w:t>
      </w:r>
      <w:r w:rsidR="006D10EF" w:rsidRPr="00F225C1">
        <w:rPr>
          <w:rFonts w:ascii="Arial" w:hAnsi="Arial" w:cs="Arial"/>
          <w:sz w:val="22"/>
          <w:szCs w:val="22"/>
        </w:rPr>
        <w:t xml:space="preserve"> groups defined by </w:t>
      </w:r>
      <w:r w:rsidR="006D10EF">
        <w:rPr>
          <w:rFonts w:ascii="Arial" w:hAnsi="Arial" w:cs="Arial"/>
          <w:sz w:val="22"/>
          <w:szCs w:val="22"/>
        </w:rPr>
        <w:t>CRP level (less than 1 mg/L</w:t>
      </w:r>
      <w:r w:rsidR="006D10EF" w:rsidRPr="00F225C1">
        <w:rPr>
          <w:rFonts w:ascii="Arial" w:hAnsi="Arial" w:cs="Arial"/>
          <w:sz w:val="22"/>
          <w:szCs w:val="22"/>
        </w:rPr>
        <w:t xml:space="preserve">, between </w:t>
      </w:r>
      <w:r w:rsidR="006D10EF">
        <w:rPr>
          <w:rFonts w:ascii="Arial" w:hAnsi="Arial" w:cs="Arial"/>
          <w:sz w:val="22"/>
          <w:szCs w:val="22"/>
        </w:rPr>
        <w:t>1 and 3 mg/L</w:t>
      </w:r>
      <w:r w:rsidR="006D10EF" w:rsidRPr="00F225C1">
        <w:rPr>
          <w:rFonts w:ascii="Arial" w:hAnsi="Arial" w:cs="Arial"/>
          <w:sz w:val="22"/>
          <w:szCs w:val="22"/>
        </w:rPr>
        <w:t xml:space="preserve">, and greater than </w:t>
      </w:r>
      <w:r w:rsidR="006D10EF">
        <w:rPr>
          <w:rFonts w:ascii="Arial" w:hAnsi="Arial" w:cs="Arial"/>
          <w:sz w:val="22"/>
          <w:szCs w:val="22"/>
        </w:rPr>
        <w:t>3 mg/</w:t>
      </w:r>
      <w:r w:rsidR="006D10EF" w:rsidRPr="00F225C1">
        <w:rPr>
          <w:rFonts w:ascii="Arial" w:hAnsi="Arial" w:cs="Arial"/>
          <w:sz w:val="22"/>
          <w:szCs w:val="22"/>
        </w:rPr>
        <w:t>L), as well</w:t>
      </w:r>
      <w:r w:rsidR="006D10EF">
        <w:rPr>
          <w:rFonts w:ascii="Arial" w:hAnsi="Arial" w:cs="Arial"/>
          <w:sz w:val="22"/>
          <w:szCs w:val="22"/>
        </w:rPr>
        <w:t xml:space="preserve"> </w:t>
      </w:r>
      <w:r w:rsidR="006D10EF" w:rsidRPr="00F225C1">
        <w:rPr>
          <w:rFonts w:ascii="Arial" w:hAnsi="Arial" w:cs="Arial"/>
          <w:sz w:val="22"/>
          <w:szCs w:val="22"/>
        </w:rPr>
        <w:t xml:space="preserve">as in the entire sample. </w:t>
      </w:r>
      <w:r w:rsidR="006D10EF">
        <w:rPr>
          <w:rFonts w:ascii="Arial" w:hAnsi="Arial" w:cs="Arial"/>
          <w:sz w:val="22"/>
          <w:szCs w:val="22"/>
        </w:rPr>
        <w:t>An indicator variable was</w:t>
      </w:r>
      <w:r w:rsidRPr="00F225C1">
        <w:rPr>
          <w:rFonts w:ascii="Arial" w:hAnsi="Arial" w:cs="Arial"/>
          <w:sz w:val="22"/>
          <w:szCs w:val="22"/>
        </w:rPr>
        <w:t xml:space="preserve"> created for </w:t>
      </w:r>
      <w:r w:rsidR="006D10EF">
        <w:rPr>
          <w:rFonts w:ascii="Arial" w:hAnsi="Arial" w:cs="Arial"/>
          <w:sz w:val="22"/>
          <w:szCs w:val="22"/>
        </w:rPr>
        <w:t xml:space="preserve">past </w:t>
      </w:r>
      <w:r w:rsidRPr="00F225C1">
        <w:rPr>
          <w:rFonts w:ascii="Arial" w:hAnsi="Arial" w:cs="Arial"/>
          <w:sz w:val="22"/>
          <w:szCs w:val="22"/>
        </w:rPr>
        <w:t>history of any cardiovascular</w:t>
      </w:r>
      <w:r>
        <w:rPr>
          <w:rFonts w:ascii="Arial" w:hAnsi="Arial" w:cs="Arial"/>
          <w:sz w:val="22"/>
          <w:szCs w:val="22"/>
        </w:rPr>
        <w:t xml:space="preserve"> </w:t>
      </w:r>
      <w:r w:rsidRPr="006D10EF">
        <w:rPr>
          <w:rFonts w:ascii="Arial" w:hAnsi="Arial" w:cs="Arial"/>
          <w:sz w:val="22"/>
          <w:szCs w:val="22"/>
        </w:rPr>
        <w:t>disease (</w:t>
      </w:r>
      <w:r w:rsidR="00852FFA">
        <w:rPr>
          <w:rFonts w:ascii="Arial" w:hAnsi="Arial" w:cs="Arial"/>
          <w:sz w:val="22"/>
          <w:szCs w:val="22"/>
        </w:rPr>
        <w:t xml:space="preserve">CVD = </w:t>
      </w:r>
      <w:r w:rsidR="006D10EF" w:rsidRPr="006D10EF">
        <w:rPr>
          <w:rFonts w:ascii="Arial" w:hAnsi="Arial" w:cs="Arial"/>
          <w:sz w:val="22"/>
          <w:szCs w:val="22"/>
        </w:rPr>
        <w:t>angina, MI, TIA, stroke</w:t>
      </w:r>
      <w:r w:rsidR="006D10EF">
        <w:rPr>
          <w:rFonts w:ascii="Arial" w:hAnsi="Arial" w:cs="Arial"/>
          <w:sz w:val="22"/>
          <w:szCs w:val="22"/>
        </w:rPr>
        <w:t>)</w:t>
      </w:r>
      <w:r w:rsidR="006D10EF" w:rsidRPr="006D10EF">
        <w:rPr>
          <w:rFonts w:ascii="Arial" w:hAnsi="Arial" w:cs="Arial"/>
          <w:sz w:val="22"/>
          <w:szCs w:val="22"/>
        </w:rPr>
        <w:t xml:space="preserve"> at time of </w:t>
      </w:r>
      <w:r w:rsidRPr="006D10EF">
        <w:rPr>
          <w:rFonts w:ascii="Arial" w:hAnsi="Arial" w:cs="Arial"/>
          <w:sz w:val="22"/>
          <w:szCs w:val="22"/>
        </w:rPr>
        <w:t>study enrollment</w:t>
      </w:r>
      <w:r w:rsidR="006D10EF">
        <w:rPr>
          <w:rFonts w:ascii="Arial" w:hAnsi="Arial" w:cs="Arial"/>
          <w:sz w:val="22"/>
          <w:szCs w:val="22"/>
        </w:rPr>
        <w:t xml:space="preserve"> and also for smoking history</w:t>
      </w:r>
      <w:r w:rsidRPr="00F225C1">
        <w:rPr>
          <w:rFonts w:ascii="Arial" w:hAnsi="Arial" w:cs="Arial"/>
          <w:sz w:val="22"/>
          <w:szCs w:val="22"/>
        </w:rPr>
        <w:t xml:space="preserve">. Within each group defined by </w:t>
      </w:r>
      <w:r w:rsidR="006D10EF">
        <w:rPr>
          <w:rFonts w:ascii="Arial" w:hAnsi="Arial" w:cs="Arial"/>
          <w:sz w:val="22"/>
          <w:szCs w:val="22"/>
        </w:rPr>
        <w:t>CRP level</w:t>
      </w:r>
      <w:r w:rsidRPr="00F225C1">
        <w:rPr>
          <w:rFonts w:ascii="Arial" w:hAnsi="Arial" w:cs="Arial"/>
          <w:sz w:val="22"/>
          <w:szCs w:val="22"/>
        </w:rPr>
        <w:t>, for continuous variables</w:t>
      </w:r>
      <w:r>
        <w:rPr>
          <w:rFonts w:ascii="Arial" w:hAnsi="Arial" w:cs="Arial"/>
          <w:sz w:val="22"/>
          <w:szCs w:val="22"/>
        </w:rPr>
        <w:t xml:space="preserve"> </w:t>
      </w:r>
      <w:r w:rsidRPr="00F225C1">
        <w:rPr>
          <w:rFonts w:ascii="Arial" w:hAnsi="Arial" w:cs="Arial"/>
          <w:sz w:val="22"/>
          <w:szCs w:val="22"/>
        </w:rPr>
        <w:t xml:space="preserve">(age, </w:t>
      </w:r>
      <w:r w:rsidR="006D10EF">
        <w:rPr>
          <w:rFonts w:ascii="Arial" w:hAnsi="Arial" w:cs="Arial"/>
          <w:sz w:val="22"/>
          <w:szCs w:val="22"/>
        </w:rPr>
        <w:t>BMI</w:t>
      </w:r>
      <w:r w:rsidRPr="00F225C1">
        <w:rPr>
          <w:rFonts w:ascii="Arial" w:hAnsi="Arial" w:cs="Arial"/>
          <w:sz w:val="22"/>
          <w:szCs w:val="22"/>
        </w:rPr>
        <w:t xml:space="preserve">, </w:t>
      </w:r>
      <w:r w:rsidR="006D10EF">
        <w:rPr>
          <w:rFonts w:ascii="Arial" w:hAnsi="Arial" w:cs="Arial"/>
          <w:sz w:val="22"/>
          <w:szCs w:val="22"/>
        </w:rPr>
        <w:t xml:space="preserve">cholesterol) the table </w:t>
      </w:r>
      <w:r w:rsidRPr="00F225C1">
        <w:rPr>
          <w:rFonts w:ascii="Arial" w:hAnsi="Arial" w:cs="Arial"/>
          <w:sz w:val="22"/>
          <w:szCs w:val="22"/>
        </w:rPr>
        <w:t>include</w:t>
      </w:r>
      <w:r w:rsidR="006D10EF">
        <w:rPr>
          <w:rFonts w:ascii="Arial" w:hAnsi="Arial" w:cs="Arial"/>
          <w:sz w:val="22"/>
          <w:szCs w:val="22"/>
        </w:rPr>
        <w:t>s</w:t>
      </w:r>
      <w:r w:rsidRPr="00F225C1">
        <w:rPr>
          <w:rFonts w:ascii="Arial" w:hAnsi="Arial" w:cs="Arial"/>
          <w:sz w:val="22"/>
          <w:szCs w:val="22"/>
        </w:rPr>
        <w:t xml:space="preserve"> the mean, standard deviation, minimum and</w:t>
      </w:r>
      <w:r>
        <w:rPr>
          <w:rFonts w:ascii="Arial" w:hAnsi="Arial" w:cs="Arial"/>
          <w:sz w:val="22"/>
          <w:szCs w:val="22"/>
        </w:rPr>
        <w:t xml:space="preserve"> </w:t>
      </w:r>
      <w:r w:rsidRPr="00F225C1">
        <w:rPr>
          <w:rFonts w:ascii="Arial" w:hAnsi="Arial" w:cs="Arial"/>
          <w:sz w:val="22"/>
          <w:szCs w:val="22"/>
        </w:rPr>
        <w:t xml:space="preserve">maximum. For binary variables (sex and indicators of prior history of </w:t>
      </w:r>
      <w:r w:rsidR="00852FFA">
        <w:rPr>
          <w:rFonts w:ascii="Arial" w:hAnsi="Arial" w:cs="Arial"/>
          <w:sz w:val="22"/>
          <w:szCs w:val="22"/>
        </w:rPr>
        <w:t>CVD &amp;</w:t>
      </w:r>
      <w:r w:rsidR="006D10EF">
        <w:rPr>
          <w:rFonts w:ascii="Arial" w:hAnsi="Arial" w:cs="Arial"/>
          <w:sz w:val="22"/>
          <w:szCs w:val="22"/>
        </w:rPr>
        <w:t xml:space="preserve"> smoking) </w:t>
      </w:r>
      <w:r w:rsidRPr="00F225C1">
        <w:rPr>
          <w:rFonts w:ascii="Arial" w:hAnsi="Arial" w:cs="Arial"/>
          <w:sz w:val="22"/>
          <w:szCs w:val="22"/>
        </w:rPr>
        <w:t>percentages</w:t>
      </w:r>
      <w:r w:rsidR="006D10EF">
        <w:rPr>
          <w:rFonts w:ascii="Arial" w:hAnsi="Arial" w:cs="Arial"/>
          <w:sz w:val="22"/>
          <w:szCs w:val="22"/>
        </w:rPr>
        <w:t xml:space="preserve"> are given</w:t>
      </w:r>
      <w:r w:rsidRPr="00F225C1">
        <w:rPr>
          <w:rFonts w:ascii="Arial" w:hAnsi="Arial" w:cs="Arial"/>
          <w:sz w:val="22"/>
          <w:szCs w:val="22"/>
        </w:rPr>
        <w:t>.</w:t>
      </w:r>
    </w:p>
    <w:p w:rsidR="00A33CBE" w:rsidRDefault="006D10EF" w:rsidP="00F225C1">
      <w:pPr>
        <w:autoSpaceDE w:val="0"/>
        <w:autoSpaceDN w:val="0"/>
        <w:adjustRightInd w:val="0"/>
        <w:spacing w:after="120"/>
        <w:ind w:left="720"/>
        <w:rPr>
          <w:rFonts w:ascii="Arial" w:hAnsi="Arial" w:cs="Arial"/>
          <w:sz w:val="22"/>
          <w:szCs w:val="22"/>
        </w:rPr>
      </w:pPr>
      <w:r w:rsidRPr="006D10EF">
        <w:rPr>
          <w:rFonts w:ascii="Arial" w:hAnsi="Arial" w:cs="Arial"/>
          <w:b/>
          <w:sz w:val="22"/>
          <w:szCs w:val="22"/>
        </w:rPr>
        <w:t>Results</w:t>
      </w:r>
      <w:r>
        <w:rPr>
          <w:rFonts w:ascii="Arial" w:hAnsi="Arial" w:cs="Arial"/>
          <w:sz w:val="22"/>
          <w:szCs w:val="22"/>
        </w:rPr>
        <w:t>:</w:t>
      </w:r>
      <w:r w:rsidR="004C578C">
        <w:rPr>
          <w:rFonts w:ascii="Arial" w:hAnsi="Arial" w:cs="Arial"/>
          <w:sz w:val="22"/>
          <w:szCs w:val="22"/>
        </w:rPr>
        <w:t xml:space="preserve"> Data is available for</w:t>
      </w:r>
      <w:r w:rsidR="004C578C" w:rsidRPr="004C578C">
        <w:rPr>
          <w:rFonts w:ascii="Arial" w:hAnsi="Arial" w:cs="Arial"/>
          <w:sz w:val="22"/>
          <w:szCs w:val="22"/>
        </w:rPr>
        <w:t xml:space="preserve"> </w:t>
      </w:r>
      <w:r w:rsidR="004C578C">
        <w:rPr>
          <w:rFonts w:ascii="Arial" w:hAnsi="Arial" w:cs="Arial"/>
          <w:sz w:val="22"/>
          <w:szCs w:val="22"/>
        </w:rPr>
        <w:t>5000 study participants. The following number of study participants had</w:t>
      </w:r>
      <w:r w:rsidR="004C578C" w:rsidRPr="004C578C">
        <w:rPr>
          <w:rFonts w:ascii="Arial" w:hAnsi="Arial" w:cs="Arial"/>
          <w:sz w:val="22"/>
          <w:szCs w:val="22"/>
        </w:rPr>
        <w:t xml:space="preserve"> missing data </w:t>
      </w:r>
      <w:r w:rsidR="004C578C">
        <w:rPr>
          <w:rFonts w:ascii="Arial" w:hAnsi="Arial" w:cs="Arial"/>
          <w:sz w:val="22"/>
          <w:szCs w:val="22"/>
        </w:rPr>
        <w:t>for some of the variables of interest: 13 missing for BMI, 47 missing for cholesterol level, and 6 missing for smoking history</w:t>
      </w:r>
      <w:r w:rsidR="004C578C" w:rsidRPr="004C578C">
        <w:rPr>
          <w:rFonts w:ascii="Arial" w:hAnsi="Arial" w:cs="Arial"/>
          <w:sz w:val="22"/>
          <w:szCs w:val="22"/>
        </w:rPr>
        <w:t>.</w:t>
      </w:r>
      <w:r w:rsidR="004C578C">
        <w:rPr>
          <w:rFonts w:ascii="Arial" w:hAnsi="Arial" w:cs="Arial"/>
          <w:sz w:val="22"/>
          <w:szCs w:val="22"/>
        </w:rPr>
        <w:t xml:space="preserve"> 428 participants</w:t>
      </w:r>
      <w:r w:rsidR="004C578C" w:rsidRPr="004C578C">
        <w:rPr>
          <w:rFonts w:ascii="Arial" w:hAnsi="Arial" w:cs="Arial"/>
          <w:sz w:val="22"/>
          <w:szCs w:val="22"/>
        </w:rPr>
        <w:t xml:space="preserve"> had </w:t>
      </w:r>
      <w:r w:rsidR="004C578C">
        <w:rPr>
          <w:rFonts w:ascii="Arial" w:hAnsi="Arial" w:cs="Arial"/>
          <w:sz w:val="22"/>
          <w:szCs w:val="22"/>
        </w:rPr>
        <w:t>a CRP level</w:t>
      </w:r>
      <w:r w:rsidR="004C578C" w:rsidRPr="004C578C">
        <w:rPr>
          <w:rFonts w:ascii="Arial" w:hAnsi="Arial" w:cs="Arial"/>
          <w:sz w:val="22"/>
          <w:szCs w:val="22"/>
        </w:rPr>
        <w:t xml:space="preserve"> less than </w:t>
      </w:r>
      <w:r w:rsidR="004C578C">
        <w:rPr>
          <w:rFonts w:ascii="Arial" w:hAnsi="Arial" w:cs="Arial"/>
          <w:sz w:val="22"/>
          <w:szCs w:val="22"/>
        </w:rPr>
        <w:t>1 mg/</w:t>
      </w:r>
      <w:r w:rsidR="004C578C" w:rsidRPr="004C578C">
        <w:rPr>
          <w:rFonts w:ascii="Arial" w:hAnsi="Arial" w:cs="Arial"/>
          <w:sz w:val="22"/>
          <w:szCs w:val="22"/>
        </w:rPr>
        <w:t xml:space="preserve">L, </w:t>
      </w:r>
      <w:r w:rsidR="004C578C">
        <w:rPr>
          <w:rFonts w:ascii="Arial" w:hAnsi="Arial" w:cs="Arial"/>
          <w:sz w:val="22"/>
          <w:szCs w:val="22"/>
        </w:rPr>
        <w:t>3330</w:t>
      </w:r>
      <w:r w:rsidR="004C578C" w:rsidRPr="004C578C">
        <w:rPr>
          <w:rFonts w:ascii="Arial" w:hAnsi="Arial" w:cs="Arial"/>
          <w:sz w:val="22"/>
          <w:szCs w:val="22"/>
        </w:rPr>
        <w:t xml:space="preserve"> had </w:t>
      </w:r>
      <w:r w:rsidR="004C578C">
        <w:rPr>
          <w:rFonts w:ascii="Arial" w:hAnsi="Arial" w:cs="Arial"/>
          <w:sz w:val="22"/>
          <w:szCs w:val="22"/>
        </w:rPr>
        <w:t xml:space="preserve">a CRP level between 1 and 3 mg/L, and 1242 </w:t>
      </w:r>
      <w:r w:rsidR="004C578C" w:rsidRPr="004C578C">
        <w:rPr>
          <w:rFonts w:ascii="Arial" w:hAnsi="Arial" w:cs="Arial"/>
          <w:sz w:val="22"/>
          <w:szCs w:val="22"/>
        </w:rPr>
        <w:t xml:space="preserve">had </w:t>
      </w:r>
      <w:r w:rsidR="004C578C">
        <w:rPr>
          <w:rFonts w:ascii="Arial" w:hAnsi="Arial" w:cs="Arial"/>
          <w:sz w:val="22"/>
          <w:szCs w:val="22"/>
        </w:rPr>
        <w:t>a CRP level greater than 3 mg/</w:t>
      </w:r>
      <w:r w:rsidR="004C578C" w:rsidRPr="004C578C">
        <w:rPr>
          <w:rFonts w:ascii="Arial" w:hAnsi="Arial" w:cs="Arial"/>
          <w:sz w:val="22"/>
          <w:szCs w:val="22"/>
        </w:rPr>
        <w:t>L. The following table presents descriptive</w:t>
      </w:r>
      <w:r w:rsidR="004C578C">
        <w:rPr>
          <w:rFonts w:ascii="Arial" w:hAnsi="Arial" w:cs="Arial"/>
          <w:sz w:val="22"/>
          <w:szCs w:val="22"/>
        </w:rPr>
        <w:t xml:space="preserve"> </w:t>
      </w:r>
      <w:r w:rsidR="004C578C" w:rsidRPr="004C578C">
        <w:rPr>
          <w:rFonts w:ascii="Arial" w:hAnsi="Arial" w:cs="Arial"/>
          <w:sz w:val="22"/>
          <w:szCs w:val="22"/>
        </w:rPr>
        <w:t xml:space="preserve">statistics within these groups. </w:t>
      </w:r>
      <w:r w:rsidR="004C578C">
        <w:rPr>
          <w:rFonts w:ascii="Arial" w:hAnsi="Arial" w:cs="Arial"/>
          <w:sz w:val="22"/>
          <w:szCs w:val="22"/>
        </w:rPr>
        <w:t>Participants with a CRP level greater than 3</w:t>
      </w:r>
      <w:r w:rsidR="00852FFA">
        <w:rPr>
          <w:rFonts w:ascii="Arial" w:hAnsi="Arial" w:cs="Arial"/>
          <w:sz w:val="22"/>
          <w:szCs w:val="22"/>
        </w:rPr>
        <w:t xml:space="preserve"> mg/L were slightly less </w:t>
      </w:r>
      <w:r w:rsidR="004C578C" w:rsidRPr="004C578C">
        <w:rPr>
          <w:rFonts w:ascii="Arial" w:hAnsi="Arial" w:cs="Arial"/>
          <w:sz w:val="22"/>
          <w:szCs w:val="22"/>
        </w:rPr>
        <w:t>likely to</w:t>
      </w:r>
      <w:r w:rsidR="004C578C">
        <w:rPr>
          <w:rFonts w:ascii="Arial" w:hAnsi="Arial" w:cs="Arial"/>
          <w:sz w:val="22"/>
          <w:szCs w:val="22"/>
        </w:rPr>
        <w:t xml:space="preserve"> </w:t>
      </w:r>
      <w:r w:rsidR="004C578C" w:rsidRPr="004C578C">
        <w:rPr>
          <w:rFonts w:ascii="Arial" w:hAnsi="Arial" w:cs="Arial"/>
          <w:sz w:val="22"/>
          <w:szCs w:val="22"/>
        </w:rPr>
        <w:t xml:space="preserve">be male than </w:t>
      </w:r>
      <w:r w:rsidR="00852FFA">
        <w:rPr>
          <w:rFonts w:ascii="Arial" w:hAnsi="Arial" w:cs="Arial"/>
          <w:sz w:val="22"/>
          <w:szCs w:val="22"/>
        </w:rPr>
        <w:t>those in other groups</w:t>
      </w:r>
      <w:r w:rsidR="004C578C" w:rsidRPr="004C578C">
        <w:rPr>
          <w:rFonts w:ascii="Arial" w:hAnsi="Arial" w:cs="Arial"/>
          <w:sz w:val="22"/>
          <w:szCs w:val="22"/>
        </w:rPr>
        <w:t>.</w:t>
      </w:r>
      <w:r w:rsidR="00852FFA">
        <w:rPr>
          <w:rFonts w:ascii="Arial" w:hAnsi="Arial" w:cs="Arial"/>
          <w:sz w:val="22"/>
          <w:szCs w:val="22"/>
        </w:rPr>
        <w:t xml:space="preserve"> There was a trend towards increasing BMI, increased history of smoking, and increased history of </w:t>
      </w:r>
      <w:r w:rsidR="004C578C" w:rsidRPr="004C578C">
        <w:rPr>
          <w:rFonts w:ascii="Arial" w:hAnsi="Arial" w:cs="Arial"/>
          <w:sz w:val="22"/>
          <w:szCs w:val="22"/>
        </w:rPr>
        <w:t>prior cardiovascular disease</w:t>
      </w:r>
      <w:r w:rsidR="00852FFA">
        <w:rPr>
          <w:rFonts w:ascii="Arial" w:hAnsi="Arial" w:cs="Arial"/>
          <w:sz w:val="22"/>
          <w:szCs w:val="22"/>
        </w:rPr>
        <w:t xml:space="preserve"> with increasing CRP level.</w:t>
      </w:r>
    </w:p>
    <w:p w:rsidR="006D10EF" w:rsidRDefault="00A33CBE" w:rsidP="00F225C1">
      <w:pPr>
        <w:autoSpaceDE w:val="0"/>
        <w:autoSpaceDN w:val="0"/>
        <w:adjustRightInd w:val="0"/>
        <w:spacing w:after="120"/>
        <w:ind w:left="720"/>
        <w:rPr>
          <w:rFonts w:ascii="Arial" w:hAnsi="Arial" w:cs="Arial"/>
          <w:sz w:val="22"/>
          <w:szCs w:val="22"/>
        </w:rPr>
      </w:pPr>
      <w:r>
        <w:rPr>
          <w:rFonts w:ascii="Arial" w:hAnsi="Arial" w:cs="Arial"/>
          <w:sz w:val="22"/>
          <w:szCs w:val="22"/>
        </w:rPr>
        <w:br w:type="page"/>
      </w:r>
    </w:p>
    <w:tbl>
      <w:tblPr>
        <w:tblStyle w:val="TableGrid"/>
        <w:tblW w:w="0" w:type="auto"/>
        <w:tblInd w:w="720" w:type="dxa"/>
        <w:tblLook w:val="04A0" w:firstRow="1" w:lastRow="0" w:firstColumn="1" w:lastColumn="0" w:noHBand="0" w:noVBand="1"/>
      </w:tblPr>
      <w:tblGrid>
        <w:gridCol w:w="1757"/>
        <w:gridCol w:w="1781"/>
        <w:gridCol w:w="1781"/>
        <w:gridCol w:w="1781"/>
        <w:gridCol w:w="1756"/>
      </w:tblGrid>
      <w:tr w:rsidR="006D10EF" w:rsidRPr="00A14799" w:rsidTr="00520315">
        <w:tc>
          <w:tcPr>
            <w:tcW w:w="1757" w:type="dxa"/>
            <w:vAlign w:val="center"/>
          </w:tcPr>
          <w:p w:rsidR="006D10EF" w:rsidRPr="00A14799" w:rsidRDefault="006D10EF" w:rsidP="006D10EF">
            <w:pPr>
              <w:autoSpaceDE w:val="0"/>
              <w:autoSpaceDN w:val="0"/>
              <w:adjustRightInd w:val="0"/>
              <w:spacing w:after="120"/>
              <w:jc w:val="center"/>
              <w:rPr>
                <w:rFonts w:ascii="Arial" w:hAnsi="Arial" w:cs="Arial"/>
              </w:rPr>
            </w:pPr>
          </w:p>
        </w:tc>
        <w:tc>
          <w:tcPr>
            <w:tcW w:w="7099" w:type="dxa"/>
            <w:gridSpan w:val="4"/>
            <w:vAlign w:val="center"/>
          </w:tcPr>
          <w:p w:rsidR="006D10EF" w:rsidRPr="00520315" w:rsidRDefault="006D10EF" w:rsidP="006D10EF">
            <w:pPr>
              <w:autoSpaceDE w:val="0"/>
              <w:autoSpaceDN w:val="0"/>
              <w:adjustRightInd w:val="0"/>
              <w:spacing w:after="120"/>
              <w:jc w:val="center"/>
              <w:rPr>
                <w:rFonts w:ascii="Arial" w:hAnsi="Arial" w:cs="Arial"/>
                <w:b/>
                <w:sz w:val="22"/>
                <w:szCs w:val="22"/>
              </w:rPr>
            </w:pPr>
            <w:r w:rsidRPr="00520315">
              <w:rPr>
                <w:rFonts w:ascii="Arial" w:hAnsi="Arial" w:cs="Arial"/>
                <w:b/>
                <w:sz w:val="22"/>
                <w:szCs w:val="22"/>
              </w:rPr>
              <w:t>C-reactive Protein (CRP) Level</w:t>
            </w:r>
          </w:p>
        </w:tc>
      </w:tr>
      <w:tr w:rsidR="006D10EF" w:rsidRPr="00A14799" w:rsidTr="00520315">
        <w:tc>
          <w:tcPr>
            <w:tcW w:w="1757" w:type="dxa"/>
            <w:vAlign w:val="center"/>
          </w:tcPr>
          <w:p w:rsidR="006D10EF" w:rsidRPr="00A14799" w:rsidRDefault="006D10EF" w:rsidP="006D10EF">
            <w:pPr>
              <w:autoSpaceDE w:val="0"/>
              <w:autoSpaceDN w:val="0"/>
              <w:adjustRightInd w:val="0"/>
              <w:spacing w:after="120"/>
              <w:jc w:val="center"/>
              <w:rPr>
                <w:rFonts w:ascii="Arial" w:hAnsi="Arial" w:cs="Arial"/>
              </w:rPr>
            </w:pPr>
          </w:p>
        </w:tc>
        <w:tc>
          <w:tcPr>
            <w:tcW w:w="1781" w:type="dxa"/>
            <w:vAlign w:val="center"/>
          </w:tcPr>
          <w:p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&lt; 1 mg/L</w:t>
            </w:r>
          </w:p>
          <w:p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(n=428)</w:t>
            </w:r>
          </w:p>
        </w:tc>
        <w:tc>
          <w:tcPr>
            <w:tcW w:w="1781" w:type="dxa"/>
            <w:vAlign w:val="center"/>
          </w:tcPr>
          <w:p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1-3</w:t>
            </w:r>
            <w:r w:rsidR="00A14799" w:rsidRPr="00A14799">
              <w:rPr>
                <w:rFonts w:ascii="Arial" w:hAnsi="Arial" w:cs="Arial"/>
              </w:rPr>
              <w:t xml:space="preserve"> mg/L</w:t>
            </w:r>
          </w:p>
          <w:p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(n=3330)</w:t>
            </w:r>
          </w:p>
        </w:tc>
        <w:tc>
          <w:tcPr>
            <w:tcW w:w="1781" w:type="dxa"/>
            <w:vAlign w:val="center"/>
          </w:tcPr>
          <w:p w:rsidR="006D10EF"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&gt;3 mg/L</w:t>
            </w:r>
          </w:p>
          <w:p w:rsidR="00A14799"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(n=1242)</w:t>
            </w:r>
          </w:p>
        </w:tc>
        <w:tc>
          <w:tcPr>
            <w:tcW w:w="1756" w:type="dxa"/>
            <w:vAlign w:val="center"/>
          </w:tcPr>
          <w:p w:rsidR="006D10EF"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Total</w:t>
            </w:r>
          </w:p>
          <w:p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(n=5000)</w:t>
            </w:r>
          </w:p>
        </w:tc>
      </w:tr>
      <w:tr w:rsidR="006D10EF" w:rsidRPr="00A14799" w:rsidTr="00520315">
        <w:tc>
          <w:tcPr>
            <w:tcW w:w="1757" w:type="dxa"/>
            <w:vAlign w:val="center"/>
          </w:tcPr>
          <w:p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Male (%)</w:t>
            </w:r>
          </w:p>
        </w:tc>
        <w:tc>
          <w:tcPr>
            <w:tcW w:w="1781" w:type="dxa"/>
            <w:vAlign w:val="center"/>
          </w:tcPr>
          <w:p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45.6%</w:t>
            </w:r>
          </w:p>
        </w:tc>
        <w:tc>
          <w:tcPr>
            <w:tcW w:w="1781" w:type="dxa"/>
            <w:vAlign w:val="center"/>
          </w:tcPr>
          <w:p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43.3%</w:t>
            </w:r>
          </w:p>
        </w:tc>
        <w:tc>
          <w:tcPr>
            <w:tcW w:w="1781" w:type="dxa"/>
            <w:vAlign w:val="center"/>
          </w:tcPr>
          <w:p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37.0%</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41.9%</w:t>
            </w:r>
          </w:p>
        </w:tc>
      </w:tr>
      <w:tr w:rsidR="006D10EF" w:rsidRPr="00A14799" w:rsidTr="00520315">
        <w:tc>
          <w:tcPr>
            <w:tcW w:w="1757" w:type="dxa"/>
            <w:vAlign w:val="center"/>
          </w:tcPr>
          <w:p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Age (years)</w:t>
            </w:r>
            <w:r w:rsidR="001B7096" w:rsidRPr="00520315">
              <w:rPr>
                <w:rFonts w:ascii="Arial" w:hAnsi="Arial" w:cs="Arial"/>
                <w:b/>
              </w:rPr>
              <w:t>*</w:t>
            </w:r>
          </w:p>
        </w:tc>
        <w:tc>
          <w:tcPr>
            <w:tcW w:w="1781" w:type="dxa"/>
            <w:vAlign w:val="center"/>
          </w:tcPr>
          <w:p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73.5</w:t>
            </w:r>
            <w:r w:rsidRPr="00A14799">
              <w:rPr>
                <w:rFonts w:ascii="Arial" w:hAnsi="Arial" w:cs="Arial"/>
                <w:sz w:val="18"/>
                <w:szCs w:val="18"/>
              </w:rPr>
              <w:t xml:space="preserve"> (5.80; 65-94) </w:t>
            </w:r>
          </w:p>
        </w:tc>
        <w:tc>
          <w:tcPr>
            <w:tcW w:w="1781" w:type="dxa"/>
            <w:vAlign w:val="center"/>
          </w:tcPr>
          <w:p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72.7 (5.52; 65-100)</w:t>
            </w:r>
          </w:p>
        </w:tc>
        <w:tc>
          <w:tcPr>
            <w:tcW w:w="1781" w:type="dxa"/>
            <w:vAlign w:val="center"/>
          </w:tcPr>
          <w:p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72.9 (5.71; 65-93)</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72.8 (5.60; 65-100)</w:t>
            </w:r>
          </w:p>
        </w:tc>
      </w:tr>
      <w:tr w:rsidR="006D10EF" w:rsidRPr="00A14799" w:rsidTr="00520315">
        <w:tc>
          <w:tcPr>
            <w:tcW w:w="1757" w:type="dxa"/>
            <w:vAlign w:val="center"/>
          </w:tcPr>
          <w:p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BMI (kg/m</w:t>
            </w:r>
            <w:r w:rsidRPr="00520315">
              <w:rPr>
                <w:rFonts w:ascii="Arial" w:hAnsi="Arial" w:cs="Arial"/>
                <w:b/>
                <w:vertAlign w:val="superscript"/>
              </w:rPr>
              <w:t>2</w:t>
            </w:r>
            <w:r w:rsidRPr="00520315">
              <w:rPr>
                <w:rFonts w:ascii="Arial" w:hAnsi="Arial" w:cs="Arial"/>
                <w:b/>
              </w:rPr>
              <w:t>)</w:t>
            </w:r>
            <w:r w:rsidR="001B7096" w:rsidRPr="00520315">
              <w:rPr>
                <w:rFonts w:ascii="Arial" w:hAnsi="Arial" w:cs="Arial"/>
                <w:b/>
              </w:rPr>
              <w:t>*</w:t>
            </w:r>
          </w:p>
        </w:tc>
        <w:tc>
          <w:tcPr>
            <w:tcW w:w="1781" w:type="dxa"/>
            <w:vAlign w:val="center"/>
          </w:tcPr>
          <w:p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23.8 (3.64; 15.6-38.6)</w:t>
            </w:r>
          </w:p>
        </w:tc>
        <w:tc>
          <w:tcPr>
            <w:tcW w:w="1781" w:type="dxa"/>
            <w:vAlign w:val="center"/>
          </w:tcPr>
          <w:p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26.4 (4.31; 14.7-53.2)</w:t>
            </w:r>
          </w:p>
        </w:tc>
        <w:tc>
          <w:tcPr>
            <w:tcW w:w="1781" w:type="dxa"/>
            <w:vAlign w:val="center"/>
          </w:tcPr>
          <w:p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28.4 (5.48; 15.3-58.8)</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26.7 (4.74; 14.7-58.8)</w:t>
            </w:r>
          </w:p>
        </w:tc>
      </w:tr>
      <w:tr w:rsidR="006D10EF" w:rsidRPr="00A14799" w:rsidTr="00520315">
        <w:tc>
          <w:tcPr>
            <w:tcW w:w="1757" w:type="dxa"/>
            <w:vAlign w:val="center"/>
          </w:tcPr>
          <w:p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Cholesterol</w:t>
            </w:r>
            <w:r w:rsidR="001B7096" w:rsidRPr="00520315">
              <w:rPr>
                <w:rFonts w:ascii="Arial" w:hAnsi="Arial" w:cs="Arial"/>
                <w:b/>
              </w:rPr>
              <w:t>*</w:t>
            </w:r>
          </w:p>
        </w:tc>
        <w:tc>
          <w:tcPr>
            <w:tcW w:w="1781" w:type="dxa"/>
            <w:vAlign w:val="center"/>
          </w:tcPr>
          <w:p w:rsidR="006D10EF" w:rsidRPr="00A14799" w:rsidRDefault="00EF39F4" w:rsidP="00EF39F4">
            <w:pPr>
              <w:autoSpaceDE w:val="0"/>
              <w:autoSpaceDN w:val="0"/>
              <w:adjustRightInd w:val="0"/>
              <w:spacing w:after="120"/>
              <w:jc w:val="center"/>
              <w:rPr>
                <w:rFonts w:ascii="Arial" w:hAnsi="Arial" w:cs="Arial"/>
                <w:sz w:val="18"/>
                <w:szCs w:val="18"/>
              </w:rPr>
            </w:pPr>
            <w:r>
              <w:rPr>
                <w:rFonts w:ascii="Arial" w:hAnsi="Arial" w:cs="Arial"/>
                <w:sz w:val="18"/>
                <w:szCs w:val="18"/>
              </w:rPr>
              <w:t>206 (40.52; 109-407)</w:t>
            </w:r>
          </w:p>
        </w:tc>
        <w:tc>
          <w:tcPr>
            <w:tcW w:w="1781" w:type="dxa"/>
            <w:vAlign w:val="center"/>
          </w:tcPr>
          <w:p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213 (38.57; 73-363)</w:t>
            </w:r>
          </w:p>
        </w:tc>
        <w:tc>
          <w:tcPr>
            <w:tcW w:w="1781" w:type="dxa"/>
            <w:vAlign w:val="center"/>
          </w:tcPr>
          <w:p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211 (40.61; 97-430)</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212 (39.29; 73-430)</w:t>
            </w:r>
          </w:p>
        </w:tc>
      </w:tr>
      <w:tr w:rsidR="006D10EF" w:rsidRPr="00A14799" w:rsidTr="00520315">
        <w:tc>
          <w:tcPr>
            <w:tcW w:w="1757" w:type="dxa"/>
            <w:vAlign w:val="center"/>
          </w:tcPr>
          <w:p w:rsidR="006D10EF" w:rsidRPr="00520315" w:rsidRDefault="00EF39F4" w:rsidP="00EF39F4">
            <w:pPr>
              <w:autoSpaceDE w:val="0"/>
              <w:autoSpaceDN w:val="0"/>
              <w:adjustRightInd w:val="0"/>
              <w:spacing w:after="120"/>
              <w:jc w:val="center"/>
              <w:rPr>
                <w:rFonts w:ascii="Arial" w:hAnsi="Arial" w:cs="Arial"/>
                <w:b/>
              </w:rPr>
            </w:pPr>
            <w:r w:rsidRPr="00520315">
              <w:rPr>
                <w:rFonts w:ascii="Arial" w:hAnsi="Arial" w:cs="Arial"/>
                <w:b/>
              </w:rPr>
              <w:t>History of smoking</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9.6%</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11.0%</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15.9%</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12.1%</w:t>
            </w:r>
          </w:p>
        </w:tc>
      </w:tr>
      <w:tr w:rsidR="006D10EF" w:rsidRPr="00A14799" w:rsidTr="00520315">
        <w:tc>
          <w:tcPr>
            <w:tcW w:w="1757" w:type="dxa"/>
            <w:vAlign w:val="center"/>
          </w:tcPr>
          <w:p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History of CVD</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18.2%</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21.5%</w:t>
            </w:r>
          </w:p>
        </w:tc>
        <w:tc>
          <w:tcPr>
            <w:tcW w:w="1781" w:type="dxa"/>
            <w:vAlign w:val="center"/>
          </w:tcPr>
          <w:p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28.7%</w:t>
            </w:r>
          </w:p>
        </w:tc>
        <w:tc>
          <w:tcPr>
            <w:tcW w:w="1756" w:type="dxa"/>
            <w:vAlign w:val="center"/>
          </w:tcPr>
          <w:p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23.0%</w:t>
            </w:r>
          </w:p>
        </w:tc>
      </w:tr>
    </w:tbl>
    <w:p w:rsidR="006D10EF" w:rsidRDefault="00520315" w:rsidP="00520315">
      <w:pPr>
        <w:autoSpaceDE w:val="0"/>
        <w:autoSpaceDN w:val="0"/>
        <w:adjustRightInd w:val="0"/>
        <w:spacing w:after="120"/>
        <w:ind w:left="720"/>
        <w:rPr>
          <w:rFonts w:ascii="Arial" w:hAnsi="Arial" w:cs="Arial"/>
          <w:sz w:val="22"/>
          <w:szCs w:val="22"/>
        </w:rPr>
      </w:pPr>
      <w:r>
        <w:rPr>
          <w:rFonts w:ascii="Arial" w:hAnsi="Arial" w:cs="Arial"/>
          <w:sz w:val="22"/>
          <w:szCs w:val="22"/>
        </w:rPr>
        <w:t>*</w:t>
      </w:r>
      <w:r w:rsidRPr="00520315">
        <w:t xml:space="preserve"> </w:t>
      </w:r>
      <w:r>
        <w:rPr>
          <w:rFonts w:ascii="Arial" w:hAnsi="Arial" w:cs="Arial"/>
          <w:sz w:val="22"/>
          <w:szCs w:val="22"/>
        </w:rPr>
        <w:t>S</w:t>
      </w:r>
      <w:r w:rsidRPr="00520315">
        <w:rPr>
          <w:rFonts w:ascii="Arial" w:hAnsi="Arial" w:cs="Arial"/>
          <w:sz w:val="22"/>
          <w:szCs w:val="22"/>
        </w:rPr>
        <w:t xml:space="preserve">tatistics presented </w:t>
      </w:r>
      <w:r>
        <w:rPr>
          <w:rFonts w:ascii="Arial" w:hAnsi="Arial" w:cs="Arial"/>
          <w:sz w:val="22"/>
          <w:szCs w:val="22"/>
        </w:rPr>
        <w:t>as follows:</w:t>
      </w:r>
      <w:r w:rsidRPr="00520315">
        <w:rPr>
          <w:rFonts w:ascii="Arial" w:hAnsi="Arial" w:cs="Arial"/>
          <w:sz w:val="22"/>
          <w:szCs w:val="22"/>
        </w:rPr>
        <w:t xml:space="preserve"> mean (standard deviation; minimum – maximum)</w:t>
      </w:r>
    </w:p>
    <w:p w:rsidR="00852FFA" w:rsidRPr="00852FFA" w:rsidRDefault="00852FFA" w:rsidP="00852FFA">
      <w:pPr>
        <w:autoSpaceDE w:val="0"/>
        <w:autoSpaceDN w:val="0"/>
        <w:adjustRightInd w:val="0"/>
        <w:spacing w:after="120"/>
        <w:ind w:left="720"/>
        <w:rPr>
          <w:sz w:val="22"/>
          <w:szCs w:val="22"/>
        </w:rPr>
      </w:pP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rsidR="00A33CBE" w:rsidRP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Methods:</w:t>
      </w:r>
      <w:r w:rsidRPr="00A33CBE">
        <w:rPr>
          <w:rFonts w:ascii="Arial" w:hAnsi="Arial" w:cs="Arial"/>
          <w:sz w:val="22"/>
          <w:szCs w:val="22"/>
        </w:rPr>
        <w:t xml:space="preserve"> Mean </w:t>
      </w:r>
      <w:r w:rsidR="00DD3E04">
        <w:rPr>
          <w:rFonts w:ascii="Arial" w:hAnsi="Arial" w:cs="Arial"/>
          <w:sz w:val="22"/>
          <w:szCs w:val="22"/>
        </w:rPr>
        <w:t>CRP</w:t>
      </w:r>
      <w:r w:rsidRPr="00A33CBE">
        <w:rPr>
          <w:rFonts w:ascii="Arial" w:hAnsi="Arial" w:cs="Arial"/>
          <w:sz w:val="22"/>
          <w:szCs w:val="22"/>
        </w:rPr>
        <w:t xml:space="preserve"> levels were compared between </w:t>
      </w:r>
      <w:r w:rsidR="00DD3E04">
        <w:rPr>
          <w:rFonts w:ascii="Arial" w:hAnsi="Arial" w:cs="Arial"/>
          <w:sz w:val="22"/>
          <w:szCs w:val="22"/>
        </w:rPr>
        <w:t>participants</w:t>
      </w:r>
      <w:r w:rsidRPr="00A33CBE">
        <w:rPr>
          <w:rFonts w:ascii="Arial" w:hAnsi="Arial" w:cs="Arial"/>
          <w:sz w:val="22"/>
          <w:szCs w:val="22"/>
        </w:rPr>
        <w:t xml:space="preserve"> who died within </w:t>
      </w:r>
      <w:r w:rsidR="00DD3E04">
        <w:rPr>
          <w:rFonts w:ascii="Arial" w:hAnsi="Arial" w:cs="Arial"/>
          <w:sz w:val="22"/>
          <w:szCs w:val="22"/>
        </w:rPr>
        <w:t>4</w:t>
      </w:r>
      <w:r w:rsidRPr="00A33CBE">
        <w:rPr>
          <w:rFonts w:ascii="Arial" w:hAnsi="Arial" w:cs="Arial"/>
          <w:sz w:val="22"/>
          <w:szCs w:val="22"/>
        </w:rPr>
        <w:t xml:space="preserve"> years of</w:t>
      </w:r>
      <w:r>
        <w:rPr>
          <w:rFonts w:ascii="Arial" w:hAnsi="Arial" w:cs="Arial"/>
          <w:sz w:val="22"/>
          <w:szCs w:val="22"/>
        </w:rPr>
        <w:t xml:space="preserve"> </w:t>
      </w:r>
      <w:r w:rsidRPr="00A33CBE">
        <w:rPr>
          <w:rFonts w:ascii="Arial" w:hAnsi="Arial" w:cs="Arial"/>
          <w:sz w:val="22"/>
          <w:szCs w:val="22"/>
        </w:rPr>
        <w:t xml:space="preserve">study enrollment and those who survived at least </w:t>
      </w:r>
      <w:r w:rsidR="00DD3E04">
        <w:rPr>
          <w:rFonts w:ascii="Arial" w:hAnsi="Arial" w:cs="Arial"/>
          <w:sz w:val="22"/>
          <w:szCs w:val="22"/>
        </w:rPr>
        <w:t>4</w:t>
      </w:r>
      <w:r w:rsidRPr="00A33CBE">
        <w:rPr>
          <w:rFonts w:ascii="Arial" w:hAnsi="Arial" w:cs="Arial"/>
          <w:sz w:val="22"/>
          <w:szCs w:val="22"/>
        </w:rPr>
        <w:t xml:space="preserve"> years. </w:t>
      </w:r>
      <w:r w:rsidR="00DD3E04">
        <w:rPr>
          <w:rFonts w:ascii="Arial" w:hAnsi="Arial" w:cs="Arial"/>
          <w:sz w:val="22"/>
          <w:szCs w:val="22"/>
        </w:rPr>
        <w:t xml:space="preserve">The </w:t>
      </w:r>
      <w:r w:rsidRPr="00A33CBE">
        <w:rPr>
          <w:rFonts w:ascii="Arial" w:hAnsi="Arial" w:cs="Arial"/>
          <w:sz w:val="22"/>
          <w:szCs w:val="22"/>
        </w:rPr>
        <w:t>t test that allows for the possibility of unequal variances</w:t>
      </w:r>
      <w:r w:rsidR="00DD3E04">
        <w:rPr>
          <w:rFonts w:ascii="Arial" w:hAnsi="Arial" w:cs="Arial"/>
          <w:sz w:val="22"/>
          <w:szCs w:val="22"/>
        </w:rPr>
        <w:t xml:space="preserve"> was used to compare means between the two groups and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confidence intervals for the difference in population means.</w:t>
      </w:r>
    </w:p>
    <w:p w:rsid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Results</w:t>
      </w:r>
      <w:r w:rsidRPr="00A33CBE">
        <w:rPr>
          <w:rFonts w:ascii="Arial" w:hAnsi="Arial" w:cs="Arial"/>
          <w:sz w:val="22"/>
          <w:szCs w:val="22"/>
        </w:rPr>
        <w:t xml:space="preserve">: Mean </w:t>
      </w:r>
      <w:r w:rsidR="00DD3E04">
        <w:rPr>
          <w:rFonts w:ascii="Arial" w:hAnsi="Arial" w:cs="Arial"/>
          <w:sz w:val="22"/>
          <w:szCs w:val="22"/>
        </w:rPr>
        <w:t xml:space="preserve">CRP level </w:t>
      </w:r>
      <w:r w:rsidRPr="00A33CBE">
        <w:rPr>
          <w:rFonts w:ascii="Arial" w:hAnsi="Arial" w:cs="Arial"/>
          <w:sz w:val="22"/>
          <w:szCs w:val="22"/>
        </w:rPr>
        <w:t xml:space="preserve">was </w:t>
      </w:r>
      <w:r w:rsidR="00DD3E04">
        <w:rPr>
          <w:rFonts w:ascii="Arial" w:hAnsi="Arial" w:cs="Arial"/>
          <w:sz w:val="22"/>
          <w:szCs w:val="22"/>
        </w:rPr>
        <w:t>3.42 m/</w:t>
      </w:r>
      <w:r w:rsidRPr="00A33CBE">
        <w:rPr>
          <w:rFonts w:ascii="Arial" w:hAnsi="Arial" w:cs="Arial"/>
          <w:sz w:val="22"/>
          <w:szCs w:val="22"/>
        </w:rPr>
        <w:t xml:space="preserve">L among the </w:t>
      </w:r>
      <w:r w:rsidR="00DD3E04">
        <w:rPr>
          <w:rFonts w:ascii="Arial" w:hAnsi="Arial" w:cs="Arial"/>
          <w:sz w:val="22"/>
          <w:szCs w:val="22"/>
        </w:rPr>
        <w:t>4449 participants who survived at least 4</w:t>
      </w:r>
      <w:r w:rsidRPr="00A33CBE">
        <w:rPr>
          <w:rFonts w:ascii="Arial" w:hAnsi="Arial" w:cs="Arial"/>
          <w:sz w:val="22"/>
          <w:szCs w:val="22"/>
        </w:rPr>
        <w:t xml:space="preserve"> years</w:t>
      </w:r>
      <w:r>
        <w:rPr>
          <w:rFonts w:ascii="Arial" w:hAnsi="Arial" w:cs="Arial"/>
          <w:sz w:val="22"/>
          <w:szCs w:val="22"/>
        </w:rPr>
        <w:t xml:space="preserve"> </w:t>
      </w:r>
      <w:r w:rsidRPr="00A33CBE">
        <w:rPr>
          <w:rFonts w:ascii="Arial" w:hAnsi="Arial" w:cs="Arial"/>
          <w:sz w:val="22"/>
          <w:szCs w:val="22"/>
        </w:rPr>
        <w:t xml:space="preserve">after study enrollment and </w:t>
      </w:r>
      <w:r w:rsidR="00DD3E04">
        <w:rPr>
          <w:rFonts w:ascii="Arial" w:hAnsi="Arial" w:cs="Arial"/>
          <w:sz w:val="22"/>
          <w:szCs w:val="22"/>
        </w:rPr>
        <w:t>5.38 mg/</w:t>
      </w:r>
      <w:r w:rsidRPr="00A33CBE">
        <w:rPr>
          <w:rFonts w:ascii="Arial" w:hAnsi="Arial" w:cs="Arial"/>
          <w:sz w:val="22"/>
          <w:szCs w:val="22"/>
        </w:rPr>
        <w:t xml:space="preserve">L among the </w:t>
      </w:r>
      <w:r w:rsidR="00DD3E04">
        <w:rPr>
          <w:rFonts w:ascii="Arial" w:hAnsi="Arial" w:cs="Arial"/>
          <w:sz w:val="22"/>
          <w:szCs w:val="22"/>
        </w:rPr>
        <w:t xml:space="preserve">484 </w:t>
      </w:r>
      <w:r w:rsidR="00F475B8">
        <w:rPr>
          <w:rFonts w:ascii="Arial" w:hAnsi="Arial" w:cs="Arial"/>
          <w:sz w:val="22"/>
          <w:szCs w:val="22"/>
        </w:rPr>
        <w:t>participants</w:t>
      </w:r>
      <w:r w:rsidR="00DD3E04">
        <w:rPr>
          <w:rFonts w:ascii="Arial" w:hAnsi="Arial" w:cs="Arial"/>
          <w:sz w:val="22"/>
          <w:szCs w:val="22"/>
        </w:rPr>
        <w:t xml:space="preserve"> who died within 4</w:t>
      </w:r>
      <w:r w:rsidRPr="00A33CBE">
        <w:rPr>
          <w:rFonts w:ascii="Arial" w:hAnsi="Arial" w:cs="Arial"/>
          <w:sz w:val="22"/>
          <w:szCs w:val="22"/>
        </w:rPr>
        <w:t xml:space="preserve"> years. Based on a</w:t>
      </w:r>
      <w:r>
        <w:rPr>
          <w:rFonts w:ascii="Arial" w:hAnsi="Arial" w:cs="Arial"/>
          <w:sz w:val="22"/>
          <w:szCs w:val="22"/>
        </w:rPr>
        <w:t xml:space="preserve"> </w:t>
      </w:r>
      <w:r w:rsidRPr="00A33CBE">
        <w:rPr>
          <w:rFonts w:ascii="Arial" w:hAnsi="Arial" w:cs="Arial"/>
          <w:sz w:val="22"/>
          <w:szCs w:val="22"/>
        </w:rPr>
        <w:t xml:space="preserve">95% confidence interval, </w:t>
      </w:r>
      <w:r w:rsidR="00F475B8">
        <w:rPr>
          <w:rFonts w:ascii="Arial" w:hAnsi="Arial" w:cs="Arial"/>
          <w:sz w:val="22"/>
          <w:szCs w:val="22"/>
        </w:rPr>
        <w:t>the finding of a 1.95 mg/</w:t>
      </w:r>
      <w:r w:rsidRPr="00A33CBE">
        <w:rPr>
          <w:rFonts w:ascii="Arial" w:hAnsi="Arial" w:cs="Arial"/>
          <w:sz w:val="22"/>
          <w:szCs w:val="22"/>
        </w:rPr>
        <w:t xml:space="preserve">L lower mean </w:t>
      </w:r>
      <w:r w:rsidR="00F475B8">
        <w:rPr>
          <w:rFonts w:ascii="Arial" w:hAnsi="Arial" w:cs="Arial"/>
          <w:sz w:val="22"/>
          <w:szCs w:val="22"/>
        </w:rPr>
        <w:t>CRP level</w:t>
      </w:r>
      <w:r w:rsidRPr="00A33CBE">
        <w:rPr>
          <w:rFonts w:ascii="Arial" w:hAnsi="Arial" w:cs="Arial"/>
          <w:sz w:val="22"/>
          <w:szCs w:val="22"/>
        </w:rPr>
        <w:t xml:space="preserve"> among </w:t>
      </w:r>
      <w:r w:rsidR="00F475B8">
        <w:rPr>
          <w:rFonts w:ascii="Arial" w:hAnsi="Arial" w:cs="Arial"/>
          <w:sz w:val="22"/>
          <w:szCs w:val="22"/>
        </w:rPr>
        <w:t>participants</w:t>
      </w:r>
      <w:r w:rsidRPr="00A33CBE">
        <w:rPr>
          <w:rFonts w:ascii="Arial" w:hAnsi="Arial" w:cs="Arial"/>
          <w:sz w:val="22"/>
          <w:szCs w:val="22"/>
        </w:rPr>
        <w:t xml:space="preserve"> dying earlier would not be unusual if</w:t>
      </w:r>
      <w:r>
        <w:rPr>
          <w:rFonts w:ascii="Arial" w:hAnsi="Arial" w:cs="Arial"/>
          <w:sz w:val="22"/>
          <w:szCs w:val="22"/>
        </w:rPr>
        <w:t xml:space="preserve"> </w:t>
      </w:r>
      <w:r w:rsidRPr="00A33CBE">
        <w:rPr>
          <w:rFonts w:ascii="Arial" w:hAnsi="Arial" w:cs="Arial"/>
          <w:sz w:val="22"/>
          <w:szCs w:val="22"/>
        </w:rPr>
        <w:t>the true difference</w:t>
      </w:r>
      <w:r w:rsidR="00F475B8">
        <w:rPr>
          <w:rFonts w:ascii="Arial" w:hAnsi="Arial" w:cs="Arial"/>
          <w:sz w:val="22"/>
          <w:szCs w:val="22"/>
        </w:rPr>
        <w:t xml:space="preserve"> in population means was</w:t>
      </w:r>
      <w:r w:rsidRPr="00A33CBE">
        <w:rPr>
          <w:rFonts w:ascii="Arial" w:hAnsi="Arial" w:cs="Arial"/>
          <w:sz w:val="22"/>
          <w:szCs w:val="22"/>
        </w:rPr>
        <w:t xml:space="preserve"> anywhere between a </w:t>
      </w:r>
      <w:r w:rsidR="00F475B8">
        <w:rPr>
          <w:rFonts w:ascii="Arial" w:hAnsi="Arial" w:cs="Arial"/>
          <w:sz w:val="22"/>
          <w:szCs w:val="22"/>
        </w:rPr>
        <w:t>1.21 mg/</w:t>
      </w:r>
      <w:r w:rsidRPr="00A33CBE">
        <w:rPr>
          <w:rFonts w:ascii="Arial" w:hAnsi="Arial" w:cs="Arial"/>
          <w:sz w:val="22"/>
          <w:szCs w:val="22"/>
        </w:rPr>
        <w:t xml:space="preserve">L to </w:t>
      </w:r>
      <w:r w:rsidR="00F475B8">
        <w:rPr>
          <w:rFonts w:ascii="Arial" w:hAnsi="Arial" w:cs="Arial"/>
          <w:sz w:val="22"/>
          <w:szCs w:val="22"/>
        </w:rPr>
        <w:t>2.70 mg/</w:t>
      </w:r>
      <w:r w:rsidRPr="00A33CBE">
        <w:rPr>
          <w:rFonts w:ascii="Arial" w:hAnsi="Arial" w:cs="Arial"/>
          <w:sz w:val="22"/>
          <w:szCs w:val="22"/>
        </w:rPr>
        <w:t>L lower</w:t>
      </w:r>
      <w:r>
        <w:rPr>
          <w:rFonts w:ascii="Arial" w:hAnsi="Arial" w:cs="Arial"/>
          <w:sz w:val="22"/>
          <w:szCs w:val="22"/>
        </w:rPr>
        <w:t xml:space="preserve"> </w:t>
      </w:r>
      <w:r w:rsidRPr="00A33CBE">
        <w:rPr>
          <w:rFonts w:ascii="Arial" w:hAnsi="Arial" w:cs="Arial"/>
          <w:sz w:val="22"/>
          <w:szCs w:val="22"/>
        </w:rPr>
        <w:t xml:space="preserve">mean </w:t>
      </w:r>
      <w:r w:rsidR="00F475B8">
        <w:rPr>
          <w:rFonts w:ascii="Arial" w:hAnsi="Arial" w:cs="Arial"/>
          <w:sz w:val="22"/>
          <w:szCs w:val="22"/>
        </w:rPr>
        <w:t>CRP level among participants who die within 4</w:t>
      </w:r>
      <w:r w:rsidRPr="00A33CBE">
        <w:rPr>
          <w:rFonts w:ascii="Arial" w:hAnsi="Arial" w:cs="Arial"/>
          <w:sz w:val="22"/>
          <w:szCs w:val="22"/>
        </w:rPr>
        <w:t xml:space="preserve"> years. </w:t>
      </w:r>
      <w:r w:rsidR="00F475B8">
        <w:rPr>
          <w:rFonts w:ascii="Arial" w:hAnsi="Arial" w:cs="Arial"/>
          <w:sz w:val="22"/>
          <w:szCs w:val="22"/>
        </w:rPr>
        <w:t>Based on the results of the t test,</w:t>
      </w:r>
      <w:r w:rsidRPr="00A33CBE">
        <w:rPr>
          <w:rFonts w:ascii="Arial" w:hAnsi="Arial" w:cs="Arial"/>
          <w:sz w:val="22"/>
          <w:szCs w:val="22"/>
        </w:rPr>
        <w:t xml:space="preserve"> this </w:t>
      </w:r>
      <w:r w:rsidR="00F475B8">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w:t>
      </w:r>
      <w:r w:rsidR="00F475B8">
        <w:rPr>
          <w:rFonts w:ascii="Arial" w:hAnsi="Arial" w:cs="Arial"/>
          <w:sz w:val="22"/>
          <w:szCs w:val="22"/>
        </w:rPr>
        <w:t xml:space="preserve">significance (two-sided p&lt;0.00001). Therefore,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sidR="00F475B8">
        <w:rPr>
          <w:rFonts w:ascii="Arial" w:hAnsi="Arial" w:cs="Arial"/>
          <w:sz w:val="22"/>
          <w:szCs w:val="22"/>
        </w:rPr>
        <w:t xml:space="preserve">CRP </w:t>
      </w:r>
      <w:r w:rsidRPr="00A33CBE">
        <w:rPr>
          <w:rFonts w:ascii="Arial" w:hAnsi="Arial" w:cs="Arial"/>
          <w:sz w:val="22"/>
          <w:szCs w:val="22"/>
        </w:rPr>
        <w:t xml:space="preserve">levels are not different by </w:t>
      </w:r>
      <w:r w:rsidR="00F475B8">
        <w:rPr>
          <w:rFonts w:ascii="Arial" w:hAnsi="Arial" w:cs="Arial"/>
          <w:sz w:val="22"/>
          <w:szCs w:val="22"/>
        </w:rPr>
        <w:t xml:space="preserve">mortality outcome </w:t>
      </w:r>
      <w:r w:rsidRPr="00A33CBE">
        <w:rPr>
          <w:rFonts w:ascii="Arial" w:hAnsi="Arial" w:cs="Arial"/>
          <w:sz w:val="22"/>
          <w:szCs w:val="22"/>
        </w:rPr>
        <w:t xml:space="preserve">at </w:t>
      </w:r>
      <w:r w:rsidR="00F475B8">
        <w:rPr>
          <w:rFonts w:ascii="Arial" w:hAnsi="Arial" w:cs="Arial"/>
          <w:sz w:val="22"/>
          <w:szCs w:val="22"/>
        </w:rPr>
        <w:t>4</w:t>
      </w:r>
      <w:r w:rsidRPr="00A33CBE">
        <w:rPr>
          <w:rFonts w:ascii="Arial" w:hAnsi="Arial" w:cs="Arial"/>
          <w:sz w:val="22"/>
          <w:szCs w:val="22"/>
        </w:rPr>
        <w:t xml:space="preserve"> years </w:t>
      </w:r>
      <w:r w:rsidR="00F475B8">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w:t>
      </w:r>
      <w:r w:rsidRPr="00A33CBE">
        <w:rPr>
          <w:rFonts w:ascii="Arial" w:hAnsi="Arial" w:cs="Arial"/>
          <w:sz w:val="22"/>
          <w:szCs w:val="22"/>
        </w:rPr>
        <w:t xml:space="preserve">death within </w:t>
      </w:r>
      <w:r w:rsidR="00F475B8">
        <w:rPr>
          <w:rFonts w:ascii="Arial" w:hAnsi="Arial" w:cs="Arial"/>
          <w:sz w:val="22"/>
          <w:szCs w:val="22"/>
        </w:rPr>
        <w:t>4</w:t>
      </w:r>
      <w:r w:rsidRPr="00A33CBE">
        <w:rPr>
          <w:rFonts w:ascii="Arial" w:hAnsi="Arial" w:cs="Arial"/>
          <w:sz w:val="22"/>
          <w:szCs w:val="22"/>
        </w:rPr>
        <w:t xml:space="preserve"> years is associated with </w:t>
      </w:r>
      <w:r w:rsidR="00F475B8">
        <w:rPr>
          <w:rFonts w:ascii="Arial" w:hAnsi="Arial" w:cs="Arial"/>
          <w:sz w:val="22"/>
          <w:szCs w:val="22"/>
        </w:rPr>
        <w:t>higher mean CRP levels</w:t>
      </w:r>
      <w:r w:rsidRPr="00A33CBE">
        <w:rPr>
          <w:rFonts w:ascii="Arial" w:hAnsi="Arial" w:cs="Arial"/>
          <w:sz w:val="22"/>
          <w:szCs w:val="22"/>
        </w:rPr>
        <w:t>.</w:t>
      </w:r>
    </w:p>
    <w:p w:rsidR="00AA30E7" w:rsidRPr="00A33CBE" w:rsidRDefault="00AA30E7" w:rsidP="00A33CBE">
      <w:pPr>
        <w:autoSpaceDE w:val="0"/>
        <w:autoSpaceDN w:val="0"/>
        <w:adjustRightInd w:val="0"/>
        <w:spacing w:after="120"/>
        <w:ind w:left="720"/>
        <w:rPr>
          <w:rFonts w:ascii="Arial" w:hAnsi="Arial" w:cs="Arial"/>
          <w:sz w:val="22"/>
          <w:szCs w:val="22"/>
        </w:rPr>
      </w:pP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rsidR="00AA30E7" w:rsidRPr="00AA30E7" w:rsidRDefault="00AA30E7" w:rsidP="00AA30E7">
      <w:pPr>
        <w:autoSpaceDE w:val="0"/>
        <w:autoSpaceDN w:val="0"/>
        <w:adjustRightInd w:val="0"/>
        <w:spacing w:after="120"/>
        <w:ind w:left="720"/>
        <w:rPr>
          <w:rFonts w:ascii="Arial" w:hAnsi="Arial" w:cs="Arial"/>
          <w:sz w:val="22"/>
          <w:szCs w:val="22"/>
        </w:rPr>
      </w:pPr>
      <w:bookmarkStart w:id="0" w:name="_GoBack"/>
      <w:bookmarkEnd w:id="0"/>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rsidR="00034371" w:rsidRPr="00034371" w:rsidRDefault="00034371" w:rsidP="001030F9">
      <w:pPr>
        <w:autoSpaceDE w:val="0"/>
        <w:autoSpaceDN w:val="0"/>
        <w:adjustRightInd w:val="0"/>
        <w:spacing w:after="120"/>
        <w:ind w:left="720"/>
        <w:rPr>
          <w:rFonts w:ascii="Arial" w:hAnsi="Arial" w:cs="Arial"/>
          <w:sz w:val="22"/>
          <w:szCs w:val="22"/>
        </w:rPr>
      </w:pPr>
      <w:r w:rsidRPr="00034371">
        <w:rPr>
          <w:rFonts w:ascii="Arial" w:hAnsi="Arial" w:cs="Arial"/>
          <w:b/>
          <w:sz w:val="22"/>
          <w:szCs w:val="22"/>
        </w:rPr>
        <w:t>Methods</w:t>
      </w:r>
      <w:r w:rsidRPr="00034371">
        <w:rPr>
          <w:rFonts w:ascii="Arial" w:hAnsi="Arial" w:cs="Arial"/>
          <w:sz w:val="22"/>
          <w:szCs w:val="22"/>
        </w:rPr>
        <w:t xml:space="preserve">: The proportion of subjects dying within </w:t>
      </w:r>
      <w:r>
        <w:rPr>
          <w:rFonts w:ascii="Arial" w:hAnsi="Arial" w:cs="Arial"/>
          <w:sz w:val="22"/>
          <w:szCs w:val="22"/>
        </w:rPr>
        <w:t>4</w:t>
      </w:r>
      <w:r w:rsidRPr="00034371">
        <w:rPr>
          <w:rFonts w:ascii="Arial" w:hAnsi="Arial" w:cs="Arial"/>
          <w:sz w:val="22"/>
          <w:szCs w:val="22"/>
        </w:rPr>
        <w:t xml:space="preserve"> years of study enrollment were compared</w:t>
      </w:r>
      <w:r>
        <w:rPr>
          <w:rFonts w:ascii="Arial" w:hAnsi="Arial" w:cs="Arial"/>
          <w:sz w:val="22"/>
          <w:szCs w:val="22"/>
        </w:rPr>
        <w:t xml:space="preserve"> </w:t>
      </w:r>
      <w:r w:rsidRPr="00034371">
        <w:rPr>
          <w:rFonts w:ascii="Arial" w:hAnsi="Arial" w:cs="Arial"/>
          <w:sz w:val="22"/>
          <w:szCs w:val="22"/>
        </w:rPr>
        <w:t xml:space="preserve">between </w:t>
      </w:r>
      <w:r>
        <w:rPr>
          <w:rFonts w:ascii="Arial" w:hAnsi="Arial" w:cs="Arial"/>
          <w:sz w:val="22"/>
          <w:szCs w:val="22"/>
        </w:rPr>
        <w:t>participants</w:t>
      </w:r>
      <w:r w:rsidRPr="00034371">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034371">
        <w:rPr>
          <w:rFonts w:ascii="Arial" w:hAnsi="Arial" w:cs="Arial"/>
          <w:sz w:val="22"/>
          <w:szCs w:val="22"/>
        </w:rPr>
        <w:t>. Differences in the probabilit</w:t>
      </w:r>
      <w:r>
        <w:rPr>
          <w:rFonts w:ascii="Arial" w:hAnsi="Arial" w:cs="Arial"/>
          <w:sz w:val="22"/>
          <w:szCs w:val="22"/>
        </w:rPr>
        <w:t xml:space="preserve">y of death within 4 </w:t>
      </w:r>
      <w:r w:rsidRPr="00034371">
        <w:rPr>
          <w:rFonts w:ascii="Arial" w:hAnsi="Arial" w:cs="Arial"/>
          <w:sz w:val="22"/>
          <w:szCs w:val="22"/>
        </w:rPr>
        <w:t xml:space="preserve">years were tested using Pearson’s chi squared test for independence. </w:t>
      </w:r>
      <w:r w:rsidR="001030F9" w:rsidRPr="001030F9">
        <w:rPr>
          <w:rFonts w:ascii="Arial" w:hAnsi="Arial" w:cs="Arial"/>
          <w:sz w:val="22"/>
          <w:szCs w:val="22"/>
        </w:rPr>
        <w:t>95% confidence intervals for</w:t>
      </w:r>
      <w:r w:rsidR="001030F9">
        <w:rPr>
          <w:rFonts w:ascii="Arial" w:hAnsi="Arial" w:cs="Arial"/>
          <w:sz w:val="22"/>
          <w:szCs w:val="22"/>
        </w:rPr>
        <w:t xml:space="preserve"> 4</w:t>
      </w:r>
      <w:r w:rsidR="001030F9" w:rsidRPr="001030F9">
        <w:rPr>
          <w:rFonts w:ascii="Arial" w:hAnsi="Arial" w:cs="Arial"/>
          <w:sz w:val="22"/>
          <w:szCs w:val="22"/>
        </w:rPr>
        <w:t xml:space="preserve"> year mortality probabilities were computed using Wald statistics.</w:t>
      </w:r>
    </w:p>
    <w:p w:rsidR="00034371" w:rsidRPr="00034371" w:rsidRDefault="00034371" w:rsidP="000B416F">
      <w:pPr>
        <w:autoSpaceDE w:val="0"/>
        <w:autoSpaceDN w:val="0"/>
        <w:adjustRightInd w:val="0"/>
        <w:spacing w:after="120"/>
        <w:ind w:left="720"/>
        <w:rPr>
          <w:rFonts w:ascii="Arial" w:hAnsi="Arial" w:cs="Arial"/>
          <w:sz w:val="22"/>
          <w:szCs w:val="22"/>
        </w:rPr>
      </w:pPr>
      <w:r w:rsidRPr="00034371">
        <w:rPr>
          <w:rFonts w:ascii="Arial" w:hAnsi="Arial" w:cs="Arial"/>
          <w:b/>
          <w:sz w:val="22"/>
          <w:szCs w:val="22"/>
        </w:rPr>
        <w:t>Results</w:t>
      </w:r>
      <w:r>
        <w:rPr>
          <w:rFonts w:ascii="Arial" w:hAnsi="Arial" w:cs="Arial"/>
          <w:sz w:val="22"/>
          <w:szCs w:val="22"/>
        </w:rPr>
        <w:t>: Of the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000B416F">
        <w:rPr>
          <w:rFonts w:ascii="Arial" w:hAnsi="Arial" w:cs="Arial"/>
          <w:sz w:val="22"/>
          <w:szCs w:val="22"/>
        </w:rPr>
        <w:t>8.0</w:t>
      </w:r>
      <w:r w:rsidRPr="00034371">
        <w:rPr>
          <w:rFonts w:ascii="Arial" w:hAnsi="Arial" w:cs="Arial"/>
          <w:sz w:val="22"/>
          <w:szCs w:val="22"/>
        </w:rPr>
        <w:t>% were</w:t>
      </w:r>
      <w:r>
        <w:rPr>
          <w:rFonts w:ascii="Arial" w:hAnsi="Arial" w:cs="Arial"/>
          <w:sz w:val="22"/>
          <w:szCs w:val="22"/>
        </w:rPr>
        <w:t xml:space="preserve"> observed to die within 4 years. Among the 1242 participants with a CRP level greater than 3 mg/L, </w:t>
      </w:r>
      <w:r w:rsidR="000B416F">
        <w:rPr>
          <w:rFonts w:ascii="Arial" w:hAnsi="Arial" w:cs="Arial"/>
          <w:sz w:val="22"/>
          <w:szCs w:val="22"/>
        </w:rPr>
        <w:t>15.6</w:t>
      </w:r>
      <w:r w:rsidRPr="00034371">
        <w:rPr>
          <w:rFonts w:ascii="Arial" w:hAnsi="Arial" w:cs="Arial"/>
          <w:sz w:val="22"/>
          <w:szCs w:val="22"/>
        </w:rPr>
        <w:t xml:space="preserve">% </w:t>
      </w:r>
      <w:r>
        <w:rPr>
          <w:rFonts w:ascii="Arial" w:hAnsi="Arial" w:cs="Arial"/>
          <w:sz w:val="22"/>
          <w:szCs w:val="22"/>
        </w:rPr>
        <w:t>died within 4</w:t>
      </w:r>
      <w:r w:rsidR="000B416F">
        <w:rPr>
          <w:rFonts w:ascii="Arial" w:hAnsi="Arial" w:cs="Arial"/>
          <w:sz w:val="22"/>
          <w:szCs w:val="22"/>
        </w:rPr>
        <w:t xml:space="preserve"> years of study enrollment. </w:t>
      </w:r>
      <w:r w:rsidR="000B416F" w:rsidRPr="000B416F">
        <w:rPr>
          <w:rFonts w:ascii="Arial" w:hAnsi="Arial" w:cs="Arial"/>
          <w:sz w:val="22"/>
          <w:szCs w:val="22"/>
        </w:rPr>
        <w:t>Based on</w:t>
      </w:r>
      <w:r w:rsidR="000B416F">
        <w:rPr>
          <w:rFonts w:ascii="Arial" w:hAnsi="Arial" w:cs="Arial"/>
          <w:sz w:val="22"/>
          <w:szCs w:val="22"/>
        </w:rPr>
        <w:t xml:space="preserve"> a 95% confidence interval, this 7.6</w:t>
      </w:r>
      <w:r w:rsidR="000B416F" w:rsidRPr="000B416F">
        <w:rPr>
          <w:rFonts w:ascii="Arial" w:hAnsi="Arial" w:cs="Arial"/>
          <w:sz w:val="22"/>
          <w:szCs w:val="22"/>
        </w:rPr>
        <w:t xml:space="preserve">% lower survival probability in subjects with higher </w:t>
      </w:r>
      <w:r w:rsidR="000B416F">
        <w:rPr>
          <w:rFonts w:ascii="Arial" w:hAnsi="Arial" w:cs="Arial"/>
          <w:sz w:val="22"/>
          <w:szCs w:val="22"/>
        </w:rPr>
        <w:t>CRP level</w:t>
      </w:r>
      <w:r w:rsidR="000B416F" w:rsidRPr="000B416F">
        <w:rPr>
          <w:rFonts w:ascii="Arial" w:hAnsi="Arial" w:cs="Arial"/>
          <w:sz w:val="22"/>
          <w:szCs w:val="22"/>
        </w:rPr>
        <w:t xml:space="preserve"> would not be unusual if the true difference in survival probabilities were anywhere between a </w:t>
      </w:r>
      <w:r w:rsidR="000B416F">
        <w:rPr>
          <w:rFonts w:ascii="Arial" w:hAnsi="Arial" w:cs="Arial"/>
          <w:sz w:val="22"/>
          <w:szCs w:val="22"/>
        </w:rPr>
        <w:t>5.4</w:t>
      </w:r>
      <w:r w:rsidR="000B416F" w:rsidRPr="000B416F">
        <w:rPr>
          <w:rFonts w:ascii="Arial" w:hAnsi="Arial" w:cs="Arial"/>
          <w:sz w:val="22"/>
          <w:szCs w:val="22"/>
        </w:rPr>
        <w:t xml:space="preserve">% </w:t>
      </w:r>
      <w:r w:rsidR="000B416F">
        <w:rPr>
          <w:rFonts w:ascii="Arial" w:hAnsi="Arial" w:cs="Arial"/>
          <w:sz w:val="22"/>
          <w:szCs w:val="22"/>
        </w:rPr>
        <w:t xml:space="preserve">to a 9.8% </w:t>
      </w:r>
      <w:r w:rsidR="000B416F" w:rsidRPr="000B416F">
        <w:rPr>
          <w:rFonts w:ascii="Arial" w:hAnsi="Arial" w:cs="Arial"/>
          <w:sz w:val="22"/>
          <w:szCs w:val="22"/>
        </w:rPr>
        <w:t>lower</w:t>
      </w:r>
      <w:r w:rsidR="000B416F">
        <w:rPr>
          <w:rFonts w:ascii="Arial" w:hAnsi="Arial" w:cs="Arial"/>
          <w:sz w:val="22"/>
          <w:szCs w:val="22"/>
        </w:rPr>
        <w:t xml:space="preserve"> probability of survival </w:t>
      </w:r>
      <w:r w:rsidR="000B416F" w:rsidRPr="000B416F">
        <w:rPr>
          <w:rFonts w:ascii="Arial" w:hAnsi="Arial" w:cs="Arial"/>
          <w:sz w:val="22"/>
          <w:szCs w:val="22"/>
        </w:rPr>
        <w:t xml:space="preserve">in the high </w:t>
      </w:r>
      <w:r w:rsidR="000B416F">
        <w:rPr>
          <w:rFonts w:ascii="Arial" w:hAnsi="Arial" w:cs="Arial"/>
          <w:sz w:val="22"/>
          <w:szCs w:val="22"/>
        </w:rPr>
        <w:t>CRP level group</w:t>
      </w:r>
      <w:r w:rsidR="000B416F" w:rsidRPr="000B416F">
        <w:rPr>
          <w:rFonts w:ascii="Arial" w:hAnsi="Arial" w:cs="Arial"/>
          <w:sz w:val="22"/>
          <w:szCs w:val="22"/>
        </w:rPr>
        <w:t xml:space="preserve"> compared to the low group. </w:t>
      </w:r>
      <w:r w:rsidRPr="00034371">
        <w:rPr>
          <w:rFonts w:ascii="Arial" w:hAnsi="Arial" w:cs="Arial"/>
          <w:sz w:val="22"/>
          <w:szCs w:val="22"/>
        </w:rPr>
        <w:t xml:space="preserve">Using a chi squared test, this </w:t>
      </w:r>
      <w:r w:rsidR="00A412CE">
        <w:rPr>
          <w:rFonts w:ascii="Arial" w:hAnsi="Arial" w:cs="Arial"/>
          <w:sz w:val="22"/>
          <w:szCs w:val="22"/>
        </w:rPr>
        <w:t>finding</w:t>
      </w:r>
      <w:r w:rsidRPr="00034371">
        <w:rPr>
          <w:rFonts w:ascii="Arial" w:hAnsi="Arial" w:cs="Arial"/>
          <w:sz w:val="22"/>
          <w:szCs w:val="22"/>
        </w:rPr>
        <w:t xml:space="preserve"> </w:t>
      </w:r>
      <w:r w:rsidR="00A412CE">
        <w:rPr>
          <w:rFonts w:ascii="Arial" w:hAnsi="Arial" w:cs="Arial"/>
          <w:sz w:val="22"/>
          <w:szCs w:val="22"/>
        </w:rPr>
        <w:t>was</w:t>
      </w:r>
      <w:r w:rsidRPr="00034371">
        <w:rPr>
          <w:rFonts w:ascii="Arial" w:hAnsi="Arial" w:cs="Arial"/>
          <w:sz w:val="22"/>
          <w:szCs w:val="22"/>
        </w:rPr>
        <w:t xml:space="preserve"> statistically</w:t>
      </w:r>
      <w:r>
        <w:rPr>
          <w:rFonts w:ascii="Arial" w:hAnsi="Arial" w:cs="Arial"/>
          <w:sz w:val="22"/>
          <w:szCs w:val="22"/>
        </w:rPr>
        <w:t xml:space="preserve"> </w:t>
      </w:r>
      <w:r w:rsidRPr="00034371">
        <w:rPr>
          <w:rFonts w:ascii="Arial" w:hAnsi="Arial" w:cs="Arial"/>
          <w:sz w:val="22"/>
          <w:szCs w:val="22"/>
        </w:rPr>
        <w:t>significant at a 0.05 level of significance (</w:t>
      </w:r>
      <w:r>
        <w:rPr>
          <w:rFonts w:ascii="Arial" w:hAnsi="Arial" w:cs="Arial"/>
          <w:sz w:val="22"/>
          <w:szCs w:val="22"/>
        </w:rPr>
        <w:t xml:space="preserve">two-sided </w:t>
      </w:r>
      <w:r w:rsidR="00A412CE">
        <w:rPr>
          <w:rFonts w:ascii="Arial" w:hAnsi="Arial" w:cs="Arial"/>
          <w:sz w:val="22"/>
          <w:szCs w:val="22"/>
        </w:rPr>
        <w:t>p&lt;0.0001). Therefore,</w:t>
      </w:r>
      <w:r>
        <w:rPr>
          <w:rFonts w:ascii="Arial" w:hAnsi="Arial" w:cs="Arial"/>
          <w:sz w:val="22"/>
          <w:szCs w:val="22"/>
        </w:rPr>
        <w:t xml:space="preserve"> we </w:t>
      </w:r>
      <w:r w:rsidR="00A412CE">
        <w:rPr>
          <w:rFonts w:ascii="Arial" w:hAnsi="Arial" w:cs="Arial"/>
          <w:sz w:val="22"/>
          <w:szCs w:val="22"/>
        </w:rPr>
        <w:t>can</w:t>
      </w:r>
      <w:r>
        <w:rPr>
          <w:rFonts w:ascii="Arial" w:hAnsi="Arial" w:cs="Arial"/>
          <w:sz w:val="22"/>
          <w:szCs w:val="22"/>
        </w:rPr>
        <w:t xml:space="preserve"> </w:t>
      </w:r>
      <w:r w:rsidRPr="00034371">
        <w:rPr>
          <w:rFonts w:ascii="Arial" w:hAnsi="Arial" w:cs="Arial"/>
          <w:sz w:val="22"/>
          <w:szCs w:val="22"/>
        </w:rPr>
        <w:t xml:space="preserve">reject the null hypothesis that the survival probabilities are not associated with </w:t>
      </w:r>
      <w:r w:rsidR="00A412CE">
        <w:rPr>
          <w:rFonts w:ascii="Arial" w:hAnsi="Arial" w:cs="Arial"/>
          <w:sz w:val="22"/>
          <w:szCs w:val="22"/>
        </w:rPr>
        <w:t xml:space="preserve">CRP levels </w:t>
      </w:r>
      <w:r w:rsidR="00A412CE">
        <w:rPr>
          <w:rFonts w:ascii="Arial" w:hAnsi="Arial" w:cs="Arial"/>
          <w:sz w:val="22"/>
          <w:szCs w:val="22"/>
        </w:rPr>
        <w:t>and support the alternative</w:t>
      </w:r>
      <w:r w:rsidR="00A412CE" w:rsidRPr="00A33CBE">
        <w:rPr>
          <w:rFonts w:ascii="Arial" w:hAnsi="Arial" w:cs="Arial"/>
          <w:sz w:val="22"/>
          <w:szCs w:val="22"/>
        </w:rPr>
        <w:t xml:space="preserve"> hypothesis that</w:t>
      </w:r>
      <w:r w:rsidR="00A412CE">
        <w:rPr>
          <w:rFonts w:ascii="Arial" w:hAnsi="Arial" w:cs="Arial"/>
          <w:sz w:val="22"/>
          <w:szCs w:val="22"/>
        </w:rPr>
        <w:t xml:space="preserve"> h</w:t>
      </w:r>
      <w:r w:rsidR="00A412CE">
        <w:rPr>
          <w:rFonts w:ascii="Arial" w:hAnsi="Arial" w:cs="Arial"/>
          <w:sz w:val="22"/>
          <w:szCs w:val="22"/>
        </w:rPr>
        <w:t>igh</w:t>
      </w:r>
      <w:r w:rsidR="00A412CE">
        <w:rPr>
          <w:rFonts w:ascii="Arial" w:hAnsi="Arial" w:cs="Arial"/>
          <w:sz w:val="22"/>
          <w:szCs w:val="22"/>
        </w:rPr>
        <w:t xml:space="preserve"> CRP levels</w:t>
      </w:r>
      <w:r w:rsidR="00A412CE">
        <w:rPr>
          <w:rFonts w:ascii="Arial" w:hAnsi="Arial" w:cs="Arial"/>
          <w:sz w:val="22"/>
          <w:szCs w:val="22"/>
        </w:rPr>
        <w:t xml:space="preserve"> are associated with lower probability of survival to 4 years</w:t>
      </w:r>
      <w:r w:rsidR="00A412CE" w:rsidRPr="00A33CBE">
        <w:rPr>
          <w:rFonts w:ascii="Arial" w:hAnsi="Arial" w:cs="Arial"/>
          <w:sz w:val="22"/>
          <w:szCs w:val="22"/>
        </w:rPr>
        <w:t>.</w:t>
      </w:r>
    </w:p>
    <w:p w:rsidR="00034371" w:rsidRPr="009D5804" w:rsidRDefault="00034371" w:rsidP="00034371">
      <w:pPr>
        <w:autoSpaceDE w:val="0"/>
        <w:autoSpaceDN w:val="0"/>
        <w:adjustRightInd w:val="0"/>
        <w:spacing w:after="120"/>
        <w:ind w:left="720"/>
        <w:rPr>
          <w:sz w:val="22"/>
          <w:szCs w:val="22"/>
        </w:rPr>
      </w:pPr>
    </w:p>
    <w:p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rsidR="00222DB7" w:rsidRPr="00222DB7" w:rsidRDefault="00222DB7" w:rsidP="00222DB7">
      <w:pPr>
        <w:autoSpaceDE w:val="0"/>
        <w:autoSpaceDN w:val="0"/>
        <w:adjustRightInd w:val="0"/>
        <w:spacing w:after="120"/>
        <w:ind w:left="720"/>
        <w:rPr>
          <w:rFonts w:ascii="Arial" w:hAnsi="Arial" w:cs="Arial"/>
          <w:sz w:val="22"/>
          <w:szCs w:val="22"/>
        </w:rPr>
      </w:pPr>
      <w:r w:rsidRPr="00222DB7">
        <w:rPr>
          <w:rFonts w:ascii="Arial" w:hAnsi="Arial" w:cs="Arial"/>
          <w:b/>
          <w:sz w:val="22"/>
          <w:szCs w:val="22"/>
        </w:rPr>
        <w:t>Methods:</w:t>
      </w:r>
      <w:r w:rsidRPr="00222DB7">
        <w:rPr>
          <w:rFonts w:ascii="Arial" w:hAnsi="Arial" w:cs="Arial"/>
          <w:sz w:val="22"/>
          <w:szCs w:val="22"/>
        </w:rPr>
        <w:t xml:space="preserve"> The odds of </w:t>
      </w:r>
      <w:r>
        <w:rPr>
          <w:rFonts w:ascii="Arial" w:hAnsi="Arial" w:cs="Arial"/>
          <w:sz w:val="22"/>
          <w:szCs w:val="22"/>
        </w:rPr>
        <w:t>participants</w:t>
      </w:r>
      <w:r w:rsidRPr="00222DB7">
        <w:rPr>
          <w:rFonts w:ascii="Arial" w:hAnsi="Arial" w:cs="Arial"/>
          <w:sz w:val="22"/>
          <w:szCs w:val="22"/>
        </w:rPr>
        <w:t xml:space="preserve"> dying within </w:t>
      </w:r>
      <w:r>
        <w:rPr>
          <w:rFonts w:ascii="Arial" w:hAnsi="Arial" w:cs="Arial"/>
          <w:sz w:val="22"/>
          <w:szCs w:val="22"/>
        </w:rPr>
        <w:t>4</w:t>
      </w:r>
      <w:r w:rsidRPr="00222DB7">
        <w:rPr>
          <w:rFonts w:ascii="Arial" w:hAnsi="Arial" w:cs="Arial"/>
          <w:sz w:val="22"/>
          <w:szCs w:val="22"/>
        </w:rPr>
        <w:t xml:space="preserve"> years of study enrollment were compared between</w:t>
      </w:r>
      <w:r>
        <w:rPr>
          <w:rFonts w:ascii="Arial" w:hAnsi="Arial" w:cs="Arial"/>
          <w:sz w:val="22"/>
          <w:szCs w:val="22"/>
        </w:rPr>
        <w:t xml:space="preserve"> participants</w:t>
      </w:r>
      <w:r w:rsidRPr="00222DB7">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222DB7">
        <w:rPr>
          <w:rFonts w:ascii="Arial" w:hAnsi="Arial" w:cs="Arial"/>
          <w:sz w:val="22"/>
          <w:szCs w:val="22"/>
        </w:rPr>
        <w:t>. An odds ratio different from 1 was tested using Fisher’s</w:t>
      </w:r>
      <w:r>
        <w:rPr>
          <w:rFonts w:ascii="Arial" w:hAnsi="Arial" w:cs="Arial"/>
          <w:sz w:val="22"/>
          <w:szCs w:val="22"/>
        </w:rPr>
        <w:t xml:space="preserve"> </w:t>
      </w:r>
      <w:r w:rsidRPr="00222DB7">
        <w:rPr>
          <w:rFonts w:ascii="Arial" w:hAnsi="Arial" w:cs="Arial"/>
          <w:sz w:val="22"/>
          <w:szCs w:val="22"/>
        </w:rPr>
        <w:t>exact test. 95% confidence intervals for the odds ratio was also computed using exact methods.</w:t>
      </w:r>
    </w:p>
    <w:p w:rsidR="00034371" w:rsidRDefault="00222DB7" w:rsidP="003E0FA8">
      <w:pPr>
        <w:autoSpaceDE w:val="0"/>
        <w:autoSpaceDN w:val="0"/>
        <w:adjustRightInd w:val="0"/>
        <w:spacing w:after="120"/>
        <w:ind w:left="720"/>
        <w:rPr>
          <w:rFonts w:ascii="Arial" w:hAnsi="Arial" w:cs="Arial"/>
          <w:sz w:val="22"/>
          <w:szCs w:val="22"/>
        </w:rPr>
      </w:pPr>
      <w:r w:rsidRPr="00222DB7">
        <w:rPr>
          <w:rFonts w:ascii="Arial" w:hAnsi="Arial" w:cs="Arial"/>
          <w:b/>
          <w:sz w:val="22"/>
          <w:szCs w:val="22"/>
        </w:rPr>
        <w:t>Results</w:t>
      </w:r>
      <w:r w:rsidRPr="00222DB7">
        <w:rPr>
          <w:rFonts w:ascii="Arial" w:hAnsi="Arial" w:cs="Arial"/>
          <w:sz w:val="22"/>
          <w:szCs w:val="22"/>
        </w:rPr>
        <w:t xml:space="preserve">: </w:t>
      </w:r>
      <w:r>
        <w:rPr>
          <w:rFonts w:ascii="Arial" w:hAnsi="Arial" w:cs="Arial"/>
          <w:sz w:val="22"/>
          <w:szCs w:val="22"/>
        </w:rPr>
        <w:t>Compared to the</w:t>
      </w:r>
      <w:r>
        <w:rPr>
          <w:rFonts w:ascii="Arial" w:hAnsi="Arial" w:cs="Arial"/>
          <w:sz w:val="22"/>
          <w:szCs w:val="22"/>
        </w:rPr>
        <w:t xml:space="preserv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Pr="00222DB7">
        <w:rPr>
          <w:rFonts w:ascii="Arial" w:hAnsi="Arial" w:cs="Arial"/>
          <w:sz w:val="22"/>
          <w:szCs w:val="22"/>
        </w:rPr>
        <w:t>the odds of</w:t>
      </w:r>
      <w:r>
        <w:rPr>
          <w:rFonts w:ascii="Arial" w:hAnsi="Arial" w:cs="Arial"/>
          <w:sz w:val="22"/>
          <w:szCs w:val="22"/>
        </w:rPr>
        <w:t xml:space="preserve"> dying within 4</w:t>
      </w:r>
      <w:r w:rsidRPr="00222DB7">
        <w:rPr>
          <w:rFonts w:ascii="Arial" w:hAnsi="Arial" w:cs="Arial"/>
          <w:sz w:val="22"/>
          <w:szCs w:val="22"/>
        </w:rPr>
        <w:t xml:space="preserve"> years from study enrollment was </w:t>
      </w:r>
      <w:r>
        <w:rPr>
          <w:rFonts w:ascii="Arial" w:hAnsi="Arial" w:cs="Arial"/>
          <w:sz w:val="22"/>
          <w:szCs w:val="22"/>
        </w:rPr>
        <w:t xml:space="preserve">higher </w:t>
      </w:r>
      <w:r w:rsidR="003E0FA8">
        <w:rPr>
          <w:rFonts w:ascii="Arial" w:hAnsi="Arial" w:cs="Arial"/>
          <w:sz w:val="22"/>
          <w:szCs w:val="22"/>
        </w:rPr>
        <w:t>a</w:t>
      </w:r>
      <w:r w:rsidR="003E0FA8">
        <w:rPr>
          <w:rFonts w:ascii="Arial" w:hAnsi="Arial" w:cs="Arial"/>
          <w:sz w:val="22"/>
          <w:szCs w:val="22"/>
        </w:rPr>
        <w:t>mong the 1242 participants with a CRP level greater than 3 mg/L</w:t>
      </w:r>
      <w:r w:rsidR="003E0FA8">
        <w:rPr>
          <w:rFonts w:ascii="Arial" w:hAnsi="Arial" w:cs="Arial"/>
          <w:sz w:val="22"/>
          <w:szCs w:val="22"/>
        </w:rPr>
        <w:t xml:space="preserve"> with an odds ratio of 2.13</w:t>
      </w:r>
      <w:r w:rsidRPr="00222DB7">
        <w:rPr>
          <w:rFonts w:ascii="Arial" w:hAnsi="Arial" w:cs="Arial"/>
          <w:sz w:val="22"/>
          <w:szCs w:val="22"/>
        </w:rPr>
        <w:t>. Based on a 95%</w:t>
      </w:r>
      <w:r>
        <w:rPr>
          <w:rFonts w:ascii="Arial" w:hAnsi="Arial" w:cs="Arial"/>
          <w:sz w:val="22"/>
          <w:szCs w:val="22"/>
        </w:rPr>
        <w:t xml:space="preserve"> </w:t>
      </w:r>
      <w:r w:rsidRPr="00222DB7">
        <w:rPr>
          <w:rFonts w:ascii="Arial" w:hAnsi="Arial" w:cs="Arial"/>
          <w:sz w:val="22"/>
          <w:szCs w:val="22"/>
        </w:rPr>
        <w:t xml:space="preserve">confidence interval, this observed odds ratio of </w:t>
      </w:r>
      <w:r w:rsidR="003E0FA8">
        <w:rPr>
          <w:rFonts w:ascii="Arial" w:hAnsi="Arial" w:cs="Arial"/>
          <w:sz w:val="22"/>
          <w:szCs w:val="22"/>
        </w:rPr>
        <w:t>2.13</w:t>
      </w:r>
      <w:r w:rsidRPr="00222DB7">
        <w:rPr>
          <w:rFonts w:ascii="Arial" w:hAnsi="Arial" w:cs="Arial"/>
          <w:sz w:val="22"/>
          <w:szCs w:val="22"/>
        </w:rPr>
        <w:t xml:space="preserve"> would not </w:t>
      </w:r>
      <w:r w:rsidR="003E0FA8">
        <w:rPr>
          <w:rFonts w:ascii="Arial" w:hAnsi="Arial" w:cs="Arial"/>
          <w:sz w:val="22"/>
          <w:szCs w:val="22"/>
        </w:rPr>
        <w:t>be</w:t>
      </w:r>
      <w:r w:rsidRPr="00222DB7">
        <w:rPr>
          <w:rFonts w:ascii="Arial" w:hAnsi="Arial" w:cs="Arial"/>
          <w:sz w:val="22"/>
          <w:szCs w:val="22"/>
        </w:rPr>
        <w:t xml:space="preserve"> unusual if the true odds ratio were anywhere </w:t>
      </w:r>
      <w:proofErr w:type="gramStart"/>
      <w:r w:rsidRPr="00222DB7">
        <w:rPr>
          <w:rFonts w:ascii="Arial" w:hAnsi="Arial" w:cs="Arial"/>
          <w:sz w:val="22"/>
          <w:szCs w:val="22"/>
        </w:rPr>
        <w:t>between</w:t>
      </w:r>
      <w:r w:rsidR="003E0FA8">
        <w:rPr>
          <w:rFonts w:ascii="Arial" w:hAnsi="Arial" w:cs="Arial"/>
          <w:sz w:val="22"/>
          <w:szCs w:val="22"/>
        </w:rPr>
        <w:t xml:space="preserve"> 1.74 to 2.59</w:t>
      </w:r>
      <w:proofErr w:type="gramEnd"/>
      <w:r w:rsidRPr="00222DB7">
        <w:rPr>
          <w:rFonts w:ascii="Arial" w:hAnsi="Arial" w:cs="Arial"/>
          <w:sz w:val="22"/>
          <w:szCs w:val="22"/>
        </w:rPr>
        <w:t>. A Fisher’s exact test two-sided p valu</w:t>
      </w:r>
      <w:r>
        <w:rPr>
          <w:rFonts w:ascii="Arial" w:hAnsi="Arial" w:cs="Arial"/>
          <w:sz w:val="22"/>
          <w:szCs w:val="22"/>
        </w:rPr>
        <w:t xml:space="preserve">e of </w:t>
      </w:r>
      <w:r w:rsidR="003E0FA8">
        <w:rPr>
          <w:rFonts w:ascii="Arial" w:hAnsi="Arial" w:cs="Arial"/>
          <w:sz w:val="22"/>
          <w:szCs w:val="22"/>
        </w:rPr>
        <w:t>&lt;0.00001</w:t>
      </w:r>
      <w:r>
        <w:rPr>
          <w:rFonts w:ascii="Arial" w:hAnsi="Arial" w:cs="Arial"/>
          <w:sz w:val="22"/>
          <w:szCs w:val="22"/>
        </w:rPr>
        <w:t xml:space="preserve"> suggests that we </w:t>
      </w:r>
      <w:r w:rsidR="003E0FA8">
        <w:rPr>
          <w:rFonts w:ascii="Arial" w:hAnsi="Arial" w:cs="Arial"/>
          <w:sz w:val="22"/>
          <w:szCs w:val="22"/>
        </w:rPr>
        <w:t>can</w:t>
      </w:r>
      <w:r w:rsidRPr="00222DB7">
        <w:rPr>
          <w:rFonts w:ascii="Arial" w:hAnsi="Arial" w:cs="Arial"/>
          <w:sz w:val="22"/>
          <w:szCs w:val="22"/>
        </w:rPr>
        <w:t xml:space="preserve"> reject the null hypothesis that the odds of </w:t>
      </w:r>
      <w:r w:rsidR="003E0FA8">
        <w:rPr>
          <w:rFonts w:ascii="Arial" w:hAnsi="Arial" w:cs="Arial"/>
          <w:sz w:val="22"/>
          <w:szCs w:val="22"/>
        </w:rPr>
        <w:t>4</w:t>
      </w:r>
      <w:r w:rsidRPr="00222DB7">
        <w:rPr>
          <w:rFonts w:ascii="Arial" w:hAnsi="Arial" w:cs="Arial"/>
          <w:sz w:val="22"/>
          <w:szCs w:val="22"/>
        </w:rPr>
        <w:t xml:space="preserve"> year mortality </w:t>
      </w:r>
      <w:r w:rsidR="003E0FA8">
        <w:rPr>
          <w:rFonts w:ascii="Arial" w:hAnsi="Arial" w:cs="Arial"/>
          <w:sz w:val="22"/>
          <w:szCs w:val="22"/>
        </w:rPr>
        <w:t>is</w:t>
      </w:r>
      <w:r w:rsidRPr="00222DB7">
        <w:rPr>
          <w:rFonts w:ascii="Arial" w:hAnsi="Arial" w:cs="Arial"/>
          <w:sz w:val="22"/>
          <w:szCs w:val="22"/>
        </w:rPr>
        <w:t xml:space="preserve"> not associated with </w:t>
      </w:r>
      <w:r w:rsidR="003E0FA8">
        <w:rPr>
          <w:rFonts w:ascii="Arial" w:hAnsi="Arial" w:cs="Arial"/>
          <w:sz w:val="22"/>
          <w:szCs w:val="22"/>
        </w:rPr>
        <w:t xml:space="preserve">CRP levels </w:t>
      </w:r>
      <w:r w:rsidR="003E0FA8">
        <w:rPr>
          <w:rFonts w:ascii="Arial" w:hAnsi="Arial" w:cs="Arial"/>
          <w:sz w:val="22"/>
          <w:szCs w:val="22"/>
        </w:rPr>
        <w:t>and support the alternative</w:t>
      </w:r>
      <w:r w:rsidR="003E0FA8" w:rsidRPr="00A33CBE">
        <w:rPr>
          <w:rFonts w:ascii="Arial" w:hAnsi="Arial" w:cs="Arial"/>
          <w:sz w:val="22"/>
          <w:szCs w:val="22"/>
        </w:rPr>
        <w:t xml:space="preserve"> hypothesis that</w:t>
      </w:r>
      <w:r w:rsidR="003E0FA8">
        <w:rPr>
          <w:rFonts w:ascii="Arial" w:hAnsi="Arial" w:cs="Arial"/>
          <w:sz w:val="22"/>
          <w:szCs w:val="22"/>
        </w:rPr>
        <w:t xml:space="preserve"> high CRP levels are associated with </w:t>
      </w:r>
      <w:r w:rsidR="003E0FA8">
        <w:rPr>
          <w:rFonts w:ascii="Arial" w:hAnsi="Arial" w:cs="Arial"/>
          <w:sz w:val="22"/>
          <w:szCs w:val="22"/>
        </w:rPr>
        <w:t>higher odds</w:t>
      </w:r>
      <w:r w:rsidR="003E0FA8">
        <w:rPr>
          <w:rFonts w:ascii="Arial" w:hAnsi="Arial" w:cs="Arial"/>
          <w:sz w:val="22"/>
          <w:szCs w:val="22"/>
        </w:rPr>
        <w:t xml:space="preserve"> of </w:t>
      </w:r>
      <w:r w:rsidR="003E0FA8">
        <w:rPr>
          <w:rFonts w:ascii="Arial" w:hAnsi="Arial" w:cs="Arial"/>
          <w:sz w:val="22"/>
          <w:szCs w:val="22"/>
        </w:rPr>
        <w:t xml:space="preserve">mortality at </w:t>
      </w:r>
      <w:r w:rsidR="003E0FA8">
        <w:rPr>
          <w:rFonts w:ascii="Arial" w:hAnsi="Arial" w:cs="Arial"/>
          <w:sz w:val="22"/>
          <w:szCs w:val="22"/>
        </w:rPr>
        <w:t>4 years</w:t>
      </w:r>
      <w:r w:rsidR="003E0FA8" w:rsidRPr="00A33CBE">
        <w:rPr>
          <w:rFonts w:ascii="Arial" w:hAnsi="Arial" w:cs="Arial"/>
          <w:sz w:val="22"/>
          <w:szCs w:val="22"/>
        </w:rPr>
        <w:t>.</w:t>
      </w:r>
    </w:p>
    <w:p w:rsidR="00222DB7" w:rsidRPr="00034371" w:rsidRDefault="00222DB7" w:rsidP="003E0FA8">
      <w:pPr>
        <w:autoSpaceDE w:val="0"/>
        <w:autoSpaceDN w:val="0"/>
        <w:adjustRightInd w:val="0"/>
        <w:spacing w:after="120"/>
        <w:rPr>
          <w:rFonts w:ascii="Arial" w:hAnsi="Arial" w:cs="Arial"/>
          <w:sz w:val="22"/>
          <w:szCs w:val="22"/>
        </w:rPr>
      </w:pPr>
    </w:p>
    <w:p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rsidR="00034371" w:rsidRDefault="00034371" w:rsidP="00034371">
      <w:pPr>
        <w:pStyle w:val="ListParagraph"/>
        <w:rPr>
          <w:sz w:val="22"/>
          <w:szCs w:val="22"/>
        </w:rPr>
      </w:pPr>
    </w:p>
    <w:p w:rsidR="00034371" w:rsidRPr="00034371" w:rsidRDefault="00034371" w:rsidP="00034371">
      <w:pPr>
        <w:autoSpaceDE w:val="0"/>
        <w:autoSpaceDN w:val="0"/>
        <w:adjustRightInd w:val="0"/>
        <w:spacing w:after="120"/>
        <w:ind w:left="720"/>
        <w:rPr>
          <w:rFonts w:ascii="Arial" w:hAnsi="Arial" w:cs="Arial"/>
          <w:sz w:val="22"/>
          <w:szCs w:val="22"/>
        </w:rPr>
      </w:pPr>
    </w:p>
    <w:p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A9" w:rsidRDefault="00C07EA9">
      <w:r>
        <w:separator/>
      </w:r>
    </w:p>
  </w:endnote>
  <w:endnote w:type="continuationSeparator" w:id="0">
    <w:p w:rsidR="00C07EA9" w:rsidRDefault="00C0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A9" w:rsidRDefault="00C07EA9">
      <w:r>
        <w:separator/>
      </w:r>
    </w:p>
  </w:footnote>
  <w:footnote w:type="continuationSeparator" w:id="0">
    <w:p w:rsidR="00C07EA9" w:rsidRDefault="00C0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81" w:rsidRDefault="00B95181"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0FA8">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0FA8">
      <w:rPr>
        <w:noProof/>
        <w:snapToGrid w:val="0"/>
      </w:rPr>
      <w:t>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1C1302"/>
    <w:multiLevelType w:val="hybridMultilevel"/>
    <w:tmpl w:val="3AA0737E"/>
    <w:lvl w:ilvl="0" w:tplc="7370FA6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63C2"/>
    <w:rsid w:val="00034371"/>
    <w:rsid w:val="00054A42"/>
    <w:rsid w:val="00060C13"/>
    <w:rsid w:val="000817A7"/>
    <w:rsid w:val="00086779"/>
    <w:rsid w:val="00097520"/>
    <w:rsid w:val="000A3E09"/>
    <w:rsid w:val="000B416F"/>
    <w:rsid w:val="000F52B6"/>
    <w:rsid w:val="001030F9"/>
    <w:rsid w:val="0010428A"/>
    <w:rsid w:val="00132AEC"/>
    <w:rsid w:val="00132BA1"/>
    <w:rsid w:val="00140EC9"/>
    <w:rsid w:val="00160820"/>
    <w:rsid w:val="00195B2D"/>
    <w:rsid w:val="001B7096"/>
    <w:rsid w:val="001D2DC2"/>
    <w:rsid w:val="001E36FF"/>
    <w:rsid w:val="001E5158"/>
    <w:rsid w:val="00202909"/>
    <w:rsid w:val="0021517E"/>
    <w:rsid w:val="002213A5"/>
    <w:rsid w:val="00222DB7"/>
    <w:rsid w:val="0022654E"/>
    <w:rsid w:val="0024368C"/>
    <w:rsid w:val="00254231"/>
    <w:rsid w:val="00261CFB"/>
    <w:rsid w:val="002D5B86"/>
    <w:rsid w:val="002F0282"/>
    <w:rsid w:val="003471E3"/>
    <w:rsid w:val="00353B06"/>
    <w:rsid w:val="0036127B"/>
    <w:rsid w:val="00385CD1"/>
    <w:rsid w:val="003A6D85"/>
    <w:rsid w:val="003C0FBE"/>
    <w:rsid w:val="003E0FA8"/>
    <w:rsid w:val="003F5F38"/>
    <w:rsid w:val="00410B89"/>
    <w:rsid w:val="00415759"/>
    <w:rsid w:val="0042294F"/>
    <w:rsid w:val="00422D91"/>
    <w:rsid w:val="00443606"/>
    <w:rsid w:val="004514C0"/>
    <w:rsid w:val="00452963"/>
    <w:rsid w:val="004664FD"/>
    <w:rsid w:val="004C578C"/>
    <w:rsid w:val="004D1289"/>
    <w:rsid w:val="004D1292"/>
    <w:rsid w:val="00501EC4"/>
    <w:rsid w:val="00510B41"/>
    <w:rsid w:val="00511C56"/>
    <w:rsid w:val="00520315"/>
    <w:rsid w:val="00523AA4"/>
    <w:rsid w:val="00556CEF"/>
    <w:rsid w:val="00561E05"/>
    <w:rsid w:val="00567523"/>
    <w:rsid w:val="00586C10"/>
    <w:rsid w:val="005B14E3"/>
    <w:rsid w:val="005C35DF"/>
    <w:rsid w:val="005C5726"/>
    <w:rsid w:val="005D7E06"/>
    <w:rsid w:val="005E10EC"/>
    <w:rsid w:val="005E415C"/>
    <w:rsid w:val="00601D47"/>
    <w:rsid w:val="006138F9"/>
    <w:rsid w:val="006152BE"/>
    <w:rsid w:val="0062265F"/>
    <w:rsid w:val="006268D1"/>
    <w:rsid w:val="006336A9"/>
    <w:rsid w:val="0063762C"/>
    <w:rsid w:val="006508C5"/>
    <w:rsid w:val="00654208"/>
    <w:rsid w:val="00673A26"/>
    <w:rsid w:val="00676B73"/>
    <w:rsid w:val="0069225A"/>
    <w:rsid w:val="006B1E11"/>
    <w:rsid w:val="006C49EE"/>
    <w:rsid w:val="006D10EF"/>
    <w:rsid w:val="006E16C5"/>
    <w:rsid w:val="006E5205"/>
    <w:rsid w:val="007356DE"/>
    <w:rsid w:val="007366CC"/>
    <w:rsid w:val="00741AE1"/>
    <w:rsid w:val="00751474"/>
    <w:rsid w:val="00762DE6"/>
    <w:rsid w:val="00767D4A"/>
    <w:rsid w:val="00785A87"/>
    <w:rsid w:val="007B4E60"/>
    <w:rsid w:val="00836540"/>
    <w:rsid w:val="00852FFA"/>
    <w:rsid w:val="0087636D"/>
    <w:rsid w:val="0088657E"/>
    <w:rsid w:val="008A45D9"/>
    <w:rsid w:val="008F73A3"/>
    <w:rsid w:val="00905BC9"/>
    <w:rsid w:val="00905E82"/>
    <w:rsid w:val="0094708F"/>
    <w:rsid w:val="009B2370"/>
    <w:rsid w:val="009C542B"/>
    <w:rsid w:val="009D5804"/>
    <w:rsid w:val="009F413F"/>
    <w:rsid w:val="00A0233D"/>
    <w:rsid w:val="00A05CD5"/>
    <w:rsid w:val="00A14799"/>
    <w:rsid w:val="00A31D8C"/>
    <w:rsid w:val="00A33CBE"/>
    <w:rsid w:val="00A412CE"/>
    <w:rsid w:val="00A4205F"/>
    <w:rsid w:val="00A44034"/>
    <w:rsid w:val="00AA30E7"/>
    <w:rsid w:val="00AD29C0"/>
    <w:rsid w:val="00B04F23"/>
    <w:rsid w:val="00B12B84"/>
    <w:rsid w:val="00B15F79"/>
    <w:rsid w:val="00B17CB5"/>
    <w:rsid w:val="00B212A5"/>
    <w:rsid w:val="00B42150"/>
    <w:rsid w:val="00B43F52"/>
    <w:rsid w:val="00B457A7"/>
    <w:rsid w:val="00B4705C"/>
    <w:rsid w:val="00B70375"/>
    <w:rsid w:val="00B814FA"/>
    <w:rsid w:val="00B95181"/>
    <w:rsid w:val="00C07EA9"/>
    <w:rsid w:val="00C15CDE"/>
    <w:rsid w:val="00C34EBC"/>
    <w:rsid w:val="00C55091"/>
    <w:rsid w:val="00C642DD"/>
    <w:rsid w:val="00C74FEC"/>
    <w:rsid w:val="00C93A29"/>
    <w:rsid w:val="00D16C04"/>
    <w:rsid w:val="00D72BD7"/>
    <w:rsid w:val="00DC01FF"/>
    <w:rsid w:val="00DD3E04"/>
    <w:rsid w:val="00DD6B80"/>
    <w:rsid w:val="00DE3817"/>
    <w:rsid w:val="00E642DA"/>
    <w:rsid w:val="00E741C7"/>
    <w:rsid w:val="00E75092"/>
    <w:rsid w:val="00E81610"/>
    <w:rsid w:val="00E91856"/>
    <w:rsid w:val="00ED47B6"/>
    <w:rsid w:val="00EF39F4"/>
    <w:rsid w:val="00F15D49"/>
    <w:rsid w:val="00F225C1"/>
    <w:rsid w:val="00F475B8"/>
    <w:rsid w:val="00F507B9"/>
    <w:rsid w:val="00F51AEA"/>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0779D79-F8B0-4A6C-83D8-D1CACC3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J</cp:lastModifiedBy>
  <cp:revision>2</cp:revision>
  <dcterms:created xsi:type="dcterms:W3CDTF">2015-01-12T18:59:00Z</dcterms:created>
  <dcterms:modified xsi:type="dcterms:W3CDTF">2015-01-12T18:59:00Z</dcterms:modified>
</cp:coreProperties>
</file>