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Default="002F0282" w:rsidP="002F0282">
      <w:pPr>
        <w:autoSpaceDE w:val="0"/>
        <w:autoSpaceDN w:val="0"/>
        <w:adjustRightInd w:val="0"/>
        <w:jc w:val="center"/>
        <w:rPr>
          <w:b/>
          <w:color w:val="000000"/>
          <w:sz w:val="22"/>
          <w:szCs w:val="22"/>
        </w:rPr>
      </w:pPr>
      <w:r>
        <w:rPr>
          <w:b/>
          <w:color w:val="000000"/>
          <w:sz w:val="22"/>
          <w:szCs w:val="22"/>
        </w:rPr>
        <w:t>Biost 518</w:t>
      </w:r>
      <w:r w:rsidR="00C93A29" w:rsidRPr="0036127B">
        <w:rPr>
          <w:b/>
          <w:color w:val="000000"/>
          <w:sz w:val="22"/>
          <w:szCs w:val="22"/>
        </w:rPr>
        <w:t xml:space="preserve">: </w:t>
      </w:r>
      <w:commentRangeStart w:id="0"/>
      <w:r>
        <w:rPr>
          <w:b/>
          <w:color w:val="000000"/>
          <w:sz w:val="22"/>
          <w:szCs w:val="22"/>
        </w:rPr>
        <w:t>Applied</w:t>
      </w:r>
      <w:commentRangeEnd w:id="0"/>
      <w:r w:rsidR="00D00208">
        <w:rPr>
          <w:rStyle w:val="CommentReference"/>
        </w:rPr>
        <w:commentReference w:id="0"/>
      </w:r>
      <w:r>
        <w:rPr>
          <w:b/>
          <w:color w:val="000000"/>
          <w:sz w:val="22"/>
          <w:szCs w:val="22"/>
        </w:rPr>
        <w:t xml:space="preserve"> Biostatistics II</w:t>
      </w:r>
    </w:p>
    <w:p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rsidR="00C93A29" w:rsidRPr="0036127B" w:rsidRDefault="00C93A29" w:rsidP="00C93A29">
      <w:pPr>
        <w:autoSpaceDE w:val="0"/>
        <w:autoSpaceDN w:val="0"/>
        <w:adjustRightInd w:val="0"/>
        <w:jc w:val="center"/>
        <w:rPr>
          <w:b/>
          <w:color w:val="000000"/>
          <w:sz w:val="22"/>
          <w:szCs w:val="22"/>
        </w:rPr>
      </w:pPr>
    </w:p>
    <w:p w:rsidR="00C93A29" w:rsidRPr="0036127B" w:rsidRDefault="001E2894" w:rsidP="00C93A29">
      <w:pPr>
        <w:autoSpaceDE w:val="0"/>
        <w:autoSpaceDN w:val="0"/>
        <w:adjustRightInd w:val="0"/>
        <w:jc w:val="center"/>
        <w:rPr>
          <w:b/>
          <w:color w:val="000000"/>
          <w:sz w:val="22"/>
          <w:szCs w:val="22"/>
        </w:rPr>
      </w:pPr>
      <w:r>
        <w:rPr>
          <w:b/>
          <w:color w:val="000000"/>
          <w:sz w:val="22"/>
          <w:szCs w:val="22"/>
        </w:rPr>
        <w:t>Homework #5</w:t>
      </w:r>
    </w:p>
    <w:p w:rsidR="00C93A29" w:rsidRPr="0036127B" w:rsidRDefault="001E2894" w:rsidP="00C93A29">
      <w:pPr>
        <w:autoSpaceDE w:val="0"/>
        <w:autoSpaceDN w:val="0"/>
        <w:adjustRightInd w:val="0"/>
        <w:jc w:val="center"/>
        <w:rPr>
          <w:color w:val="000000"/>
          <w:sz w:val="22"/>
          <w:szCs w:val="22"/>
        </w:rPr>
      </w:pPr>
      <w:r>
        <w:rPr>
          <w:color w:val="000000"/>
          <w:sz w:val="22"/>
          <w:szCs w:val="22"/>
        </w:rPr>
        <w:t>February 3</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file to the class Catalyst dropbox</w:t>
      </w:r>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1E2894">
        <w:rPr>
          <w:color w:val="000000"/>
          <w:sz w:val="22"/>
          <w:szCs w:val="22"/>
        </w:rPr>
        <w:t>February 10</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2F0282" w:rsidRDefault="002F0282" w:rsidP="002F0282">
      <w:pPr>
        <w:autoSpaceDE w:val="0"/>
        <w:autoSpaceDN w:val="0"/>
        <w:adjustRightInd w:val="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homeworks)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261CFB" w:rsidRPr="009D5804" w:rsidRDefault="00C359E5" w:rsidP="00E03960">
      <w:pPr>
        <w:autoSpaceDE w:val="0"/>
        <w:autoSpaceDN w:val="0"/>
        <w:adjustRightInd w:val="0"/>
        <w:rPr>
          <w:sz w:val="22"/>
          <w:szCs w:val="22"/>
        </w:rPr>
      </w:pPr>
      <w:r>
        <w:rPr>
          <w:color w:val="000000"/>
          <w:sz w:val="22"/>
          <w:szCs w:val="22"/>
        </w:rPr>
        <w:t>Problems 2 and 3 of the homework build</w:t>
      </w:r>
      <w:r w:rsidR="00C00601">
        <w:rPr>
          <w:color w:val="000000"/>
          <w:sz w:val="22"/>
          <w:szCs w:val="22"/>
        </w:rPr>
        <w:t xml:space="preserve"> on the analyses performed in homework</w:t>
      </w:r>
      <w:r w:rsidR="00115B08">
        <w:rPr>
          <w:color w:val="000000"/>
          <w:sz w:val="22"/>
          <w:szCs w:val="22"/>
        </w:rPr>
        <w:t>s</w:t>
      </w:r>
      <w:r w:rsidR="00C00601">
        <w:rPr>
          <w:color w:val="000000"/>
          <w:sz w:val="22"/>
          <w:szCs w:val="22"/>
        </w:rPr>
        <w:t xml:space="preserve"> #1</w:t>
      </w:r>
      <w:r w:rsidR="00F538AE">
        <w:rPr>
          <w:color w:val="000000"/>
          <w:sz w:val="22"/>
          <w:szCs w:val="22"/>
        </w:rPr>
        <w:t xml:space="preserve"> </w:t>
      </w:r>
      <w:r w:rsidR="001E2894">
        <w:rPr>
          <w:color w:val="000000"/>
          <w:sz w:val="22"/>
          <w:szCs w:val="22"/>
        </w:rPr>
        <w:t xml:space="preserve"> through #4</w:t>
      </w:r>
      <w:r w:rsidR="00F538AE">
        <w:rPr>
          <w:color w:val="000000"/>
          <w:sz w:val="22"/>
          <w:szCs w:val="22"/>
        </w:rPr>
        <w:t>.</w:t>
      </w:r>
      <w:r w:rsidR="00C00601">
        <w:rPr>
          <w:color w:val="000000"/>
          <w:sz w:val="22"/>
          <w:szCs w:val="22"/>
        </w:rPr>
        <w:t xml:space="preserve"> As such, </w:t>
      </w:r>
      <w:r w:rsidR="00C00601">
        <w:rPr>
          <w:sz w:val="22"/>
          <w:szCs w:val="22"/>
        </w:rPr>
        <w:t>a</w:t>
      </w:r>
      <w:r w:rsidR="00261CFB" w:rsidRPr="009D5804">
        <w:rPr>
          <w:sz w:val="22"/>
          <w:szCs w:val="22"/>
        </w:rPr>
        <w:t xml:space="preserve">ll questions relate to </w:t>
      </w:r>
      <w:r w:rsidR="00132BA1" w:rsidRPr="009D5804">
        <w:rPr>
          <w:sz w:val="22"/>
          <w:szCs w:val="22"/>
        </w:rPr>
        <w:t xml:space="preserve">associations </w:t>
      </w:r>
      <w:r w:rsidR="00C00601">
        <w:rPr>
          <w:sz w:val="22"/>
          <w:szCs w:val="22"/>
        </w:rPr>
        <w:t xml:space="preserve">among death from any cause, </w:t>
      </w:r>
      <w:r w:rsidR="00132BA1" w:rsidRPr="009D5804">
        <w:rPr>
          <w:sz w:val="22"/>
          <w:szCs w:val="22"/>
        </w:rPr>
        <w:t>serum low density lipoprotein (LDL) levels</w:t>
      </w:r>
      <w:r w:rsidR="00C00601">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w:t>
      </w:r>
      <w:bookmarkStart w:id="1" w:name="_GoBack"/>
      <w:bookmarkEnd w:id="1"/>
      <w:r w:rsidR="00FB663C" w:rsidRPr="009D5804">
        <w:rPr>
          <w:sz w:val="22"/>
          <w:szCs w:val="22"/>
        </w:rPr>
        <w:t xml:space="preserve">file mri.pdf. </w:t>
      </w:r>
      <w:r w:rsidR="00E03960">
        <w:rPr>
          <w:sz w:val="22"/>
          <w:szCs w:val="22"/>
        </w:rPr>
        <w:t>See homework #1 for additional information</w:t>
      </w:r>
      <w:r w:rsidR="00FB663C" w:rsidRPr="009D5804">
        <w:rPr>
          <w:sz w:val="22"/>
          <w:szCs w:val="22"/>
        </w:rPr>
        <w:t xml:space="preserve">. </w:t>
      </w:r>
      <w:r>
        <w:rPr>
          <w:sz w:val="22"/>
          <w:szCs w:val="22"/>
        </w:rPr>
        <w:t>Problem 1 of this homework uses the same dataset to explore associations between prevalence of diabetes and race in the population from which that sample was drawn.</w:t>
      </w:r>
    </w:p>
    <w:p w:rsidR="00261CFB" w:rsidRPr="009D5804" w:rsidRDefault="00261CFB" w:rsidP="00261CFB">
      <w:pPr>
        <w:autoSpaceDE w:val="0"/>
        <w:autoSpaceDN w:val="0"/>
        <w:adjustRightInd w:val="0"/>
        <w:rPr>
          <w:sz w:val="22"/>
          <w:szCs w:val="22"/>
        </w:rPr>
      </w:pPr>
    </w:p>
    <w:p w:rsidR="00C359E5" w:rsidRDefault="00C359E5" w:rsidP="00F538AE">
      <w:pPr>
        <w:numPr>
          <w:ilvl w:val="0"/>
          <w:numId w:val="19"/>
        </w:numPr>
        <w:autoSpaceDE w:val="0"/>
        <w:autoSpaceDN w:val="0"/>
        <w:adjustRightInd w:val="0"/>
        <w:spacing w:after="120"/>
        <w:rPr>
          <w:sz w:val="22"/>
          <w:szCs w:val="22"/>
        </w:rPr>
      </w:pPr>
      <w:r>
        <w:rPr>
          <w:sz w:val="22"/>
          <w:szCs w:val="22"/>
        </w:rPr>
        <w:t>Perform a statistical regression analysis evaluating an association between prevalence of diabetes and race by comparing the odds of a diabetes diagnosis across.</w:t>
      </w:r>
    </w:p>
    <w:p w:rsidR="00C359E5" w:rsidRDefault="00C359E5" w:rsidP="00CD25DA">
      <w:pPr>
        <w:numPr>
          <w:ilvl w:val="1"/>
          <w:numId w:val="19"/>
        </w:numPr>
        <w:autoSpaceDE w:val="0"/>
        <w:autoSpaceDN w:val="0"/>
        <w:adjustRightInd w:val="0"/>
        <w:spacing w:after="120"/>
        <w:rPr>
          <w:sz w:val="22"/>
          <w:szCs w:val="22"/>
        </w:rPr>
      </w:pPr>
      <w:r>
        <w:rPr>
          <w:sz w:val="22"/>
          <w:szCs w:val="22"/>
        </w:rPr>
        <w:t xml:space="preserve">Fit a logistic regression model that uses whites as a reference group. </w:t>
      </w:r>
      <w:r w:rsidR="00BF7EC1">
        <w:rPr>
          <w:sz w:val="22"/>
          <w:szCs w:val="22"/>
        </w:rPr>
        <w:t xml:space="preserve">Is this a saturated model? </w:t>
      </w:r>
      <w:r>
        <w:rPr>
          <w:sz w:val="22"/>
          <w:szCs w:val="22"/>
        </w:rPr>
        <w:t>Provide</w:t>
      </w:r>
      <w:r w:rsidR="00CD25DA">
        <w:rPr>
          <w:sz w:val="22"/>
          <w:szCs w:val="22"/>
        </w:rPr>
        <w:t xml:space="preserve"> </w:t>
      </w:r>
      <w:r w:rsidR="00BF7EC1">
        <w:rPr>
          <w:sz w:val="22"/>
          <w:szCs w:val="22"/>
        </w:rPr>
        <w:t xml:space="preserve">a </w:t>
      </w:r>
      <w:r w:rsidR="00CD25DA">
        <w:rPr>
          <w:sz w:val="22"/>
          <w:szCs w:val="22"/>
        </w:rPr>
        <w:t xml:space="preserve">formal report (methods and inference) about the scientific question regarding an association between diabetes and race. </w:t>
      </w:r>
    </w:p>
    <w:p w:rsidR="00A55618" w:rsidRDefault="00A55618" w:rsidP="00A97D00">
      <w:pPr>
        <w:autoSpaceDE w:val="0"/>
        <w:autoSpaceDN w:val="0"/>
        <w:adjustRightInd w:val="0"/>
        <w:spacing w:after="120"/>
        <w:rPr>
          <w:sz w:val="22"/>
          <w:szCs w:val="22"/>
        </w:rPr>
      </w:pPr>
    </w:p>
    <w:p w:rsidR="00D33987" w:rsidRPr="00D33987" w:rsidRDefault="00D33987" w:rsidP="00D33987">
      <w:pPr>
        <w:autoSpaceDE w:val="0"/>
        <w:autoSpaceDN w:val="0"/>
        <w:adjustRightInd w:val="0"/>
        <w:spacing w:after="120"/>
        <w:rPr>
          <w:i/>
          <w:sz w:val="22"/>
          <w:szCs w:val="22"/>
        </w:rPr>
      </w:pPr>
      <w:r w:rsidRPr="00D33987">
        <w:rPr>
          <w:b/>
          <w:sz w:val="22"/>
          <w:szCs w:val="22"/>
          <w:u w:val="single"/>
        </w:rPr>
        <w:t>Answer:</w:t>
      </w:r>
      <w:r>
        <w:rPr>
          <w:sz w:val="22"/>
          <w:szCs w:val="22"/>
        </w:rPr>
        <w:t xml:space="preserve"> </w:t>
      </w:r>
      <w:r w:rsidRPr="00D33987">
        <w:rPr>
          <w:i/>
          <w:sz w:val="22"/>
          <w:szCs w:val="22"/>
        </w:rPr>
        <w:t xml:space="preserve">Since we are fitting a model that has 2 </w:t>
      </w:r>
      <w:commentRangeStart w:id="2"/>
      <w:r w:rsidRPr="00D33987">
        <w:rPr>
          <w:i/>
          <w:sz w:val="22"/>
          <w:szCs w:val="22"/>
        </w:rPr>
        <w:t>distinct</w:t>
      </w:r>
      <w:commentRangeEnd w:id="2"/>
      <w:r w:rsidR="00A94733">
        <w:rPr>
          <w:rStyle w:val="CommentReference"/>
        </w:rPr>
        <w:commentReference w:id="2"/>
      </w:r>
      <w:r w:rsidRPr="00D33987">
        <w:rPr>
          <w:i/>
          <w:sz w:val="22"/>
          <w:szCs w:val="22"/>
        </w:rPr>
        <w:t xml:space="preserve"> outcome groups (presence/absence of diabetes) and 4 parameters (based on 4 categories of race) we do not have a saturated model</w:t>
      </w:r>
      <w:r>
        <w:rPr>
          <w:i/>
          <w:sz w:val="22"/>
          <w:szCs w:val="22"/>
        </w:rPr>
        <w:t xml:space="preserve"> (number of outcome groups ≠ number of parameters).</w:t>
      </w:r>
    </w:p>
    <w:p w:rsidR="000C422B" w:rsidRDefault="00A97D00" w:rsidP="00A97D00">
      <w:pPr>
        <w:autoSpaceDE w:val="0"/>
        <w:autoSpaceDN w:val="0"/>
        <w:adjustRightInd w:val="0"/>
        <w:spacing w:after="120"/>
        <w:rPr>
          <w:b/>
          <w:sz w:val="22"/>
          <w:szCs w:val="22"/>
        </w:rPr>
      </w:pPr>
      <w:r w:rsidRPr="00FD120D">
        <w:rPr>
          <w:b/>
          <w:sz w:val="22"/>
          <w:szCs w:val="22"/>
          <w:u w:val="single"/>
        </w:rPr>
        <w:t>Methods:</w:t>
      </w:r>
      <w:r w:rsidRPr="00FD120D">
        <w:rPr>
          <w:b/>
          <w:sz w:val="22"/>
          <w:szCs w:val="22"/>
        </w:rPr>
        <w:t xml:space="preserve"> </w:t>
      </w:r>
      <w:r w:rsidR="004E6A45">
        <w:rPr>
          <w:b/>
          <w:sz w:val="22"/>
          <w:szCs w:val="22"/>
        </w:rPr>
        <w:t xml:space="preserve">The presence of an association between </w:t>
      </w:r>
      <w:r w:rsidR="009D3681">
        <w:rPr>
          <w:b/>
          <w:sz w:val="22"/>
          <w:szCs w:val="22"/>
        </w:rPr>
        <w:t>race and prevalence of diabetes was tested using model comparison</w:t>
      </w:r>
      <w:r w:rsidR="000C422B">
        <w:rPr>
          <w:b/>
          <w:sz w:val="22"/>
          <w:szCs w:val="22"/>
        </w:rPr>
        <w:t xml:space="preserve"> via the Wald test </w:t>
      </w:r>
      <w:r w:rsidR="00094091">
        <w:rPr>
          <w:b/>
          <w:sz w:val="22"/>
          <w:szCs w:val="22"/>
        </w:rPr>
        <w:t>based on the F-statistics</w:t>
      </w:r>
      <w:r w:rsidR="009D3681">
        <w:rPr>
          <w:b/>
          <w:sz w:val="22"/>
          <w:szCs w:val="22"/>
        </w:rPr>
        <w:t xml:space="preserve">, where the </w:t>
      </w:r>
      <w:r w:rsidR="000C422B">
        <w:rPr>
          <w:b/>
          <w:sz w:val="22"/>
          <w:szCs w:val="22"/>
        </w:rPr>
        <w:t xml:space="preserve">an unadjusted model of diabetes prevalence was compared to a </w:t>
      </w:r>
      <w:r w:rsidR="009D3681">
        <w:rPr>
          <w:b/>
          <w:sz w:val="22"/>
          <w:szCs w:val="22"/>
        </w:rPr>
        <w:t xml:space="preserve">logistic regression model which included the estimated odds of subjects having diabetes, based on the predictor race. </w:t>
      </w:r>
    </w:p>
    <w:p w:rsidR="00FB5916" w:rsidRDefault="00FD120D" w:rsidP="00A97D00">
      <w:pPr>
        <w:autoSpaceDE w:val="0"/>
        <w:autoSpaceDN w:val="0"/>
        <w:adjustRightInd w:val="0"/>
        <w:spacing w:after="120"/>
        <w:rPr>
          <w:b/>
          <w:sz w:val="22"/>
          <w:szCs w:val="22"/>
        </w:rPr>
      </w:pPr>
      <w:r w:rsidRPr="00FD120D">
        <w:rPr>
          <w:b/>
          <w:sz w:val="22"/>
          <w:szCs w:val="22"/>
        </w:rPr>
        <w:lastRenderedPageBreak/>
        <w:t>Am</w:t>
      </w:r>
      <w:r w:rsidR="009D3681">
        <w:rPr>
          <w:b/>
          <w:sz w:val="22"/>
          <w:szCs w:val="22"/>
        </w:rPr>
        <w:t xml:space="preserve">ong all 735 subjects, </w:t>
      </w:r>
      <w:r w:rsidRPr="00FD120D">
        <w:rPr>
          <w:b/>
          <w:sz w:val="22"/>
          <w:szCs w:val="22"/>
        </w:rPr>
        <w:t>89.3% (656) were not observed to have diabetes and 10.7% (79) were observed to have the disease; and 77.8% (572) were white, 14.2% (104) were black, 6.4% (47) were Asian, and 1.6% were</w:t>
      </w:r>
      <w:r w:rsidR="009D3681">
        <w:rPr>
          <w:b/>
          <w:sz w:val="22"/>
          <w:szCs w:val="22"/>
        </w:rPr>
        <w:t xml:space="preserve"> of</w:t>
      </w:r>
      <w:r w:rsidR="000C422B">
        <w:rPr>
          <w:b/>
          <w:sz w:val="22"/>
          <w:szCs w:val="22"/>
        </w:rPr>
        <w:t xml:space="preserve"> other races. These results are summarized in Table 1.</w:t>
      </w:r>
      <w:r w:rsidRPr="00FD120D">
        <w:rPr>
          <w:b/>
          <w:sz w:val="22"/>
          <w:szCs w:val="22"/>
        </w:rPr>
        <w:t xml:space="preserve"> </w:t>
      </w:r>
    </w:p>
    <w:p w:rsidR="00FB5916" w:rsidRDefault="00FB5916" w:rsidP="00A97D00">
      <w:pPr>
        <w:autoSpaceDE w:val="0"/>
        <w:autoSpaceDN w:val="0"/>
        <w:adjustRightInd w:val="0"/>
        <w:spacing w:after="120"/>
        <w:rPr>
          <w:b/>
          <w:sz w:val="22"/>
          <w:szCs w:val="22"/>
        </w:rPr>
      </w:pPr>
    </w:p>
    <w:p w:rsidR="000C422B" w:rsidRDefault="000C422B" w:rsidP="000C422B">
      <w:pPr>
        <w:pStyle w:val="Caption"/>
        <w:keepNext/>
      </w:pPr>
      <w:r>
        <w:t xml:space="preserve">Table </w:t>
      </w:r>
      <w:r>
        <w:fldChar w:fldCharType="begin"/>
      </w:r>
      <w:r>
        <w:instrText xml:space="preserve"> SEQ Table \* ARABIC </w:instrText>
      </w:r>
      <w:r>
        <w:fldChar w:fldCharType="separate"/>
      </w:r>
      <w:r>
        <w:rPr>
          <w:noProof/>
        </w:rPr>
        <w:t>1</w:t>
      </w:r>
      <w:r>
        <w:fldChar w:fldCharType="end"/>
      </w:r>
    </w:p>
    <w:tbl>
      <w:tblP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298"/>
        <w:gridCol w:w="1573"/>
        <w:gridCol w:w="1551"/>
        <w:gridCol w:w="1440"/>
      </w:tblGrid>
      <w:tr w:rsidR="004E6A45" w:rsidRPr="00EE687B" w:rsidTr="00EE687B">
        <w:tc>
          <w:tcPr>
            <w:tcW w:w="7308" w:type="dxa"/>
            <w:gridSpan w:val="5"/>
            <w:shd w:val="clear" w:color="auto" w:fill="auto"/>
          </w:tcPr>
          <w:p w:rsidR="004E6A45" w:rsidRPr="00EE687B" w:rsidRDefault="004E6A45" w:rsidP="00EE687B">
            <w:pPr>
              <w:autoSpaceDE w:val="0"/>
              <w:autoSpaceDN w:val="0"/>
              <w:adjustRightInd w:val="0"/>
              <w:spacing w:after="120"/>
              <w:jc w:val="center"/>
              <w:rPr>
                <w:b/>
                <w:sz w:val="22"/>
                <w:szCs w:val="22"/>
              </w:rPr>
            </w:pPr>
            <w:r w:rsidRPr="00EE687B">
              <w:rPr>
                <w:b/>
                <w:sz w:val="22"/>
                <w:szCs w:val="22"/>
              </w:rPr>
              <w:t>Frequency table of Diabetes based on Race</w:t>
            </w:r>
          </w:p>
        </w:tc>
      </w:tr>
      <w:tr w:rsidR="004E6A45" w:rsidRPr="00EE687B" w:rsidTr="00EE687B">
        <w:tc>
          <w:tcPr>
            <w:tcW w:w="1446" w:type="dxa"/>
            <w:shd w:val="clear" w:color="auto" w:fill="auto"/>
          </w:tcPr>
          <w:p w:rsidR="004E6A45" w:rsidRPr="00EE687B" w:rsidRDefault="004E6A45" w:rsidP="00EE687B">
            <w:pPr>
              <w:autoSpaceDE w:val="0"/>
              <w:autoSpaceDN w:val="0"/>
              <w:adjustRightInd w:val="0"/>
              <w:spacing w:after="120"/>
              <w:jc w:val="right"/>
              <w:rPr>
                <w:b/>
                <w:sz w:val="22"/>
                <w:szCs w:val="22"/>
              </w:rPr>
            </w:pPr>
            <w:r w:rsidRPr="00EE687B">
              <w:rPr>
                <w:b/>
                <w:sz w:val="22"/>
                <w:szCs w:val="22"/>
              </w:rPr>
              <w:t>Race</w:t>
            </w:r>
          </w:p>
        </w:tc>
        <w:tc>
          <w:tcPr>
            <w:tcW w:w="1298" w:type="dxa"/>
            <w:shd w:val="clear" w:color="auto" w:fill="auto"/>
          </w:tcPr>
          <w:p w:rsidR="004E6A45" w:rsidRPr="00EE687B" w:rsidRDefault="004E6A45" w:rsidP="00EE687B">
            <w:pPr>
              <w:autoSpaceDE w:val="0"/>
              <w:autoSpaceDN w:val="0"/>
              <w:adjustRightInd w:val="0"/>
              <w:spacing w:after="120"/>
              <w:jc w:val="center"/>
              <w:rPr>
                <w:b/>
                <w:sz w:val="22"/>
                <w:szCs w:val="22"/>
              </w:rPr>
            </w:pPr>
            <w:r w:rsidRPr="00EE687B">
              <w:rPr>
                <w:b/>
                <w:sz w:val="22"/>
                <w:szCs w:val="22"/>
              </w:rPr>
              <w:t>N</w:t>
            </w:r>
          </w:p>
        </w:tc>
        <w:tc>
          <w:tcPr>
            <w:tcW w:w="1573" w:type="dxa"/>
            <w:shd w:val="clear" w:color="auto" w:fill="auto"/>
          </w:tcPr>
          <w:p w:rsidR="004E6A45" w:rsidRPr="00EE687B" w:rsidRDefault="004E6A45" w:rsidP="00EE687B">
            <w:pPr>
              <w:autoSpaceDE w:val="0"/>
              <w:autoSpaceDN w:val="0"/>
              <w:adjustRightInd w:val="0"/>
              <w:spacing w:after="120"/>
              <w:jc w:val="center"/>
              <w:rPr>
                <w:b/>
                <w:sz w:val="22"/>
                <w:szCs w:val="22"/>
              </w:rPr>
            </w:pPr>
            <w:r w:rsidRPr="00EE687B">
              <w:rPr>
                <w:b/>
                <w:sz w:val="22"/>
                <w:szCs w:val="22"/>
              </w:rPr>
              <w:t># Diabetic</w:t>
            </w:r>
          </w:p>
        </w:tc>
        <w:tc>
          <w:tcPr>
            <w:tcW w:w="1551" w:type="dxa"/>
            <w:shd w:val="clear" w:color="auto" w:fill="auto"/>
          </w:tcPr>
          <w:p w:rsidR="004E6A45" w:rsidRPr="00EE687B" w:rsidRDefault="004E6A45" w:rsidP="00EE687B">
            <w:pPr>
              <w:autoSpaceDE w:val="0"/>
              <w:autoSpaceDN w:val="0"/>
              <w:adjustRightInd w:val="0"/>
              <w:spacing w:after="120"/>
              <w:jc w:val="center"/>
              <w:rPr>
                <w:b/>
                <w:sz w:val="22"/>
                <w:szCs w:val="22"/>
              </w:rPr>
            </w:pPr>
            <w:r w:rsidRPr="00EE687B">
              <w:rPr>
                <w:b/>
                <w:sz w:val="22"/>
                <w:szCs w:val="22"/>
              </w:rPr>
              <w:t># Non-diabetic</w:t>
            </w:r>
          </w:p>
        </w:tc>
        <w:tc>
          <w:tcPr>
            <w:tcW w:w="1440" w:type="dxa"/>
            <w:shd w:val="clear" w:color="auto" w:fill="auto"/>
          </w:tcPr>
          <w:p w:rsidR="004E6A45" w:rsidRPr="00EE687B" w:rsidRDefault="004E6A45" w:rsidP="00EE687B">
            <w:pPr>
              <w:autoSpaceDE w:val="0"/>
              <w:autoSpaceDN w:val="0"/>
              <w:adjustRightInd w:val="0"/>
              <w:spacing w:after="120"/>
              <w:jc w:val="center"/>
              <w:rPr>
                <w:b/>
                <w:sz w:val="22"/>
                <w:szCs w:val="22"/>
              </w:rPr>
            </w:pPr>
            <w:r w:rsidRPr="00EE687B">
              <w:rPr>
                <w:b/>
                <w:sz w:val="22"/>
                <w:szCs w:val="22"/>
              </w:rPr>
              <w:t>Percent of total</w:t>
            </w:r>
          </w:p>
        </w:tc>
      </w:tr>
      <w:tr w:rsidR="004E6A45" w:rsidRPr="00EE687B" w:rsidTr="00EE687B">
        <w:tc>
          <w:tcPr>
            <w:tcW w:w="1446" w:type="dxa"/>
            <w:shd w:val="clear" w:color="auto" w:fill="auto"/>
          </w:tcPr>
          <w:p w:rsidR="004E6A45" w:rsidRPr="00EE687B" w:rsidRDefault="004E6A45" w:rsidP="00EE687B">
            <w:pPr>
              <w:autoSpaceDE w:val="0"/>
              <w:autoSpaceDN w:val="0"/>
              <w:adjustRightInd w:val="0"/>
              <w:spacing w:after="120"/>
              <w:jc w:val="right"/>
              <w:rPr>
                <w:b/>
                <w:sz w:val="22"/>
                <w:szCs w:val="22"/>
              </w:rPr>
            </w:pPr>
            <w:r w:rsidRPr="00EE687B">
              <w:rPr>
                <w:b/>
                <w:sz w:val="22"/>
                <w:szCs w:val="22"/>
              </w:rPr>
              <w:t>White</w:t>
            </w:r>
          </w:p>
        </w:tc>
        <w:tc>
          <w:tcPr>
            <w:tcW w:w="1298" w:type="dxa"/>
            <w:shd w:val="clear" w:color="auto" w:fill="auto"/>
          </w:tcPr>
          <w:p w:rsidR="004E6A45" w:rsidRPr="00EE687B" w:rsidRDefault="004E6A45" w:rsidP="00EE687B">
            <w:pPr>
              <w:autoSpaceDE w:val="0"/>
              <w:autoSpaceDN w:val="0"/>
              <w:adjustRightInd w:val="0"/>
              <w:spacing w:after="120"/>
              <w:jc w:val="center"/>
              <w:rPr>
                <w:sz w:val="22"/>
                <w:szCs w:val="22"/>
              </w:rPr>
            </w:pPr>
            <w:r w:rsidRPr="00EE687B">
              <w:rPr>
                <w:sz w:val="22"/>
                <w:szCs w:val="22"/>
              </w:rPr>
              <w:t>572</w:t>
            </w:r>
          </w:p>
        </w:tc>
        <w:tc>
          <w:tcPr>
            <w:tcW w:w="1573" w:type="dxa"/>
            <w:shd w:val="clear" w:color="auto" w:fill="auto"/>
          </w:tcPr>
          <w:p w:rsidR="004E6A45" w:rsidRPr="00EE687B" w:rsidRDefault="004E6A45" w:rsidP="00EE687B">
            <w:pPr>
              <w:autoSpaceDE w:val="0"/>
              <w:autoSpaceDN w:val="0"/>
              <w:adjustRightInd w:val="0"/>
              <w:spacing w:after="120"/>
              <w:jc w:val="center"/>
              <w:rPr>
                <w:sz w:val="22"/>
                <w:szCs w:val="22"/>
              </w:rPr>
            </w:pPr>
            <w:r w:rsidRPr="00EE687B">
              <w:rPr>
                <w:sz w:val="22"/>
                <w:szCs w:val="22"/>
              </w:rPr>
              <w:t>56</w:t>
            </w:r>
          </w:p>
        </w:tc>
        <w:tc>
          <w:tcPr>
            <w:tcW w:w="1551" w:type="dxa"/>
            <w:shd w:val="clear" w:color="auto" w:fill="auto"/>
          </w:tcPr>
          <w:p w:rsidR="004E6A45" w:rsidRPr="00EE687B" w:rsidRDefault="004E6A45" w:rsidP="00EE687B">
            <w:pPr>
              <w:autoSpaceDE w:val="0"/>
              <w:autoSpaceDN w:val="0"/>
              <w:adjustRightInd w:val="0"/>
              <w:spacing w:after="120"/>
              <w:jc w:val="center"/>
              <w:rPr>
                <w:sz w:val="22"/>
                <w:szCs w:val="22"/>
              </w:rPr>
            </w:pPr>
            <w:r w:rsidRPr="00EE687B">
              <w:rPr>
                <w:sz w:val="22"/>
                <w:szCs w:val="22"/>
              </w:rPr>
              <w:t>516</w:t>
            </w:r>
          </w:p>
        </w:tc>
        <w:tc>
          <w:tcPr>
            <w:tcW w:w="1440" w:type="dxa"/>
            <w:shd w:val="clear" w:color="auto" w:fill="auto"/>
          </w:tcPr>
          <w:p w:rsidR="004E6A45" w:rsidRPr="00EE687B" w:rsidRDefault="004E6A45" w:rsidP="00EE687B">
            <w:pPr>
              <w:autoSpaceDE w:val="0"/>
              <w:autoSpaceDN w:val="0"/>
              <w:adjustRightInd w:val="0"/>
              <w:spacing w:after="120"/>
              <w:jc w:val="center"/>
              <w:rPr>
                <w:sz w:val="22"/>
                <w:szCs w:val="22"/>
              </w:rPr>
            </w:pPr>
            <w:r w:rsidRPr="00EE687B">
              <w:rPr>
                <w:sz w:val="22"/>
                <w:szCs w:val="22"/>
              </w:rPr>
              <w:t>77.8</w:t>
            </w:r>
          </w:p>
        </w:tc>
      </w:tr>
      <w:tr w:rsidR="004E6A45" w:rsidRPr="00EE687B" w:rsidTr="00EE687B">
        <w:tc>
          <w:tcPr>
            <w:tcW w:w="1446" w:type="dxa"/>
            <w:shd w:val="clear" w:color="auto" w:fill="auto"/>
          </w:tcPr>
          <w:p w:rsidR="004E6A45" w:rsidRPr="00EE687B" w:rsidRDefault="004E6A45" w:rsidP="00EE687B">
            <w:pPr>
              <w:autoSpaceDE w:val="0"/>
              <w:autoSpaceDN w:val="0"/>
              <w:adjustRightInd w:val="0"/>
              <w:spacing w:after="120"/>
              <w:jc w:val="right"/>
              <w:rPr>
                <w:b/>
                <w:sz w:val="22"/>
                <w:szCs w:val="22"/>
              </w:rPr>
            </w:pPr>
            <w:r w:rsidRPr="00EE687B">
              <w:rPr>
                <w:b/>
                <w:sz w:val="22"/>
                <w:szCs w:val="22"/>
              </w:rPr>
              <w:t>Black</w:t>
            </w:r>
          </w:p>
        </w:tc>
        <w:tc>
          <w:tcPr>
            <w:tcW w:w="1298" w:type="dxa"/>
            <w:shd w:val="clear" w:color="auto" w:fill="auto"/>
          </w:tcPr>
          <w:p w:rsidR="004E6A45" w:rsidRPr="00EE687B" w:rsidRDefault="004E6A45" w:rsidP="00EE687B">
            <w:pPr>
              <w:autoSpaceDE w:val="0"/>
              <w:autoSpaceDN w:val="0"/>
              <w:adjustRightInd w:val="0"/>
              <w:spacing w:after="120"/>
              <w:jc w:val="center"/>
              <w:rPr>
                <w:sz w:val="22"/>
                <w:szCs w:val="22"/>
              </w:rPr>
            </w:pPr>
            <w:r w:rsidRPr="00EE687B">
              <w:rPr>
                <w:sz w:val="22"/>
                <w:szCs w:val="22"/>
              </w:rPr>
              <w:t>104</w:t>
            </w:r>
          </w:p>
        </w:tc>
        <w:tc>
          <w:tcPr>
            <w:tcW w:w="1573" w:type="dxa"/>
            <w:shd w:val="clear" w:color="auto" w:fill="auto"/>
          </w:tcPr>
          <w:p w:rsidR="004E6A45" w:rsidRPr="00EE687B" w:rsidRDefault="004E6A45" w:rsidP="00EE687B">
            <w:pPr>
              <w:autoSpaceDE w:val="0"/>
              <w:autoSpaceDN w:val="0"/>
              <w:adjustRightInd w:val="0"/>
              <w:spacing w:after="120"/>
              <w:jc w:val="center"/>
              <w:rPr>
                <w:sz w:val="22"/>
                <w:szCs w:val="22"/>
              </w:rPr>
            </w:pPr>
            <w:r w:rsidRPr="00EE687B">
              <w:rPr>
                <w:sz w:val="22"/>
                <w:szCs w:val="22"/>
              </w:rPr>
              <w:t>18</w:t>
            </w:r>
          </w:p>
        </w:tc>
        <w:tc>
          <w:tcPr>
            <w:tcW w:w="1551" w:type="dxa"/>
            <w:shd w:val="clear" w:color="auto" w:fill="auto"/>
          </w:tcPr>
          <w:p w:rsidR="004E6A45" w:rsidRPr="00EE687B" w:rsidRDefault="004E6A45" w:rsidP="00EE687B">
            <w:pPr>
              <w:autoSpaceDE w:val="0"/>
              <w:autoSpaceDN w:val="0"/>
              <w:adjustRightInd w:val="0"/>
              <w:spacing w:after="120"/>
              <w:jc w:val="center"/>
              <w:rPr>
                <w:sz w:val="22"/>
                <w:szCs w:val="22"/>
              </w:rPr>
            </w:pPr>
            <w:r w:rsidRPr="00EE687B">
              <w:rPr>
                <w:sz w:val="22"/>
                <w:szCs w:val="22"/>
              </w:rPr>
              <w:t>86</w:t>
            </w:r>
          </w:p>
        </w:tc>
        <w:tc>
          <w:tcPr>
            <w:tcW w:w="1440" w:type="dxa"/>
            <w:shd w:val="clear" w:color="auto" w:fill="auto"/>
          </w:tcPr>
          <w:p w:rsidR="004E6A45" w:rsidRPr="00EE687B" w:rsidRDefault="004E6A45" w:rsidP="00EE687B">
            <w:pPr>
              <w:autoSpaceDE w:val="0"/>
              <w:autoSpaceDN w:val="0"/>
              <w:adjustRightInd w:val="0"/>
              <w:spacing w:after="120"/>
              <w:jc w:val="center"/>
              <w:rPr>
                <w:sz w:val="22"/>
                <w:szCs w:val="22"/>
              </w:rPr>
            </w:pPr>
            <w:r w:rsidRPr="00EE687B">
              <w:rPr>
                <w:sz w:val="22"/>
                <w:szCs w:val="22"/>
              </w:rPr>
              <w:t>14.2</w:t>
            </w:r>
          </w:p>
        </w:tc>
      </w:tr>
      <w:tr w:rsidR="004E6A45" w:rsidRPr="00EE687B" w:rsidTr="00EE687B">
        <w:tc>
          <w:tcPr>
            <w:tcW w:w="1446" w:type="dxa"/>
            <w:shd w:val="clear" w:color="auto" w:fill="auto"/>
          </w:tcPr>
          <w:p w:rsidR="004E6A45" w:rsidRPr="00EE687B" w:rsidRDefault="004E6A45" w:rsidP="00EE687B">
            <w:pPr>
              <w:autoSpaceDE w:val="0"/>
              <w:autoSpaceDN w:val="0"/>
              <w:adjustRightInd w:val="0"/>
              <w:spacing w:after="120"/>
              <w:jc w:val="right"/>
              <w:rPr>
                <w:b/>
                <w:sz w:val="22"/>
                <w:szCs w:val="22"/>
              </w:rPr>
            </w:pPr>
            <w:r w:rsidRPr="00EE687B">
              <w:rPr>
                <w:b/>
                <w:sz w:val="22"/>
                <w:szCs w:val="22"/>
              </w:rPr>
              <w:t>Asian</w:t>
            </w:r>
          </w:p>
        </w:tc>
        <w:tc>
          <w:tcPr>
            <w:tcW w:w="1298" w:type="dxa"/>
            <w:shd w:val="clear" w:color="auto" w:fill="auto"/>
          </w:tcPr>
          <w:p w:rsidR="004E6A45" w:rsidRPr="00EE687B" w:rsidRDefault="004E6A45" w:rsidP="00EE687B">
            <w:pPr>
              <w:autoSpaceDE w:val="0"/>
              <w:autoSpaceDN w:val="0"/>
              <w:adjustRightInd w:val="0"/>
              <w:spacing w:after="120"/>
              <w:jc w:val="center"/>
              <w:rPr>
                <w:sz w:val="22"/>
                <w:szCs w:val="22"/>
              </w:rPr>
            </w:pPr>
            <w:r w:rsidRPr="00EE687B">
              <w:rPr>
                <w:sz w:val="22"/>
                <w:szCs w:val="22"/>
              </w:rPr>
              <w:t>47</w:t>
            </w:r>
          </w:p>
        </w:tc>
        <w:tc>
          <w:tcPr>
            <w:tcW w:w="1573" w:type="dxa"/>
            <w:shd w:val="clear" w:color="auto" w:fill="auto"/>
          </w:tcPr>
          <w:p w:rsidR="004E6A45" w:rsidRPr="00EE687B" w:rsidRDefault="004E6A45" w:rsidP="00EE687B">
            <w:pPr>
              <w:autoSpaceDE w:val="0"/>
              <w:autoSpaceDN w:val="0"/>
              <w:adjustRightInd w:val="0"/>
              <w:spacing w:after="120"/>
              <w:jc w:val="center"/>
              <w:rPr>
                <w:sz w:val="22"/>
                <w:szCs w:val="22"/>
              </w:rPr>
            </w:pPr>
            <w:r w:rsidRPr="00EE687B">
              <w:rPr>
                <w:sz w:val="22"/>
                <w:szCs w:val="22"/>
              </w:rPr>
              <w:t>3</w:t>
            </w:r>
          </w:p>
        </w:tc>
        <w:tc>
          <w:tcPr>
            <w:tcW w:w="1551" w:type="dxa"/>
            <w:shd w:val="clear" w:color="auto" w:fill="auto"/>
          </w:tcPr>
          <w:p w:rsidR="004E6A45" w:rsidRPr="00EE687B" w:rsidRDefault="004E6A45" w:rsidP="00EE687B">
            <w:pPr>
              <w:autoSpaceDE w:val="0"/>
              <w:autoSpaceDN w:val="0"/>
              <w:adjustRightInd w:val="0"/>
              <w:spacing w:after="120"/>
              <w:jc w:val="center"/>
              <w:rPr>
                <w:sz w:val="22"/>
                <w:szCs w:val="22"/>
              </w:rPr>
            </w:pPr>
            <w:r w:rsidRPr="00EE687B">
              <w:rPr>
                <w:sz w:val="22"/>
                <w:szCs w:val="22"/>
              </w:rPr>
              <w:t>44</w:t>
            </w:r>
          </w:p>
        </w:tc>
        <w:tc>
          <w:tcPr>
            <w:tcW w:w="1440" w:type="dxa"/>
            <w:shd w:val="clear" w:color="auto" w:fill="auto"/>
          </w:tcPr>
          <w:p w:rsidR="004E6A45" w:rsidRPr="00EE687B" w:rsidRDefault="004E6A45" w:rsidP="00EE687B">
            <w:pPr>
              <w:autoSpaceDE w:val="0"/>
              <w:autoSpaceDN w:val="0"/>
              <w:adjustRightInd w:val="0"/>
              <w:spacing w:after="120"/>
              <w:jc w:val="center"/>
              <w:rPr>
                <w:sz w:val="22"/>
                <w:szCs w:val="22"/>
              </w:rPr>
            </w:pPr>
            <w:r w:rsidRPr="00EE687B">
              <w:rPr>
                <w:sz w:val="22"/>
                <w:szCs w:val="22"/>
              </w:rPr>
              <w:t>6.4</w:t>
            </w:r>
          </w:p>
        </w:tc>
      </w:tr>
      <w:tr w:rsidR="004E6A45" w:rsidRPr="00EE687B" w:rsidTr="00EE687B">
        <w:tc>
          <w:tcPr>
            <w:tcW w:w="1446" w:type="dxa"/>
            <w:shd w:val="clear" w:color="auto" w:fill="auto"/>
          </w:tcPr>
          <w:p w:rsidR="004E6A45" w:rsidRPr="00EE687B" w:rsidRDefault="004E6A45" w:rsidP="00EE687B">
            <w:pPr>
              <w:autoSpaceDE w:val="0"/>
              <w:autoSpaceDN w:val="0"/>
              <w:adjustRightInd w:val="0"/>
              <w:spacing w:after="120"/>
              <w:jc w:val="right"/>
              <w:rPr>
                <w:b/>
                <w:sz w:val="22"/>
                <w:szCs w:val="22"/>
              </w:rPr>
            </w:pPr>
            <w:r w:rsidRPr="00EE687B">
              <w:rPr>
                <w:b/>
                <w:sz w:val="22"/>
                <w:szCs w:val="22"/>
              </w:rPr>
              <w:t>Other</w:t>
            </w:r>
          </w:p>
        </w:tc>
        <w:tc>
          <w:tcPr>
            <w:tcW w:w="1298" w:type="dxa"/>
            <w:shd w:val="clear" w:color="auto" w:fill="auto"/>
          </w:tcPr>
          <w:p w:rsidR="004E6A45" w:rsidRPr="00EE687B" w:rsidRDefault="004E6A45" w:rsidP="00EE687B">
            <w:pPr>
              <w:autoSpaceDE w:val="0"/>
              <w:autoSpaceDN w:val="0"/>
              <w:adjustRightInd w:val="0"/>
              <w:spacing w:after="120"/>
              <w:jc w:val="center"/>
              <w:rPr>
                <w:sz w:val="22"/>
                <w:szCs w:val="22"/>
              </w:rPr>
            </w:pPr>
            <w:r w:rsidRPr="00EE687B">
              <w:rPr>
                <w:sz w:val="22"/>
                <w:szCs w:val="22"/>
              </w:rPr>
              <w:t>12</w:t>
            </w:r>
          </w:p>
        </w:tc>
        <w:tc>
          <w:tcPr>
            <w:tcW w:w="1573" w:type="dxa"/>
            <w:shd w:val="clear" w:color="auto" w:fill="auto"/>
          </w:tcPr>
          <w:p w:rsidR="004E6A45" w:rsidRPr="00EE687B" w:rsidRDefault="004E6A45" w:rsidP="00EE687B">
            <w:pPr>
              <w:autoSpaceDE w:val="0"/>
              <w:autoSpaceDN w:val="0"/>
              <w:adjustRightInd w:val="0"/>
              <w:spacing w:after="120"/>
              <w:jc w:val="center"/>
              <w:rPr>
                <w:sz w:val="22"/>
                <w:szCs w:val="22"/>
              </w:rPr>
            </w:pPr>
            <w:r w:rsidRPr="00EE687B">
              <w:rPr>
                <w:sz w:val="22"/>
                <w:szCs w:val="22"/>
              </w:rPr>
              <w:t>2</w:t>
            </w:r>
          </w:p>
        </w:tc>
        <w:tc>
          <w:tcPr>
            <w:tcW w:w="1551" w:type="dxa"/>
            <w:shd w:val="clear" w:color="auto" w:fill="auto"/>
          </w:tcPr>
          <w:p w:rsidR="004E6A45" w:rsidRPr="00EE687B" w:rsidRDefault="004E6A45" w:rsidP="00EE687B">
            <w:pPr>
              <w:autoSpaceDE w:val="0"/>
              <w:autoSpaceDN w:val="0"/>
              <w:adjustRightInd w:val="0"/>
              <w:spacing w:after="120"/>
              <w:jc w:val="center"/>
              <w:rPr>
                <w:sz w:val="22"/>
                <w:szCs w:val="22"/>
              </w:rPr>
            </w:pPr>
            <w:r w:rsidRPr="00EE687B">
              <w:rPr>
                <w:sz w:val="22"/>
                <w:szCs w:val="22"/>
              </w:rPr>
              <w:t>10</w:t>
            </w:r>
          </w:p>
        </w:tc>
        <w:tc>
          <w:tcPr>
            <w:tcW w:w="1440" w:type="dxa"/>
            <w:shd w:val="clear" w:color="auto" w:fill="auto"/>
          </w:tcPr>
          <w:p w:rsidR="004E6A45" w:rsidRPr="00EE687B" w:rsidRDefault="004E6A45" w:rsidP="00EE687B">
            <w:pPr>
              <w:autoSpaceDE w:val="0"/>
              <w:autoSpaceDN w:val="0"/>
              <w:adjustRightInd w:val="0"/>
              <w:spacing w:after="120"/>
              <w:jc w:val="center"/>
              <w:rPr>
                <w:sz w:val="22"/>
                <w:szCs w:val="22"/>
              </w:rPr>
            </w:pPr>
            <w:r w:rsidRPr="00EE687B">
              <w:rPr>
                <w:sz w:val="22"/>
                <w:szCs w:val="22"/>
              </w:rPr>
              <w:t>1.6</w:t>
            </w:r>
          </w:p>
        </w:tc>
      </w:tr>
    </w:tbl>
    <w:p w:rsidR="00FB5916" w:rsidRDefault="00FB5916" w:rsidP="00A97D00">
      <w:pPr>
        <w:autoSpaceDE w:val="0"/>
        <w:autoSpaceDN w:val="0"/>
        <w:adjustRightInd w:val="0"/>
        <w:spacing w:after="120"/>
        <w:rPr>
          <w:b/>
          <w:sz w:val="22"/>
          <w:szCs w:val="22"/>
        </w:rPr>
      </w:pPr>
    </w:p>
    <w:p w:rsidR="00875A44" w:rsidRPr="00570717" w:rsidRDefault="00A97D00" w:rsidP="00A97D00">
      <w:pPr>
        <w:autoSpaceDE w:val="0"/>
        <w:autoSpaceDN w:val="0"/>
        <w:adjustRightInd w:val="0"/>
        <w:spacing w:after="120"/>
        <w:rPr>
          <w:b/>
          <w:sz w:val="22"/>
          <w:szCs w:val="22"/>
        </w:rPr>
      </w:pPr>
      <w:r w:rsidRPr="007F37AF">
        <w:rPr>
          <w:b/>
          <w:sz w:val="22"/>
          <w:szCs w:val="22"/>
          <w:u w:val="single"/>
        </w:rPr>
        <w:t>Results</w:t>
      </w:r>
      <w:r w:rsidRPr="007F37AF">
        <w:rPr>
          <w:b/>
          <w:sz w:val="22"/>
          <w:szCs w:val="22"/>
        </w:rPr>
        <w:t xml:space="preserve">: </w:t>
      </w:r>
      <w:r w:rsidR="007B485B">
        <w:rPr>
          <w:b/>
          <w:sz w:val="22"/>
          <w:szCs w:val="22"/>
        </w:rPr>
        <w:t xml:space="preserve">Based on the F statistic from a Wald test </w:t>
      </w:r>
      <w:r w:rsidR="00570717">
        <w:rPr>
          <w:b/>
          <w:sz w:val="22"/>
          <w:szCs w:val="22"/>
        </w:rPr>
        <w:t xml:space="preserve">comparing the </w:t>
      </w:r>
      <w:r w:rsidR="007B485B">
        <w:rPr>
          <w:b/>
          <w:sz w:val="22"/>
          <w:szCs w:val="22"/>
        </w:rPr>
        <w:t xml:space="preserve">fit of the </w:t>
      </w:r>
      <w:r w:rsidR="00570717">
        <w:rPr>
          <w:b/>
          <w:sz w:val="22"/>
          <w:szCs w:val="22"/>
        </w:rPr>
        <w:t>models</w:t>
      </w:r>
      <w:r w:rsidR="00C97E06" w:rsidRPr="007F37AF">
        <w:rPr>
          <w:b/>
          <w:sz w:val="22"/>
          <w:szCs w:val="22"/>
        </w:rPr>
        <w:t xml:space="preserve">, we conclude that there is </w:t>
      </w:r>
      <w:r w:rsidR="00A8203C">
        <w:rPr>
          <w:b/>
          <w:sz w:val="22"/>
          <w:szCs w:val="22"/>
        </w:rPr>
        <w:t xml:space="preserve">not </w:t>
      </w:r>
      <w:r w:rsidR="00C97E06" w:rsidRPr="007F37AF">
        <w:rPr>
          <w:b/>
          <w:sz w:val="22"/>
          <w:szCs w:val="22"/>
        </w:rPr>
        <w:t xml:space="preserve">a significant association between diabetes and race, based on a 2 sided p value </w:t>
      </w:r>
      <w:r w:rsidR="00094091">
        <w:rPr>
          <w:b/>
          <w:sz w:val="22"/>
          <w:szCs w:val="22"/>
        </w:rPr>
        <w:t>0.</w:t>
      </w:r>
      <w:commentRangeStart w:id="3"/>
      <w:r w:rsidR="00094091">
        <w:rPr>
          <w:b/>
          <w:sz w:val="22"/>
          <w:szCs w:val="22"/>
        </w:rPr>
        <w:t>09626</w:t>
      </w:r>
      <w:commentRangeEnd w:id="3"/>
      <w:r w:rsidR="00A94733">
        <w:rPr>
          <w:rStyle w:val="CommentReference"/>
        </w:rPr>
        <w:commentReference w:id="3"/>
      </w:r>
      <w:r w:rsidR="00875A44" w:rsidRPr="007F37AF">
        <w:rPr>
          <w:b/>
          <w:sz w:val="22"/>
          <w:szCs w:val="22"/>
        </w:rPr>
        <w:t xml:space="preserve">. </w:t>
      </w:r>
    </w:p>
    <w:p w:rsidR="00CD25DA" w:rsidRDefault="00C359E5" w:rsidP="00BF7EC1">
      <w:pPr>
        <w:numPr>
          <w:ilvl w:val="1"/>
          <w:numId w:val="19"/>
        </w:numPr>
        <w:autoSpaceDE w:val="0"/>
        <w:autoSpaceDN w:val="0"/>
        <w:adjustRightInd w:val="0"/>
        <w:spacing w:after="120"/>
        <w:rPr>
          <w:sz w:val="22"/>
          <w:szCs w:val="22"/>
        </w:rPr>
      </w:pPr>
      <w:commentRangeStart w:id="4"/>
      <w:r>
        <w:rPr>
          <w:sz w:val="22"/>
          <w:szCs w:val="22"/>
        </w:rPr>
        <w:t>Using</w:t>
      </w:r>
      <w:commentRangeEnd w:id="4"/>
      <w:r w:rsidR="00A94733">
        <w:rPr>
          <w:rStyle w:val="CommentReference"/>
        </w:rPr>
        <w:commentReference w:id="4"/>
      </w:r>
      <w:r>
        <w:rPr>
          <w:sz w:val="22"/>
          <w:szCs w:val="22"/>
        </w:rPr>
        <w:t xml:space="preserve"> the regression model fit in part </w:t>
      </w:r>
      <w:r w:rsidR="00BF7EC1">
        <w:rPr>
          <w:sz w:val="22"/>
          <w:szCs w:val="22"/>
        </w:rPr>
        <w:t>(a)</w:t>
      </w:r>
      <w:r>
        <w:rPr>
          <w:sz w:val="22"/>
          <w:szCs w:val="22"/>
        </w:rPr>
        <w:t xml:space="preserve">, provide </w:t>
      </w:r>
      <w:r w:rsidR="00CD25DA">
        <w:rPr>
          <w:sz w:val="22"/>
          <w:szCs w:val="22"/>
        </w:rPr>
        <w:t>an interpretation for each of the regression parameters (including the intercept).</w:t>
      </w:r>
    </w:p>
    <w:p w:rsidR="00875A44" w:rsidRPr="007F37AF" w:rsidRDefault="00875A44" w:rsidP="007F37AF">
      <w:pPr>
        <w:autoSpaceDE w:val="0"/>
        <w:autoSpaceDN w:val="0"/>
        <w:adjustRightInd w:val="0"/>
        <w:spacing w:after="120"/>
        <w:rPr>
          <w:b/>
          <w:sz w:val="22"/>
          <w:szCs w:val="22"/>
        </w:rPr>
      </w:pPr>
      <w:r w:rsidRPr="007F37AF">
        <w:rPr>
          <w:b/>
          <w:sz w:val="22"/>
          <w:szCs w:val="22"/>
        </w:rPr>
        <w:t xml:space="preserve">The intercept parameter represents the odds of having diabetes for white subjects, compared to the rest of the study population. </w:t>
      </w:r>
      <w:r w:rsidR="007F37AF" w:rsidRPr="007F37AF">
        <w:rPr>
          <w:b/>
          <w:sz w:val="22"/>
          <w:szCs w:val="22"/>
        </w:rPr>
        <w:t xml:space="preserve">The interpretation of the first, second, and third slope parameters is the odds ratio of having diabetes for black, Asian, and other-raced subjects, respectively, relative to white subjects. </w:t>
      </w:r>
      <w:r w:rsidRPr="007F37AF">
        <w:rPr>
          <w:b/>
          <w:sz w:val="22"/>
          <w:szCs w:val="22"/>
        </w:rPr>
        <w:t xml:space="preserve">Since there </w:t>
      </w:r>
      <w:r w:rsidR="007F37AF" w:rsidRPr="007F37AF">
        <w:rPr>
          <w:b/>
          <w:sz w:val="22"/>
          <w:szCs w:val="22"/>
        </w:rPr>
        <w:t xml:space="preserve">were no other predictors </w:t>
      </w:r>
      <w:r w:rsidR="007F37AF">
        <w:rPr>
          <w:b/>
          <w:sz w:val="22"/>
          <w:szCs w:val="22"/>
        </w:rPr>
        <w:t>besides</w:t>
      </w:r>
      <w:r w:rsidR="007F37AF" w:rsidRPr="007F37AF">
        <w:rPr>
          <w:b/>
          <w:sz w:val="22"/>
          <w:szCs w:val="22"/>
        </w:rPr>
        <w:t xml:space="preserve"> race in this model, these parameter estimates correspond exactly with the odds ratios observ</w:t>
      </w:r>
      <w:r w:rsidR="007F37AF">
        <w:rPr>
          <w:b/>
          <w:sz w:val="22"/>
          <w:szCs w:val="22"/>
        </w:rPr>
        <w:t>able</w:t>
      </w:r>
      <w:r w:rsidR="007F37AF" w:rsidRPr="007F37AF">
        <w:rPr>
          <w:b/>
          <w:sz w:val="22"/>
          <w:szCs w:val="22"/>
        </w:rPr>
        <w:t xml:space="preserve"> </w:t>
      </w:r>
      <w:r w:rsidR="007F37AF">
        <w:rPr>
          <w:b/>
          <w:sz w:val="22"/>
          <w:szCs w:val="22"/>
        </w:rPr>
        <w:t>with</w:t>
      </w:r>
      <w:r w:rsidR="007F37AF" w:rsidRPr="007F37AF">
        <w:rPr>
          <w:b/>
          <w:sz w:val="22"/>
          <w:szCs w:val="22"/>
        </w:rPr>
        <w:t xml:space="preserve">in the </w:t>
      </w:r>
      <w:r w:rsidR="007F37AF">
        <w:rPr>
          <w:b/>
          <w:sz w:val="22"/>
          <w:szCs w:val="22"/>
        </w:rPr>
        <w:t>sample</w:t>
      </w:r>
      <w:r w:rsidR="007F37AF" w:rsidRPr="007F37AF">
        <w:rPr>
          <w:b/>
          <w:sz w:val="22"/>
          <w:szCs w:val="22"/>
        </w:rPr>
        <w:t xml:space="preserve">. </w:t>
      </w:r>
    </w:p>
    <w:p w:rsidR="00C359E5" w:rsidRDefault="00CD25DA" w:rsidP="00CD25DA">
      <w:pPr>
        <w:numPr>
          <w:ilvl w:val="1"/>
          <w:numId w:val="19"/>
        </w:numPr>
        <w:autoSpaceDE w:val="0"/>
        <w:autoSpaceDN w:val="0"/>
        <w:adjustRightInd w:val="0"/>
        <w:spacing w:after="120"/>
        <w:rPr>
          <w:sz w:val="22"/>
          <w:szCs w:val="22"/>
        </w:rPr>
      </w:pPr>
      <w:commentRangeStart w:id="5"/>
      <w:r>
        <w:rPr>
          <w:sz w:val="22"/>
          <w:szCs w:val="22"/>
        </w:rPr>
        <w:t>If</w:t>
      </w:r>
      <w:commentRangeEnd w:id="5"/>
      <w:r w:rsidR="00A94733">
        <w:rPr>
          <w:rStyle w:val="CommentReference"/>
        </w:rPr>
        <w:commentReference w:id="5"/>
      </w:r>
      <w:r>
        <w:rPr>
          <w:sz w:val="22"/>
          <w:szCs w:val="22"/>
        </w:rPr>
        <w:t xml:space="preserve"> we were to ignore issue related to multiple comparisons, what conclusions would you reach based on the p values reported in the regression output</w:t>
      </w:r>
      <w:r w:rsidR="00BF7EC1">
        <w:rPr>
          <w:sz w:val="22"/>
          <w:szCs w:val="22"/>
        </w:rPr>
        <w:t xml:space="preserve"> from part (a)</w:t>
      </w:r>
      <w:r>
        <w:rPr>
          <w:sz w:val="22"/>
          <w:szCs w:val="22"/>
        </w:rPr>
        <w:t xml:space="preserve"> using a 0.05 level of significance.</w:t>
      </w:r>
    </w:p>
    <w:p w:rsidR="007F37AF" w:rsidRPr="007F37AF" w:rsidRDefault="00570717" w:rsidP="00CD27B5">
      <w:pPr>
        <w:autoSpaceDE w:val="0"/>
        <w:autoSpaceDN w:val="0"/>
        <w:adjustRightInd w:val="0"/>
        <w:spacing w:after="120"/>
        <w:rPr>
          <w:b/>
          <w:sz w:val="22"/>
          <w:szCs w:val="22"/>
        </w:rPr>
      </w:pPr>
      <w:r>
        <w:rPr>
          <w:b/>
          <w:sz w:val="22"/>
          <w:szCs w:val="22"/>
        </w:rPr>
        <w:t xml:space="preserve">Contrary to the results in </w:t>
      </w:r>
      <w:r w:rsidR="007F37AF" w:rsidRPr="007F37AF">
        <w:rPr>
          <w:b/>
          <w:sz w:val="22"/>
          <w:szCs w:val="22"/>
        </w:rPr>
        <w:t>part (a), we conclude that there is a significant association between diabetes and race</w:t>
      </w:r>
      <w:r w:rsidR="007F37AF">
        <w:rPr>
          <w:b/>
          <w:sz w:val="22"/>
          <w:szCs w:val="22"/>
        </w:rPr>
        <w:t xml:space="preserve">. </w:t>
      </w:r>
      <w:r>
        <w:rPr>
          <w:b/>
          <w:sz w:val="22"/>
          <w:szCs w:val="22"/>
        </w:rPr>
        <w:t>Based on the logistic regression model u</w:t>
      </w:r>
      <w:r w:rsidR="007F37AF" w:rsidRPr="007F37AF">
        <w:rPr>
          <w:b/>
          <w:sz w:val="22"/>
          <w:szCs w:val="22"/>
        </w:rPr>
        <w:t xml:space="preserve">sing white subjects as a reference group, </w:t>
      </w:r>
      <w:r w:rsidR="00CD27B5">
        <w:rPr>
          <w:b/>
          <w:sz w:val="22"/>
          <w:szCs w:val="22"/>
        </w:rPr>
        <w:t xml:space="preserve">the odds of having diabetes was 92.8% higher for </w:t>
      </w:r>
      <w:r>
        <w:rPr>
          <w:b/>
          <w:sz w:val="22"/>
          <w:szCs w:val="22"/>
        </w:rPr>
        <w:t>black subjects</w:t>
      </w:r>
      <w:r w:rsidR="007F37AF" w:rsidRPr="007F37AF">
        <w:rPr>
          <w:b/>
          <w:sz w:val="22"/>
          <w:szCs w:val="22"/>
        </w:rPr>
        <w:t xml:space="preserve">, when compared to </w:t>
      </w:r>
      <w:r>
        <w:rPr>
          <w:b/>
          <w:sz w:val="22"/>
          <w:szCs w:val="22"/>
        </w:rPr>
        <w:t>white subjects</w:t>
      </w:r>
      <w:r w:rsidR="007F37AF">
        <w:rPr>
          <w:b/>
          <w:sz w:val="22"/>
          <w:szCs w:val="22"/>
        </w:rPr>
        <w:t xml:space="preserve"> (two-</w:t>
      </w:r>
      <w:r>
        <w:rPr>
          <w:b/>
          <w:sz w:val="22"/>
          <w:szCs w:val="22"/>
        </w:rPr>
        <w:t xml:space="preserve">sided p value </w:t>
      </w:r>
      <w:r w:rsidRPr="00570717">
        <w:rPr>
          <w:b/>
          <w:sz w:val="22"/>
          <w:szCs w:val="22"/>
        </w:rPr>
        <w:t>0.0259</w:t>
      </w:r>
      <w:r w:rsidR="007F37AF">
        <w:rPr>
          <w:b/>
          <w:sz w:val="22"/>
          <w:szCs w:val="22"/>
        </w:rPr>
        <w:t>)</w:t>
      </w:r>
      <w:r>
        <w:rPr>
          <w:b/>
          <w:sz w:val="22"/>
          <w:szCs w:val="22"/>
        </w:rPr>
        <w:t xml:space="preserve"> </w:t>
      </w:r>
      <w:r w:rsidR="00CD27B5">
        <w:rPr>
          <w:b/>
          <w:sz w:val="22"/>
          <w:szCs w:val="22"/>
        </w:rPr>
        <w:t xml:space="preserve">(diabetes </w:t>
      </w:r>
      <w:r>
        <w:rPr>
          <w:b/>
          <w:sz w:val="22"/>
          <w:szCs w:val="22"/>
        </w:rPr>
        <w:t>odds ratio = 1.93</w:t>
      </w:r>
      <w:r w:rsidR="00CD27B5">
        <w:rPr>
          <w:b/>
          <w:sz w:val="22"/>
          <w:szCs w:val="22"/>
        </w:rPr>
        <w:t>)</w:t>
      </w:r>
      <w:r w:rsidR="007F37AF" w:rsidRPr="007F37AF">
        <w:rPr>
          <w:b/>
          <w:sz w:val="22"/>
          <w:szCs w:val="22"/>
        </w:rPr>
        <w:t xml:space="preserve">. </w:t>
      </w:r>
      <w:r w:rsidR="00CD27B5">
        <w:rPr>
          <w:b/>
          <w:sz w:val="22"/>
          <w:szCs w:val="22"/>
        </w:rPr>
        <w:t xml:space="preserve"> </w:t>
      </w:r>
      <w:r w:rsidR="00CD27B5" w:rsidRPr="00CD27B5">
        <w:rPr>
          <w:b/>
          <w:sz w:val="22"/>
          <w:szCs w:val="22"/>
        </w:rPr>
        <w:t xml:space="preserve">Based on a 95% confidence interval, this observed odds ratio suggesting higher </w:t>
      </w:r>
      <w:r w:rsidR="00CD27B5">
        <w:rPr>
          <w:b/>
          <w:sz w:val="22"/>
          <w:szCs w:val="22"/>
        </w:rPr>
        <w:t>diabetes probability</w:t>
      </w:r>
      <w:r w:rsidR="00CD27B5" w:rsidRPr="00CD27B5">
        <w:rPr>
          <w:b/>
          <w:sz w:val="22"/>
          <w:szCs w:val="22"/>
        </w:rPr>
        <w:t xml:space="preserve"> for </w:t>
      </w:r>
      <w:r w:rsidR="00CD27B5">
        <w:rPr>
          <w:b/>
          <w:sz w:val="22"/>
          <w:szCs w:val="22"/>
        </w:rPr>
        <w:t>black subjects</w:t>
      </w:r>
      <w:r w:rsidR="00CD27B5" w:rsidRPr="00CD27B5">
        <w:rPr>
          <w:b/>
          <w:sz w:val="22"/>
          <w:szCs w:val="22"/>
        </w:rPr>
        <w:t xml:space="preserve"> would not be judged unusual if the true </w:t>
      </w:r>
      <w:r w:rsidR="00CD27B5">
        <w:rPr>
          <w:b/>
          <w:sz w:val="22"/>
          <w:szCs w:val="22"/>
        </w:rPr>
        <w:t>odds ratio</w:t>
      </w:r>
      <w:r w:rsidR="00CD27B5" w:rsidRPr="00CD27B5">
        <w:rPr>
          <w:b/>
          <w:sz w:val="22"/>
          <w:szCs w:val="22"/>
        </w:rPr>
        <w:t xml:space="preserve"> were anywhere from </w:t>
      </w:r>
      <w:r w:rsidR="00CD27B5">
        <w:rPr>
          <w:b/>
          <w:sz w:val="22"/>
          <w:szCs w:val="22"/>
        </w:rPr>
        <w:t>8.19</w:t>
      </w:r>
      <w:r w:rsidR="00CD27B5" w:rsidRPr="00CD27B5">
        <w:rPr>
          <w:b/>
          <w:sz w:val="22"/>
          <w:szCs w:val="22"/>
        </w:rPr>
        <w:t xml:space="preserve">% to </w:t>
      </w:r>
      <w:r w:rsidR="00CD27B5">
        <w:rPr>
          <w:b/>
          <w:sz w:val="22"/>
          <w:szCs w:val="22"/>
        </w:rPr>
        <w:t>245</w:t>
      </w:r>
      <w:r w:rsidR="00CD27B5" w:rsidRPr="00CD27B5">
        <w:rPr>
          <w:b/>
          <w:sz w:val="22"/>
          <w:szCs w:val="22"/>
        </w:rPr>
        <w:t xml:space="preserve">% higher odds of </w:t>
      </w:r>
      <w:r w:rsidR="00CD27B5">
        <w:rPr>
          <w:b/>
          <w:sz w:val="22"/>
          <w:szCs w:val="22"/>
        </w:rPr>
        <w:t>diabetes</w:t>
      </w:r>
      <w:r w:rsidR="00CD27B5" w:rsidRPr="00CD27B5">
        <w:rPr>
          <w:b/>
          <w:sz w:val="22"/>
          <w:szCs w:val="22"/>
        </w:rPr>
        <w:t xml:space="preserve"> </w:t>
      </w:r>
      <w:r w:rsidR="00CD27B5">
        <w:rPr>
          <w:b/>
          <w:sz w:val="22"/>
          <w:szCs w:val="22"/>
        </w:rPr>
        <w:t xml:space="preserve">compared to white subjects </w:t>
      </w:r>
      <w:r w:rsidR="00CD27B5" w:rsidRPr="00CD27B5">
        <w:rPr>
          <w:b/>
          <w:sz w:val="22"/>
          <w:szCs w:val="22"/>
        </w:rPr>
        <w:t xml:space="preserve">(95% CI for </w:t>
      </w:r>
      <w:r w:rsidR="00CD27B5">
        <w:rPr>
          <w:b/>
          <w:sz w:val="22"/>
          <w:szCs w:val="22"/>
        </w:rPr>
        <w:t>diabetes</w:t>
      </w:r>
      <w:r w:rsidR="00CD27B5" w:rsidRPr="00CD27B5">
        <w:rPr>
          <w:b/>
          <w:sz w:val="22"/>
          <w:szCs w:val="22"/>
        </w:rPr>
        <w:t xml:space="preserve"> odds ratio 1.08</w:t>
      </w:r>
      <w:r w:rsidR="00CD27B5">
        <w:rPr>
          <w:b/>
          <w:sz w:val="22"/>
          <w:szCs w:val="22"/>
        </w:rPr>
        <w:t>2 to</w:t>
      </w:r>
      <w:r w:rsidR="00CD27B5" w:rsidRPr="00CD27B5">
        <w:rPr>
          <w:b/>
          <w:sz w:val="22"/>
          <w:szCs w:val="22"/>
        </w:rPr>
        <w:t xml:space="preserve"> 3.43</w:t>
      </w:r>
      <w:r w:rsidR="00CD27B5">
        <w:rPr>
          <w:b/>
          <w:sz w:val="22"/>
          <w:szCs w:val="22"/>
        </w:rPr>
        <w:t>8</w:t>
      </w:r>
      <w:r w:rsidR="00CD27B5" w:rsidRPr="00CD27B5">
        <w:rPr>
          <w:b/>
          <w:sz w:val="22"/>
          <w:szCs w:val="22"/>
        </w:rPr>
        <w:t>).</w:t>
      </w:r>
      <w:r w:rsidR="00CD27B5">
        <w:rPr>
          <w:b/>
          <w:sz w:val="22"/>
          <w:szCs w:val="22"/>
        </w:rPr>
        <w:t xml:space="preserve"> </w:t>
      </w:r>
      <w:r w:rsidR="007F37AF" w:rsidRPr="007F37AF">
        <w:rPr>
          <w:b/>
          <w:sz w:val="22"/>
          <w:szCs w:val="22"/>
        </w:rPr>
        <w:t>Asian and other races were not observed to have significantly different odds of diabetes, compared to white subjects</w:t>
      </w:r>
      <w:r>
        <w:rPr>
          <w:b/>
          <w:sz w:val="22"/>
          <w:szCs w:val="22"/>
        </w:rPr>
        <w:t xml:space="preserve"> (</w:t>
      </w:r>
      <w:r w:rsidR="00CD27B5">
        <w:rPr>
          <w:b/>
          <w:sz w:val="22"/>
          <w:szCs w:val="22"/>
        </w:rPr>
        <w:t>95% CI for diabetes odds ratio comparing Asian subjects to white subjects</w:t>
      </w:r>
      <w:r w:rsidR="0004388D">
        <w:rPr>
          <w:b/>
          <w:sz w:val="22"/>
          <w:szCs w:val="22"/>
        </w:rPr>
        <w:t>:</w:t>
      </w:r>
      <w:r w:rsidR="00CD27B5">
        <w:rPr>
          <w:b/>
          <w:sz w:val="22"/>
          <w:szCs w:val="22"/>
        </w:rPr>
        <w:t xml:space="preserve"> </w:t>
      </w:r>
      <w:r w:rsidR="00CD27B5" w:rsidRPr="00CD27B5">
        <w:rPr>
          <w:b/>
          <w:sz w:val="22"/>
          <w:szCs w:val="22"/>
        </w:rPr>
        <w:t>0.18</w:t>
      </w:r>
      <w:r w:rsidR="00CD27B5">
        <w:rPr>
          <w:b/>
          <w:sz w:val="22"/>
          <w:szCs w:val="22"/>
        </w:rPr>
        <w:t>9 to</w:t>
      </w:r>
      <w:r w:rsidR="00CD27B5" w:rsidRPr="00CD27B5">
        <w:rPr>
          <w:b/>
          <w:sz w:val="22"/>
          <w:szCs w:val="22"/>
        </w:rPr>
        <w:t xml:space="preserve"> 2.089</w:t>
      </w:r>
      <w:r w:rsidR="0004388D">
        <w:rPr>
          <w:b/>
          <w:sz w:val="22"/>
          <w:szCs w:val="22"/>
        </w:rPr>
        <w:t>,</w:t>
      </w:r>
      <w:r w:rsidR="00CD27B5">
        <w:rPr>
          <w:b/>
          <w:sz w:val="22"/>
          <w:szCs w:val="22"/>
        </w:rPr>
        <w:t xml:space="preserve"> </w:t>
      </w:r>
      <w:r w:rsidR="0004388D">
        <w:rPr>
          <w:b/>
          <w:sz w:val="22"/>
          <w:szCs w:val="22"/>
        </w:rPr>
        <w:t>two-sided p value:</w:t>
      </w:r>
      <w:r>
        <w:rPr>
          <w:b/>
          <w:sz w:val="22"/>
          <w:szCs w:val="22"/>
        </w:rPr>
        <w:t xml:space="preserve"> </w:t>
      </w:r>
      <w:r w:rsidR="0004388D">
        <w:rPr>
          <w:b/>
          <w:sz w:val="22"/>
          <w:szCs w:val="22"/>
        </w:rPr>
        <w:t xml:space="preserve">0.448. 95% CI for diabetes odds ratio comparing other-race subjects to white subjects: </w:t>
      </w:r>
      <w:r w:rsidR="00CD27B5" w:rsidRPr="00CD27B5">
        <w:rPr>
          <w:b/>
          <w:sz w:val="22"/>
          <w:szCs w:val="22"/>
        </w:rPr>
        <w:t>0.393</w:t>
      </w:r>
      <w:r w:rsidR="00CD27B5">
        <w:rPr>
          <w:b/>
          <w:sz w:val="22"/>
          <w:szCs w:val="22"/>
        </w:rPr>
        <w:t>4 to</w:t>
      </w:r>
      <w:r w:rsidR="00CD27B5" w:rsidRPr="00CD27B5">
        <w:rPr>
          <w:b/>
          <w:sz w:val="22"/>
          <w:szCs w:val="22"/>
        </w:rPr>
        <w:t xml:space="preserve"> 8.62</w:t>
      </w:r>
      <w:r w:rsidR="00CD27B5">
        <w:rPr>
          <w:b/>
          <w:sz w:val="22"/>
          <w:szCs w:val="22"/>
        </w:rPr>
        <w:t>2</w:t>
      </w:r>
      <w:r w:rsidR="0004388D">
        <w:rPr>
          <w:b/>
          <w:sz w:val="22"/>
          <w:szCs w:val="22"/>
        </w:rPr>
        <w:t>, two sided p value</w:t>
      </w:r>
      <w:r w:rsidR="00CD27B5">
        <w:rPr>
          <w:b/>
          <w:sz w:val="22"/>
          <w:szCs w:val="22"/>
        </w:rPr>
        <w:t xml:space="preserve"> </w:t>
      </w:r>
      <w:r>
        <w:rPr>
          <w:b/>
          <w:sz w:val="22"/>
          <w:szCs w:val="22"/>
        </w:rPr>
        <w:t>0.</w:t>
      </w:r>
      <w:r w:rsidR="0004388D">
        <w:rPr>
          <w:b/>
          <w:sz w:val="22"/>
          <w:szCs w:val="22"/>
        </w:rPr>
        <w:t>438</w:t>
      </w:r>
      <w:r>
        <w:rPr>
          <w:b/>
          <w:sz w:val="22"/>
          <w:szCs w:val="22"/>
        </w:rPr>
        <w:t>).</w:t>
      </w:r>
    </w:p>
    <w:p w:rsidR="00CD25DA" w:rsidRDefault="00CD25DA" w:rsidP="00BF7EC1">
      <w:pPr>
        <w:numPr>
          <w:ilvl w:val="1"/>
          <w:numId w:val="19"/>
        </w:numPr>
        <w:autoSpaceDE w:val="0"/>
        <w:autoSpaceDN w:val="0"/>
        <w:adjustRightInd w:val="0"/>
        <w:spacing w:after="120"/>
        <w:rPr>
          <w:sz w:val="22"/>
          <w:szCs w:val="22"/>
        </w:rPr>
      </w:pPr>
      <w:commentRangeStart w:id="6"/>
      <w:r>
        <w:rPr>
          <w:sz w:val="22"/>
          <w:szCs w:val="22"/>
        </w:rPr>
        <w:t>Now</w:t>
      </w:r>
      <w:commentRangeEnd w:id="6"/>
      <w:r w:rsidR="00A94733">
        <w:rPr>
          <w:rStyle w:val="CommentReference"/>
        </w:rPr>
        <w:commentReference w:id="6"/>
      </w:r>
      <w:r>
        <w:rPr>
          <w:sz w:val="22"/>
          <w:szCs w:val="22"/>
        </w:rPr>
        <w:t xml:space="preserve"> fit a logistic regression model that uses blacks as a reference group. How would your report of formal inference differ from that that you provided in part </w:t>
      </w:r>
      <w:r w:rsidR="00BF7EC1">
        <w:rPr>
          <w:sz w:val="22"/>
          <w:szCs w:val="22"/>
        </w:rPr>
        <w:t>(a)</w:t>
      </w:r>
      <w:r>
        <w:rPr>
          <w:sz w:val="22"/>
          <w:szCs w:val="22"/>
        </w:rPr>
        <w:t>?</w:t>
      </w:r>
      <w:r w:rsidR="00BF7EC1">
        <w:rPr>
          <w:sz w:val="22"/>
          <w:szCs w:val="22"/>
        </w:rPr>
        <w:t xml:space="preserve"> How does this regression model relate to that in part (a)?</w:t>
      </w:r>
    </w:p>
    <w:p w:rsidR="00B63E2A" w:rsidRDefault="0004388D" w:rsidP="0004388D">
      <w:pPr>
        <w:autoSpaceDE w:val="0"/>
        <w:autoSpaceDN w:val="0"/>
        <w:adjustRightInd w:val="0"/>
        <w:spacing w:after="120"/>
        <w:rPr>
          <w:b/>
          <w:sz w:val="22"/>
          <w:szCs w:val="22"/>
        </w:rPr>
      </w:pPr>
      <w:r w:rsidRPr="00270D80">
        <w:rPr>
          <w:b/>
          <w:sz w:val="22"/>
          <w:szCs w:val="22"/>
        </w:rPr>
        <w:t xml:space="preserve">The inference is exactly identical to part (a), since both analyses are comparing the null model to a model fitted </w:t>
      </w:r>
      <w:r w:rsidR="00270D80" w:rsidRPr="00270D80">
        <w:rPr>
          <w:b/>
          <w:sz w:val="22"/>
          <w:szCs w:val="22"/>
        </w:rPr>
        <w:t>with race. The only difference is that the new logistic regression model being compared to the unadjusted null model is a re</w:t>
      </w:r>
      <w:r w:rsidR="00B63E2A">
        <w:rPr>
          <w:b/>
          <w:sz w:val="22"/>
          <w:szCs w:val="22"/>
        </w:rPr>
        <w:t>-</w:t>
      </w:r>
      <w:r w:rsidR="00270D80" w:rsidRPr="00270D80">
        <w:rPr>
          <w:b/>
          <w:sz w:val="22"/>
          <w:szCs w:val="22"/>
        </w:rPr>
        <w:t>parameterization of that of part (a).</w:t>
      </w:r>
      <w:r w:rsidR="00270D80">
        <w:rPr>
          <w:b/>
          <w:sz w:val="22"/>
          <w:szCs w:val="22"/>
        </w:rPr>
        <w:t xml:space="preserve"> The regression model yields estimates that are consistent with part (a)</w:t>
      </w:r>
      <w:r w:rsidR="00B63E2A">
        <w:rPr>
          <w:b/>
          <w:sz w:val="22"/>
          <w:szCs w:val="22"/>
        </w:rPr>
        <w:t xml:space="preserve"> (that is we can compute the sample odds of diabetes for any </w:t>
      </w:r>
      <w:r w:rsidR="00B63E2A">
        <w:rPr>
          <w:b/>
          <w:sz w:val="22"/>
          <w:szCs w:val="22"/>
        </w:rPr>
        <w:lastRenderedPageBreak/>
        <w:t>given race based on these estimates)</w:t>
      </w:r>
      <w:r w:rsidR="00270D80">
        <w:rPr>
          <w:b/>
          <w:sz w:val="22"/>
          <w:szCs w:val="22"/>
        </w:rPr>
        <w:t xml:space="preserve">, but using black subjects as a reference group, and comparing the odds of diabetes among all other races (white, Asian and other) to that of black subjects. </w:t>
      </w:r>
    </w:p>
    <w:p w:rsidR="00CD25DA" w:rsidRDefault="00CD25DA" w:rsidP="00BF7EC1">
      <w:pPr>
        <w:numPr>
          <w:ilvl w:val="1"/>
          <w:numId w:val="19"/>
        </w:numPr>
        <w:autoSpaceDE w:val="0"/>
        <w:autoSpaceDN w:val="0"/>
        <w:adjustRightInd w:val="0"/>
        <w:spacing w:after="120"/>
        <w:rPr>
          <w:sz w:val="22"/>
          <w:szCs w:val="22"/>
        </w:rPr>
      </w:pPr>
      <w:commentRangeStart w:id="7"/>
      <w:r>
        <w:rPr>
          <w:sz w:val="22"/>
          <w:szCs w:val="22"/>
        </w:rPr>
        <w:t>Using</w:t>
      </w:r>
      <w:commentRangeEnd w:id="7"/>
      <w:r w:rsidR="00A94733">
        <w:rPr>
          <w:rStyle w:val="CommentReference"/>
        </w:rPr>
        <w:commentReference w:id="7"/>
      </w:r>
      <w:r>
        <w:rPr>
          <w:sz w:val="22"/>
          <w:szCs w:val="22"/>
        </w:rPr>
        <w:t xml:space="preserve"> the regression model fit in part </w:t>
      </w:r>
      <w:r w:rsidR="00BF7EC1">
        <w:rPr>
          <w:sz w:val="22"/>
          <w:szCs w:val="22"/>
        </w:rPr>
        <w:t>(d)</w:t>
      </w:r>
      <w:r>
        <w:rPr>
          <w:sz w:val="22"/>
          <w:szCs w:val="22"/>
        </w:rPr>
        <w:t>, provide an interpretation for each of the regression parameters (including the intercept.)</w:t>
      </w:r>
    </w:p>
    <w:p w:rsidR="00270D80" w:rsidRPr="007F37AF" w:rsidRDefault="00270D80" w:rsidP="00270D80">
      <w:pPr>
        <w:autoSpaceDE w:val="0"/>
        <w:autoSpaceDN w:val="0"/>
        <w:adjustRightInd w:val="0"/>
        <w:spacing w:after="120"/>
        <w:rPr>
          <w:b/>
          <w:sz w:val="22"/>
          <w:szCs w:val="22"/>
        </w:rPr>
      </w:pPr>
      <w:r w:rsidRPr="007F37AF">
        <w:rPr>
          <w:b/>
          <w:sz w:val="22"/>
          <w:szCs w:val="22"/>
        </w:rPr>
        <w:t xml:space="preserve">The intercept parameter represents the odds of having diabetes for </w:t>
      </w:r>
      <w:r>
        <w:rPr>
          <w:b/>
          <w:sz w:val="22"/>
          <w:szCs w:val="22"/>
        </w:rPr>
        <w:t>black</w:t>
      </w:r>
      <w:r w:rsidRPr="007F37AF">
        <w:rPr>
          <w:b/>
          <w:sz w:val="22"/>
          <w:szCs w:val="22"/>
        </w:rPr>
        <w:t xml:space="preserve"> subjects, compared to the rest of the study population. The interpretation of the first, second, and third slope parameters is the odds ratio of having diabetes for Asian, </w:t>
      </w:r>
      <w:r>
        <w:rPr>
          <w:b/>
          <w:sz w:val="22"/>
          <w:szCs w:val="22"/>
        </w:rPr>
        <w:t xml:space="preserve">other-raced, and white </w:t>
      </w:r>
      <w:r w:rsidRPr="007F37AF">
        <w:rPr>
          <w:b/>
          <w:sz w:val="22"/>
          <w:szCs w:val="22"/>
        </w:rPr>
        <w:t xml:space="preserve">subjects, respectively, relative to </w:t>
      </w:r>
      <w:r>
        <w:rPr>
          <w:b/>
          <w:sz w:val="22"/>
          <w:szCs w:val="22"/>
        </w:rPr>
        <w:t>black</w:t>
      </w:r>
      <w:r w:rsidRPr="007F37AF">
        <w:rPr>
          <w:b/>
          <w:sz w:val="22"/>
          <w:szCs w:val="22"/>
        </w:rPr>
        <w:t xml:space="preserve"> subjects. Since there were no other predictors </w:t>
      </w:r>
      <w:r>
        <w:rPr>
          <w:b/>
          <w:sz w:val="22"/>
          <w:szCs w:val="22"/>
        </w:rPr>
        <w:t>besides</w:t>
      </w:r>
      <w:r w:rsidRPr="007F37AF">
        <w:rPr>
          <w:b/>
          <w:sz w:val="22"/>
          <w:szCs w:val="22"/>
        </w:rPr>
        <w:t xml:space="preserve"> race in this model, these parameter estimates correspond exactly with the odds ratios observ</w:t>
      </w:r>
      <w:r>
        <w:rPr>
          <w:b/>
          <w:sz w:val="22"/>
          <w:szCs w:val="22"/>
        </w:rPr>
        <w:t>able</w:t>
      </w:r>
      <w:r w:rsidRPr="007F37AF">
        <w:rPr>
          <w:b/>
          <w:sz w:val="22"/>
          <w:szCs w:val="22"/>
        </w:rPr>
        <w:t xml:space="preserve"> </w:t>
      </w:r>
      <w:r>
        <w:rPr>
          <w:b/>
          <w:sz w:val="22"/>
          <w:szCs w:val="22"/>
        </w:rPr>
        <w:t>with</w:t>
      </w:r>
      <w:r w:rsidRPr="007F37AF">
        <w:rPr>
          <w:b/>
          <w:sz w:val="22"/>
          <w:szCs w:val="22"/>
        </w:rPr>
        <w:t xml:space="preserve">in the </w:t>
      </w:r>
      <w:r>
        <w:rPr>
          <w:b/>
          <w:sz w:val="22"/>
          <w:szCs w:val="22"/>
        </w:rPr>
        <w:t>sample</w:t>
      </w:r>
      <w:r w:rsidRPr="007F37AF">
        <w:rPr>
          <w:b/>
          <w:sz w:val="22"/>
          <w:szCs w:val="22"/>
        </w:rPr>
        <w:t xml:space="preserve">. </w:t>
      </w:r>
    </w:p>
    <w:p w:rsidR="00270D80" w:rsidRDefault="00270D80" w:rsidP="00270D80">
      <w:pPr>
        <w:autoSpaceDE w:val="0"/>
        <w:autoSpaceDN w:val="0"/>
        <w:adjustRightInd w:val="0"/>
        <w:spacing w:after="120"/>
        <w:rPr>
          <w:sz w:val="22"/>
          <w:szCs w:val="22"/>
        </w:rPr>
      </w:pPr>
    </w:p>
    <w:p w:rsidR="00BF7EC1" w:rsidRDefault="00BF7EC1" w:rsidP="00BF7EC1">
      <w:pPr>
        <w:numPr>
          <w:ilvl w:val="1"/>
          <w:numId w:val="19"/>
        </w:numPr>
        <w:autoSpaceDE w:val="0"/>
        <w:autoSpaceDN w:val="0"/>
        <w:adjustRightInd w:val="0"/>
        <w:spacing w:after="120"/>
        <w:rPr>
          <w:sz w:val="22"/>
          <w:szCs w:val="22"/>
        </w:rPr>
      </w:pPr>
      <w:r>
        <w:rPr>
          <w:sz w:val="22"/>
          <w:szCs w:val="22"/>
        </w:rPr>
        <w:t xml:space="preserve">If we </w:t>
      </w:r>
      <w:commentRangeStart w:id="8"/>
      <w:r>
        <w:rPr>
          <w:sz w:val="22"/>
          <w:szCs w:val="22"/>
        </w:rPr>
        <w:t>were</w:t>
      </w:r>
      <w:commentRangeEnd w:id="8"/>
      <w:r w:rsidR="00A94733">
        <w:rPr>
          <w:rStyle w:val="CommentReference"/>
        </w:rPr>
        <w:commentReference w:id="8"/>
      </w:r>
      <w:r>
        <w:rPr>
          <w:sz w:val="22"/>
          <w:szCs w:val="22"/>
        </w:rPr>
        <w:t xml:space="preserve"> to ignore issue related to multiple comparisons, what conclusions would you reach based on the p values reported in the regression output from part (d) using a 0.05 level of significance.</w:t>
      </w:r>
    </w:p>
    <w:p w:rsidR="00B63E2A" w:rsidRPr="00270D80" w:rsidRDefault="00B63E2A" w:rsidP="00B63E2A">
      <w:pPr>
        <w:autoSpaceDE w:val="0"/>
        <w:autoSpaceDN w:val="0"/>
        <w:adjustRightInd w:val="0"/>
        <w:spacing w:after="120"/>
        <w:rPr>
          <w:b/>
          <w:sz w:val="22"/>
          <w:szCs w:val="22"/>
        </w:rPr>
      </w:pPr>
      <w:r>
        <w:rPr>
          <w:b/>
          <w:sz w:val="22"/>
          <w:szCs w:val="22"/>
        </w:rPr>
        <w:t>As in the regression model in part (a), here we do observe a significantly different odds of diabetes when we compare white subjects to our reference group (black subjects), and obtain the same p value since the comparison is again between black and white subjects. Based on the logistic regression model u</w:t>
      </w:r>
      <w:r w:rsidRPr="007F37AF">
        <w:rPr>
          <w:b/>
          <w:sz w:val="22"/>
          <w:szCs w:val="22"/>
        </w:rPr>
        <w:t xml:space="preserve">sing </w:t>
      </w:r>
      <w:r>
        <w:rPr>
          <w:b/>
          <w:sz w:val="22"/>
          <w:szCs w:val="22"/>
        </w:rPr>
        <w:t>black</w:t>
      </w:r>
      <w:r w:rsidRPr="007F37AF">
        <w:rPr>
          <w:b/>
          <w:sz w:val="22"/>
          <w:szCs w:val="22"/>
        </w:rPr>
        <w:t xml:space="preserve"> subjects as a reference group, </w:t>
      </w:r>
      <w:r>
        <w:rPr>
          <w:b/>
          <w:sz w:val="22"/>
          <w:szCs w:val="22"/>
        </w:rPr>
        <w:t>the odds of having diabetes was 42.1% lower for white subjects</w:t>
      </w:r>
      <w:r w:rsidRPr="007F37AF">
        <w:rPr>
          <w:b/>
          <w:sz w:val="22"/>
          <w:szCs w:val="22"/>
        </w:rPr>
        <w:t xml:space="preserve">, when compared to </w:t>
      </w:r>
      <w:r>
        <w:rPr>
          <w:b/>
          <w:sz w:val="22"/>
          <w:szCs w:val="22"/>
        </w:rPr>
        <w:t xml:space="preserve">black subjects (two-sided p value </w:t>
      </w:r>
      <w:r w:rsidRPr="00570717">
        <w:rPr>
          <w:b/>
          <w:sz w:val="22"/>
          <w:szCs w:val="22"/>
        </w:rPr>
        <w:t>0.0259</w:t>
      </w:r>
      <w:r>
        <w:rPr>
          <w:b/>
          <w:sz w:val="22"/>
          <w:szCs w:val="22"/>
        </w:rPr>
        <w:t xml:space="preserve">) (diabetes odds ratio = </w:t>
      </w:r>
      <w:r w:rsidRPr="00B63E2A">
        <w:rPr>
          <w:b/>
          <w:sz w:val="22"/>
          <w:szCs w:val="22"/>
        </w:rPr>
        <w:t>0.518</w:t>
      </w:r>
      <w:r>
        <w:rPr>
          <w:b/>
          <w:sz w:val="22"/>
          <w:szCs w:val="22"/>
        </w:rPr>
        <w:t>)</w:t>
      </w:r>
      <w:r w:rsidRPr="007F37AF">
        <w:rPr>
          <w:b/>
          <w:sz w:val="22"/>
          <w:szCs w:val="22"/>
        </w:rPr>
        <w:t xml:space="preserve">. </w:t>
      </w:r>
      <w:r>
        <w:rPr>
          <w:b/>
          <w:sz w:val="22"/>
          <w:szCs w:val="22"/>
        </w:rPr>
        <w:t xml:space="preserve"> </w:t>
      </w:r>
      <w:r w:rsidRPr="00CD27B5">
        <w:rPr>
          <w:b/>
          <w:sz w:val="22"/>
          <w:szCs w:val="22"/>
        </w:rPr>
        <w:t xml:space="preserve">Based on a 95% confidence interval, this observed odds ratio suggesting </w:t>
      </w:r>
      <w:r>
        <w:rPr>
          <w:b/>
          <w:sz w:val="22"/>
          <w:szCs w:val="22"/>
        </w:rPr>
        <w:t>lower</w:t>
      </w:r>
      <w:r w:rsidRPr="00CD27B5">
        <w:rPr>
          <w:b/>
          <w:sz w:val="22"/>
          <w:szCs w:val="22"/>
        </w:rPr>
        <w:t xml:space="preserve"> </w:t>
      </w:r>
      <w:r>
        <w:rPr>
          <w:b/>
          <w:sz w:val="22"/>
          <w:szCs w:val="22"/>
        </w:rPr>
        <w:t>diabetes probability</w:t>
      </w:r>
      <w:r w:rsidRPr="00CD27B5">
        <w:rPr>
          <w:b/>
          <w:sz w:val="22"/>
          <w:szCs w:val="22"/>
        </w:rPr>
        <w:t xml:space="preserve"> for </w:t>
      </w:r>
      <w:r>
        <w:rPr>
          <w:b/>
          <w:sz w:val="22"/>
          <w:szCs w:val="22"/>
        </w:rPr>
        <w:t>white subjects</w:t>
      </w:r>
      <w:r w:rsidRPr="00CD27B5">
        <w:rPr>
          <w:b/>
          <w:sz w:val="22"/>
          <w:szCs w:val="22"/>
        </w:rPr>
        <w:t xml:space="preserve"> would not be judged unusual if the true </w:t>
      </w:r>
      <w:r>
        <w:rPr>
          <w:b/>
          <w:sz w:val="22"/>
          <w:szCs w:val="22"/>
        </w:rPr>
        <w:t>odds ratio</w:t>
      </w:r>
      <w:r w:rsidRPr="00CD27B5">
        <w:rPr>
          <w:b/>
          <w:sz w:val="22"/>
          <w:szCs w:val="22"/>
        </w:rPr>
        <w:t xml:space="preserve"> were anywhere from </w:t>
      </w:r>
      <w:r>
        <w:rPr>
          <w:b/>
          <w:sz w:val="22"/>
          <w:szCs w:val="22"/>
        </w:rPr>
        <w:t>7.57% to 71.9</w:t>
      </w:r>
      <w:r w:rsidRPr="00CD27B5">
        <w:rPr>
          <w:b/>
          <w:sz w:val="22"/>
          <w:szCs w:val="22"/>
        </w:rPr>
        <w:t xml:space="preserve">% </w:t>
      </w:r>
      <w:r>
        <w:rPr>
          <w:b/>
          <w:sz w:val="22"/>
          <w:szCs w:val="22"/>
        </w:rPr>
        <w:t>lower</w:t>
      </w:r>
      <w:r w:rsidRPr="00CD27B5">
        <w:rPr>
          <w:b/>
          <w:sz w:val="22"/>
          <w:szCs w:val="22"/>
        </w:rPr>
        <w:t xml:space="preserve"> odds of </w:t>
      </w:r>
      <w:r>
        <w:rPr>
          <w:b/>
          <w:sz w:val="22"/>
          <w:szCs w:val="22"/>
        </w:rPr>
        <w:t>diabetes</w:t>
      </w:r>
      <w:r w:rsidRPr="00CD27B5">
        <w:rPr>
          <w:b/>
          <w:sz w:val="22"/>
          <w:szCs w:val="22"/>
        </w:rPr>
        <w:t xml:space="preserve"> </w:t>
      </w:r>
      <w:r>
        <w:rPr>
          <w:b/>
          <w:sz w:val="22"/>
          <w:szCs w:val="22"/>
        </w:rPr>
        <w:t>compared to black subjects</w:t>
      </w:r>
      <w:r w:rsidR="00C315D9">
        <w:rPr>
          <w:b/>
          <w:sz w:val="22"/>
          <w:szCs w:val="22"/>
        </w:rPr>
        <w:t xml:space="preserve"> (95% odds ratio CI</w:t>
      </w:r>
      <w:r w:rsidR="00C315D9" w:rsidRPr="00B63E2A">
        <w:rPr>
          <w:b/>
          <w:sz w:val="22"/>
          <w:szCs w:val="22"/>
        </w:rPr>
        <w:t xml:space="preserve"> 0.29</w:t>
      </w:r>
      <w:r w:rsidR="00C315D9">
        <w:rPr>
          <w:b/>
          <w:sz w:val="22"/>
          <w:szCs w:val="22"/>
        </w:rPr>
        <w:t>1 to</w:t>
      </w:r>
      <w:r w:rsidR="00C315D9" w:rsidRPr="00B63E2A">
        <w:rPr>
          <w:b/>
          <w:sz w:val="22"/>
          <w:szCs w:val="22"/>
        </w:rPr>
        <w:t xml:space="preserve"> 0.924</w:t>
      </w:r>
      <w:r w:rsidR="00C315D9">
        <w:rPr>
          <w:b/>
          <w:sz w:val="22"/>
          <w:szCs w:val="22"/>
        </w:rPr>
        <w:t xml:space="preserve">). </w:t>
      </w:r>
      <w:r>
        <w:rPr>
          <w:b/>
          <w:sz w:val="22"/>
          <w:szCs w:val="22"/>
        </w:rPr>
        <w:t>The estimated odds ratio and 95% confidence interval for white subjects compared to black subjects is just the inverse of that obtained from part (c)</w:t>
      </w:r>
      <w:r w:rsidR="00C315D9">
        <w:rPr>
          <w:b/>
          <w:sz w:val="22"/>
          <w:szCs w:val="22"/>
        </w:rPr>
        <w:t xml:space="preserve">. </w:t>
      </w:r>
      <w:r>
        <w:rPr>
          <w:b/>
          <w:sz w:val="22"/>
          <w:szCs w:val="22"/>
        </w:rPr>
        <w:t xml:space="preserve">Because we are now using black subjects as a reference group, the other odds ratios and p values (i.e. comparing odds of diabetes among Asians and other races compared to black subjects) are different from that of part (a). However, we still do not observe a statistically significant difference in odds of diabetes (two-sided p values </w:t>
      </w:r>
      <w:r w:rsidRPr="00270D80">
        <w:rPr>
          <w:b/>
          <w:sz w:val="22"/>
          <w:szCs w:val="22"/>
        </w:rPr>
        <w:t>0.0847</w:t>
      </w:r>
      <w:r>
        <w:rPr>
          <w:b/>
          <w:sz w:val="22"/>
          <w:szCs w:val="22"/>
        </w:rPr>
        <w:t xml:space="preserve"> and 0.9556 for odds ratios comparing Asian and other races to that black subjects, respectively).</w:t>
      </w:r>
    </w:p>
    <w:p w:rsidR="00B63E2A" w:rsidRDefault="00B63E2A" w:rsidP="00B63E2A">
      <w:pPr>
        <w:autoSpaceDE w:val="0"/>
        <w:autoSpaceDN w:val="0"/>
        <w:adjustRightInd w:val="0"/>
        <w:spacing w:after="120"/>
        <w:rPr>
          <w:sz w:val="22"/>
          <w:szCs w:val="22"/>
        </w:rPr>
      </w:pPr>
    </w:p>
    <w:p w:rsidR="00CD25DA" w:rsidRDefault="00BF7EC1" w:rsidP="00BF7EC1">
      <w:pPr>
        <w:numPr>
          <w:ilvl w:val="1"/>
          <w:numId w:val="19"/>
        </w:numPr>
        <w:autoSpaceDE w:val="0"/>
        <w:autoSpaceDN w:val="0"/>
        <w:adjustRightInd w:val="0"/>
        <w:spacing w:after="120"/>
        <w:rPr>
          <w:sz w:val="22"/>
          <w:szCs w:val="22"/>
        </w:rPr>
      </w:pPr>
      <w:commentRangeStart w:id="9"/>
      <w:r>
        <w:rPr>
          <w:sz w:val="22"/>
          <w:szCs w:val="22"/>
        </w:rPr>
        <w:t>What</w:t>
      </w:r>
      <w:commentRangeEnd w:id="9"/>
      <w:r w:rsidR="00A94733">
        <w:rPr>
          <w:rStyle w:val="CommentReference"/>
        </w:rPr>
        <w:commentReference w:id="9"/>
      </w:r>
      <w:r>
        <w:rPr>
          <w:sz w:val="22"/>
          <w:szCs w:val="22"/>
        </w:rPr>
        <w:t xml:space="preserve"> do your results from parts (c) and (f) say about the dangers of using the p values for individual regression parameters from a dummy variable regression to decide whether to include or exclude those variables in a regression model (i.e., in a “stepwise model building” procedure)?</w:t>
      </w:r>
    </w:p>
    <w:p w:rsidR="003203A3" w:rsidRDefault="00094091" w:rsidP="00094091">
      <w:pPr>
        <w:autoSpaceDE w:val="0"/>
        <w:autoSpaceDN w:val="0"/>
        <w:adjustRightInd w:val="0"/>
        <w:spacing w:after="120"/>
        <w:rPr>
          <w:b/>
          <w:sz w:val="22"/>
          <w:szCs w:val="22"/>
        </w:rPr>
      </w:pPr>
      <w:r w:rsidRPr="00094091">
        <w:rPr>
          <w:b/>
          <w:sz w:val="22"/>
          <w:szCs w:val="22"/>
        </w:rPr>
        <w:t xml:space="preserve">We observe that although there were significant p values for individual regression parameters, the Wald test </w:t>
      </w:r>
      <w:r>
        <w:rPr>
          <w:b/>
          <w:sz w:val="22"/>
          <w:szCs w:val="22"/>
        </w:rPr>
        <w:t xml:space="preserve">comparing the null and adjusted models </w:t>
      </w:r>
      <w:r w:rsidRPr="00094091">
        <w:rPr>
          <w:b/>
          <w:sz w:val="22"/>
          <w:szCs w:val="22"/>
        </w:rPr>
        <w:t xml:space="preserve">did not provide evidence of an overall significant association between race and diabetes. </w:t>
      </w:r>
      <w:r>
        <w:rPr>
          <w:b/>
          <w:sz w:val="22"/>
          <w:szCs w:val="22"/>
        </w:rPr>
        <w:t xml:space="preserve">The </w:t>
      </w:r>
      <w:r w:rsidR="003203A3">
        <w:rPr>
          <w:b/>
          <w:sz w:val="22"/>
          <w:szCs w:val="22"/>
        </w:rPr>
        <w:t>Wald test of</w:t>
      </w:r>
      <w:r>
        <w:rPr>
          <w:b/>
          <w:sz w:val="22"/>
          <w:szCs w:val="22"/>
        </w:rPr>
        <w:t xml:space="preserve"> association </w:t>
      </w:r>
      <w:r w:rsidR="003203A3">
        <w:rPr>
          <w:b/>
          <w:sz w:val="22"/>
          <w:szCs w:val="22"/>
        </w:rPr>
        <w:t xml:space="preserve">appropriately </w:t>
      </w:r>
      <w:r>
        <w:rPr>
          <w:b/>
          <w:sz w:val="22"/>
          <w:szCs w:val="22"/>
        </w:rPr>
        <w:t xml:space="preserve">provides a more conservative test than that </w:t>
      </w:r>
      <w:r w:rsidR="003203A3">
        <w:rPr>
          <w:b/>
          <w:sz w:val="22"/>
          <w:szCs w:val="22"/>
        </w:rPr>
        <w:t>of</w:t>
      </w:r>
      <w:r>
        <w:rPr>
          <w:b/>
          <w:sz w:val="22"/>
          <w:szCs w:val="22"/>
        </w:rPr>
        <w:t xml:space="preserve"> each regression parameter </w:t>
      </w:r>
      <w:r w:rsidR="003203A3">
        <w:rPr>
          <w:b/>
          <w:sz w:val="22"/>
          <w:szCs w:val="22"/>
        </w:rPr>
        <w:t>in the logistic regression model.</w:t>
      </w:r>
    </w:p>
    <w:p w:rsidR="00094091" w:rsidRPr="00094091" w:rsidRDefault="003203A3" w:rsidP="00094091">
      <w:pPr>
        <w:autoSpaceDE w:val="0"/>
        <w:autoSpaceDN w:val="0"/>
        <w:adjustRightInd w:val="0"/>
        <w:spacing w:after="120"/>
        <w:rPr>
          <w:b/>
          <w:sz w:val="22"/>
          <w:szCs w:val="22"/>
        </w:rPr>
      </w:pPr>
      <w:r>
        <w:rPr>
          <w:b/>
          <w:sz w:val="22"/>
          <w:szCs w:val="22"/>
        </w:rPr>
        <w:t>D</w:t>
      </w:r>
      <w:r w:rsidR="00094091">
        <w:rPr>
          <w:b/>
          <w:sz w:val="22"/>
          <w:szCs w:val="22"/>
        </w:rPr>
        <w:t>ue to the fact</w:t>
      </w:r>
      <w:r>
        <w:rPr>
          <w:b/>
          <w:sz w:val="22"/>
          <w:szCs w:val="22"/>
        </w:rPr>
        <w:t xml:space="preserve"> that</w:t>
      </w:r>
      <w:r w:rsidR="00094091">
        <w:rPr>
          <w:b/>
          <w:sz w:val="22"/>
          <w:szCs w:val="22"/>
        </w:rPr>
        <w:t xml:space="preserve"> </w:t>
      </w:r>
      <w:r>
        <w:rPr>
          <w:b/>
          <w:sz w:val="22"/>
          <w:szCs w:val="22"/>
        </w:rPr>
        <w:t>logistic regression involving more than 2 parameters inflates our</w:t>
      </w:r>
      <w:r w:rsidR="00094091">
        <w:rPr>
          <w:b/>
          <w:sz w:val="22"/>
          <w:szCs w:val="22"/>
        </w:rPr>
        <w:t xml:space="preserve"> </w:t>
      </w:r>
      <w:r>
        <w:rPr>
          <w:b/>
          <w:sz w:val="22"/>
          <w:szCs w:val="22"/>
        </w:rPr>
        <w:t>probability of falsely rejecting the null hypothesis the Wald test is a better analysis of association in this case.</w:t>
      </w:r>
    </w:p>
    <w:p w:rsidR="003205A5" w:rsidRDefault="00C55091" w:rsidP="00BF7EC1">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all-cause mortality </w:t>
      </w:r>
      <w:r w:rsidR="00BF7EC1">
        <w:rPr>
          <w:sz w:val="22"/>
          <w:szCs w:val="22"/>
        </w:rPr>
        <w:t xml:space="preserve">and serum </w:t>
      </w:r>
      <w:r w:rsidRPr="009D5804">
        <w:rPr>
          <w:sz w:val="22"/>
          <w:szCs w:val="22"/>
        </w:rPr>
        <w:t xml:space="preserve">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BF7EC1">
        <w:rPr>
          <w:sz w:val="22"/>
          <w:szCs w:val="22"/>
        </w:rPr>
        <w:t>when fit as d</w:t>
      </w:r>
      <w:r w:rsidR="003205A5">
        <w:rPr>
          <w:sz w:val="22"/>
          <w:szCs w:val="22"/>
        </w:rPr>
        <w:t xml:space="preserve">ummy variables using the categories suggested by the Mayo Clinic as reported on Homework #1. The Stata </w:t>
      </w:r>
      <w:r w:rsidR="003205A5">
        <w:rPr>
          <w:rFonts w:ascii="Courier New" w:hAnsi="Courier New" w:cs="Courier New"/>
          <w:sz w:val="22"/>
          <w:szCs w:val="22"/>
        </w:rPr>
        <w:t>egen</w:t>
      </w:r>
      <w:r w:rsidR="003205A5">
        <w:rPr>
          <w:sz w:val="22"/>
          <w:szCs w:val="22"/>
        </w:rPr>
        <w:t xml:space="preserve"> command can be used to categorize the LDL levels</w:t>
      </w:r>
    </w:p>
    <w:p w:rsidR="00A459C8" w:rsidRDefault="003205A5" w:rsidP="003205A5">
      <w:pPr>
        <w:autoSpaceDE w:val="0"/>
        <w:autoSpaceDN w:val="0"/>
        <w:adjustRightInd w:val="0"/>
        <w:spacing w:after="120"/>
        <w:ind w:left="720"/>
        <w:jc w:val="center"/>
        <w:rPr>
          <w:sz w:val="22"/>
          <w:szCs w:val="22"/>
        </w:rPr>
      </w:pPr>
      <w:r>
        <w:rPr>
          <w:rFonts w:ascii="Courier New" w:hAnsi="Courier New" w:cs="Courier New"/>
          <w:sz w:val="22"/>
          <w:szCs w:val="22"/>
        </w:rPr>
        <w:t>egen ldlCTG = cut(ldl), at(0 70 100 130 160 190 250)</w:t>
      </w:r>
    </w:p>
    <w:p w:rsidR="00A459C8" w:rsidRDefault="00F538AE" w:rsidP="00A620A3">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rsidR="00C222B2" w:rsidRDefault="00640972" w:rsidP="00640972">
      <w:pPr>
        <w:autoSpaceDE w:val="0"/>
        <w:autoSpaceDN w:val="0"/>
        <w:adjustRightInd w:val="0"/>
        <w:rPr>
          <w:b/>
          <w:sz w:val="22"/>
          <w:szCs w:val="22"/>
        </w:rPr>
      </w:pPr>
      <w:r w:rsidRPr="00640972">
        <w:rPr>
          <w:b/>
          <w:sz w:val="22"/>
          <w:szCs w:val="22"/>
          <w:u w:val="single"/>
        </w:rPr>
        <w:lastRenderedPageBreak/>
        <w:t>Methods for Descriptive statistics</w:t>
      </w:r>
      <w:r>
        <w:rPr>
          <w:b/>
          <w:sz w:val="22"/>
          <w:szCs w:val="22"/>
        </w:rPr>
        <w:t>: We created a</w:t>
      </w:r>
      <w:r w:rsidRPr="00F15AC7">
        <w:rPr>
          <w:b/>
          <w:sz w:val="22"/>
          <w:szCs w:val="22"/>
        </w:rPr>
        <w:t xml:space="preserve"> graph and </w:t>
      </w:r>
      <w:r>
        <w:rPr>
          <w:b/>
          <w:sz w:val="22"/>
          <w:szCs w:val="22"/>
        </w:rPr>
        <w:t xml:space="preserve">a </w:t>
      </w:r>
      <w:r w:rsidRPr="00F15AC7">
        <w:rPr>
          <w:b/>
          <w:sz w:val="22"/>
          <w:szCs w:val="22"/>
        </w:rPr>
        <w:t>table depict</w:t>
      </w:r>
      <w:r>
        <w:rPr>
          <w:b/>
          <w:sz w:val="22"/>
          <w:szCs w:val="22"/>
        </w:rPr>
        <w:t>ing the</w:t>
      </w:r>
      <w:r w:rsidRPr="00F15AC7">
        <w:rPr>
          <w:b/>
          <w:sz w:val="22"/>
          <w:szCs w:val="22"/>
        </w:rPr>
        <w:t xml:space="preserve"> Kaplan-Meier estimates of survival probability for </w:t>
      </w:r>
      <w:r>
        <w:rPr>
          <w:b/>
          <w:sz w:val="22"/>
          <w:szCs w:val="22"/>
        </w:rPr>
        <w:t xml:space="preserve">subjects defined by blood serum LDL levels, </w:t>
      </w:r>
      <w:r w:rsidRPr="00640972">
        <w:rPr>
          <w:b/>
          <w:sz w:val="22"/>
          <w:szCs w:val="22"/>
        </w:rPr>
        <w:t>categorized according to the Mayo Clinic guidelines: less than 70 mg/dL, 70-99 mg/dL, 100-129 mg/dL, 130-159 mg/dL, 160-189 mg/dL, and greater than or equal to 190 mg/dL. Within these categories, Kaplan-Meier estimates of survival were calculated and graphed, and estimates of the 2 and 5 year survival probabilities, as well as restricted mean survival during a period of observation that all LDL strata still had some subjects at risk (5.75 years)</w:t>
      </w:r>
      <w:r w:rsidR="00C222B2">
        <w:rPr>
          <w:b/>
          <w:sz w:val="22"/>
          <w:szCs w:val="22"/>
        </w:rPr>
        <w:t xml:space="preserve">. </w:t>
      </w:r>
    </w:p>
    <w:p w:rsidR="00C222B2" w:rsidRDefault="00C222B2" w:rsidP="00640972">
      <w:pPr>
        <w:autoSpaceDE w:val="0"/>
        <w:autoSpaceDN w:val="0"/>
        <w:adjustRightInd w:val="0"/>
        <w:rPr>
          <w:b/>
          <w:sz w:val="22"/>
          <w:szCs w:val="22"/>
        </w:rPr>
      </w:pPr>
    </w:p>
    <w:p w:rsidR="00C222B2" w:rsidRPr="00C222B2" w:rsidRDefault="00C222B2" w:rsidP="00C222B2">
      <w:pPr>
        <w:autoSpaceDE w:val="0"/>
        <w:autoSpaceDN w:val="0"/>
        <w:adjustRightInd w:val="0"/>
        <w:rPr>
          <w:b/>
          <w:sz w:val="22"/>
          <w:szCs w:val="22"/>
        </w:rPr>
      </w:pPr>
      <w:r w:rsidRPr="00C222B2">
        <w:rPr>
          <w:b/>
          <w:sz w:val="22"/>
          <w:szCs w:val="22"/>
          <w:u w:val="single"/>
        </w:rPr>
        <w:t>Descriptive statistics</w:t>
      </w:r>
      <w:r w:rsidRPr="00C222B2">
        <w:rPr>
          <w:b/>
          <w:sz w:val="22"/>
          <w:szCs w:val="22"/>
        </w:rPr>
        <w:t>: The study consisted of 735 subjects who were fol</w:t>
      </w:r>
      <w:r>
        <w:rPr>
          <w:b/>
          <w:sz w:val="22"/>
          <w:szCs w:val="22"/>
        </w:rPr>
        <w:t xml:space="preserve">lowed for death from any cause, 10 of whom were omitted from the analysis due to missing information on baseline serum LDL levels, for a total of 725. Among </w:t>
      </w:r>
      <w:r w:rsidRPr="00C222B2">
        <w:rPr>
          <w:b/>
          <w:sz w:val="22"/>
          <w:szCs w:val="22"/>
        </w:rPr>
        <w:t xml:space="preserve">the 725 subjects with available serum LDL measurements at enrollment, the mean </w:t>
      </w:r>
      <w:r w:rsidR="00E1142D">
        <w:rPr>
          <w:b/>
          <w:sz w:val="22"/>
          <w:szCs w:val="22"/>
        </w:rPr>
        <w:t xml:space="preserve">serum </w:t>
      </w:r>
      <w:r w:rsidRPr="00C222B2">
        <w:rPr>
          <w:b/>
          <w:sz w:val="22"/>
          <w:szCs w:val="22"/>
        </w:rPr>
        <w:t>LDL was 126 mg/dL (SD 33.6 mg/dL</w:t>
      </w:r>
      <w:r w:rsidR="00E1142D">
        <w:rPr>
          <w:b/>
          <w:sz w:val="22"/>
          <w:szCs w:val="22"/>
        </w:rPr>
        <w:t>) with values</w:t>
      </w:r>
      <w:r w:rsidRPr="00C222B2">
        <w:rPr>
          <w:b/>
          <w:sz w:val="22"/>
          <w:szCs w:val="22"/>
        </w:rPr>
        <w:t xml:space="preserve"> rang</w:t>
      </w:r>
      <w:r w:rsidR="00E1142D">
        <w:rPr>
          <w:b/>
          <w:sz w:val="22"/>
          <w:szCs w:val="22"/>
        </w:rPr>
        <w:t>ing from 11 to 247 mg/dL</w:t>
      </w:r>
      <w:r w:rsidRPr="00C222B2">
        <w:rPr>
          <w:b/>
          <w:sz w:val="22"/>
          <w:szCs w:val="22"/>
        </w:rPr>
        <w:t xml:space="preserve">. </w:t>
      </w:r>
    </w:p>
    <w:p w:rsidR="00C222B2" w:rsidRDefault="00C222B2" w:rsidP="00C222B2">
      <w:pPr>
        <w:autoSpaceDE w:val="0"/>
        <w:autoSpaceDN w:val="0"/>
        <w:adjustRightInd w:val="0"/>
        <w:rPr>
          <w:b/>
          <w:sz w:val="22"/>
          <w:szCs w:val="22"/>
        </w:rPr>
      </w:pPr>
    </w:p>
    <w:p w:rsidR="00C222B2" w:rsidRDefault="00C222B2" w:rsidP="00C222B2">
      <w:pPr>
        <w:autoSpaceDE w:val="0"/>
        <w:autoSpaceDN w:val="0"/>
        <w:adjustRightInd w:val="0"/>
        <w:rPr>
          <w:b/>
          <w:sz w:val="22"/>
          <w:szCs w:val="22"/>
        </w:rPr>
      </w:pPr>
      <w:r>
        <w:rPr>
          <w:b/>
          <w:sz w:val="22"/>
          <w:szCs w:val="22"/>
        </w:rPr>
        <w:t xml:space="preserve">Table 1 presents survival data on groups defined by serum LDL levels, as well as the entire group of study participants. Evident from Table </w:t>
      </w:r>
      <w:r w:rsidR="00AD6A8C">
        <w:rPr>
          <w:b/>
          <w:sz w:val="22"/>
          <w:szCs w:val="22"/>
        </w:rPr>
        <w:t>is that</w:t>
      </w:r>
      <w:r>
        <w:rPr>
          <w:b/>
          <w:sz w:val="22"/>
          <w:szCs w:val="22"/>
        </w:rPr>
        <w:t xml:space="preserve"> 2 year survival is highest (100% survival rate) among those subjects with the lowest serum LDL (0-69 mg/dL) and lowest (93.9% survival rate) among subjects with an intermediate </w:t>
      </w:r>
      <w:r w:rsidR="00AD6A8C">
        <w:rPr>
          <w:b/>
          <w:sz w:val="22"/>
          <w:szCs w:val="22"/>
        </w:rPr>
        <w:t>serum LDL level</w:t>
      </w:r>
      <w:r>
        <w:rPr>
          <w:b/>
          <w:sz w:val="22"/>
          <w:szCs w:val="22"/>
        </w:rPr>
        <w:t xml:space="preserve"> of 100-129 mg/dL</w:t>
      </w:r>
      <w:r w:rsidR="00AD6A8C">
        <w:rPr>
          <w:b/>
          <w:sz w:val="22"/>
          <w:szCs w:val="22"/>
        </w:rPr>
        <w:t>. Contrary to this trend, we find 5 year survival is markedly lower in the 0</w:t>
      </w:r>
      <w:r w:rsidR="00E1142D">
        <w:rPr>
          <w:b/>
          <w:sz w:val="22"/>
          <w:szCs w:val="22"/>
        </w:rPr>
        <w:t>-</w:t>
      </w:r>
      <w:r w:rsidR="00AD6A8C">
        <w:rPr>
          <w:b/>
          <w:sz w:val="22"/>
          <w:szCs w:val="22"/>
        </w:rPr>
        <w:t xml:space="preserve">69mg/dL serum LDL group, while all other groups range between 81%-88% 5 year survival probability, with the higher </w:t>
      </w:r>
      <w:r w:rsidR="00E1142D">
        <w:rPr>
          <w:b/>
          <w:sz w:val="22"/>
          <w:szCs w:val="22"/>
        </w:rPr>
        <w:t>LDL group</w:t>
      </w:r>
      <w:r w:rsidR="00AD6A8C">
        <w:rPr>
          <w:b/>
          <w:sz w:val="22"/>
          <w:szCs w:val="22"/>
        </w:rPr>
        <w:t xml:space="preserve"> of 159-190 mg/dL having the greatest survival probability. This 5 year survival trend is also evident from the 5.75 year restricted mean survival, which measures the area under the Kaplan-Meier curve (Figure 1), across the range of time for which we have survivors in every level of serum LDL.</w:t>
      </w:r>
    </w:p>
    <w:p w:rsidR="00AD6A8C" w:rsidRDefault="00AD6A8C" w:rsidP="00C222B2">
      <w:pPr>
        <w:autoSpaceDE w:val="0"/>
        <w:autoSpaceDN w:val="0"/>
        <w:adjustRightInd w:val="0"/>
        <w:rPr>
          <w:b/>
          <w:sz w:val="22"/>
          <w:szCs w:val="22"/>
        </w:rPr>
      </w:pPr>
    </w:p>
    <w:p w:rsidR="00AD6A8C" w:rsidRDefault="00AD6A8C" w:rsidP="00C222B2">
      <w:pPr>
        <w:autoSpaceDE w:val="0"/>
        <w:autoSpaceDN w:val="0"/>
        <w:adjustRightInd w:val="0"/>
        <w:rPr>
          <w:b/>
          <w:sz w:val="22"/>
          <w:szCs w:val="22"/>
        </w:rPr>
      </w:pPr>
      <w:r>
        <w:rPr>
          <w:b/>
          <w:sz w:val="22"/>
          <w:szCs w:val="22"/>
        </w:rPr>
        <w:t>Figure 1 shows us that among all 6 levels of serum LDL, we observe similar survival curves for all levels besides 0-69mg/dL, whose survival curve deviates from the pattern of the other curves around 3.5 years</w:t>
      </w:r>
      <w:r w:rsidR="00734FBA">
        <w:rPr>
          <w:b/>
          <w:sz w:val="22"/>
          <w:szCs w:val="22"/>
        </w:rPr>
        <w:t>, in the direction of lower survival.</w:t>
      </w:r>
    </w:p>
    <w:p w:rsidR="00640972" w:rsidRDefault="00640972" w:rsidP="00640972">
      <w:pPr>
        <w:autoSpaceDE w:val="0"/>
        <w:autoSpaceDN w:val="0"/>
        <w:adjustRightInd w:val="0"/>
        <w:spacing w:after="120"/>
        <w:rPr>
          <w:sz w:val="22"/>
          <w:szCs w:val="22"/>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233"/>
        <w:gridCol w:w="1233"/>
        <w:gridCol w:w="1233"/>
        <w:gridCol w:w="1233"/>
        <w:gridCol w:w="1233"/>
        <w:gridCol w:w="1233"/>
        <w:gridCol w:w="1233"/>
      </w:tblGrid>
      <w:tr w:rsidR="009709C5" w:rsidRPr="00EE687B" w:rsidTr="00EE687B">
        <w:tc>
          <w:tcPr>
            <w:tcW w:w="10476" w:type="dxa"/>
            <w:gridSpan w:val="8"/>
            <w:shd w:val="clear" w:color="auto" w:fill="auto"/>
          </w:tcPr>
          <w:p w:rsidR="009709C5" w:rsidRPr="00EE687B" w:rsidRDefault="00B96C34" w:rsidP="00EE687B">
            <w:pPr>
              <w:autoSpaceDE w:val="0"/>
              <w:autoSpaceDN w:val="0"/>
              <w:adjustRightInd w:val="0"/>
              <w:spacing w:after="120"/>
              <w:jc w:val="center"/>
              <w:rPr>
                <w:b/>
                <w:sz w:val="22"/>
                <w:szCs w:val="22"/>
              </w:rPr>
            </w:pPr>
            <w:r w:rsidRPr="00EE687B">
              <w:rPr>
                <w:b/>
                <w:sz w:val="22"/>
                <w:szCs w:val="22"/>
              </w:rPr>
              <w:t>Survival statistics based on Serum LDL at Study Enrollment</w:t>
            </w:r>
          </w:p>
        </w:tc>
      </w:tr>
      <w:tr w:rsidR="009709C5" w:rsidRPr="00EE687B" w:rsidTr="00EE687B">
        <w:tc>
          <w:tcPr>
            <w:tcW w:w="1845" w:type="dxa"/>
            <w:shd w:val="clear" w:color="auto" w:fill="auto"/>
          </w:tcPr>
          <w:p w:rsidR="009709C5" w:rsidRPr="00EE687B" w:rsidRDefault="009709C5" w:rsidP="00EE687B">
            <w:pPr>
              <w:autoSpaceDE w:val="0"/>
              <w:autoSpaceDN w:val="0"/>
              <w:adjustRightInd w:val="0"/>
              <w:spacing w:after="120"/>
              <w:rPr>
                <w:b/>
                <w:sz w:val="22"/>
                <w:szCs w:val="22"/>
              </w:rPr>
            </w:pPr>
          </w:p>
        </w:tc>
        <w:tc>
          <w:tcPr>
            <w:tcW w:w="1233" w:type="dxa"/>
            <w:shd w:val="clear" w:color="auto" w:fill="auto"/>
          </w:tcPr>
          <w:p w:rsidR="009709C5" w:rsidRPr="00EE687B" w:rsidRDefault="009709C5" w:rsidP="00EE687B">
            <w:pPr>
              <w:autoSpaceDE w:val="0"/>
              <w:autoSpaceDN w:val="0"/>
              <w:adjustRightInd w:val="0"/>
              <w:spacing w:after="120"/>
              <w:jc w:val="center"/>
              <w:rPr>
                <w:b/>
                <w:sz w:val="22"/>
                <w:szCs w:val="22"/>
              </w:rPr>
            </w:pPr>
            <w:r w:rsidRPr="00EE687B">
              <w:rPr>
                <w:b/>
                <w:sz w:val="22"/>
                <w:szCs w:val="22"/>
              </w:rPr>
              <w:t>0-69 mg/dL</w:t>
            </w:r>
          </w:p>
        </w:tc>
        <w:tc>
          <w:tcPr>
            <w:tcW w:w="1233" w:type="dxa"/>
            <w:tcBorders>
              <w:bottom w:val="single" w:sz="4" w:space="0" w:color="auto"/>
            </w:tcBorders>
            <w:shd w:val="clear" w:color="auto" w:fill="auto"/>
          </w:tcPr>
          <w:p w:rsidR="009709C5" w:rsidRPr="00EE687B" w:rsidRDefault="009709C5" w:rsidP="00EE687B">
            <w:pPr>
              <w:autoSpaceDE w:val="0"/>
              <w:autoSpaceDN w:val="0"/>
              <w:adjustRightInd w:val="0"/>
              <w:spacing w:after="120"/>
              <w:jc w:val="center"/>
              <w:rPr>
                <w:b/>
                <w:sz w:val="22"/>
                <w:szCs w:val="22"/>
              </w:rPr>
            </w:pPr>
            <w:r w:rsidRPr="00EE687B">
              <w:rPr>
                <w:b/>
                <w:sz w:val="22"/>
                <w:szCs w:val="22"/>
              </w:rPr>
              <w:t>70-99 mg/dL</w:t>
            </w:r>
          </w:p>
        </w:tc>
        <w:tc>
          <w:tcPr>
            <w:tcW w:w="1233" w:type="dxa"/>
            <w:shd w:val="clear" w:color="auto" w:fill="auto"/>
          </w:tcPr>
          <w:p w:rsidR="009709C5" w:rsidRPr="00EE687B" w:rsidRDefault="009709C5" w:rsidP="00EE687B">
            <w:pPr>
              <w:autoSpaceDE w:val="0"/>
              <w:autoSpaceDN w:val="0"/>
              <w:adjustRightInd w:val="0"/>
              <w:spacing w:after="120"/>
              <w:jc w:val="center"/>
              <w:rPr>
                <w:b/>
                <w:sz w:val="22"/>
                <w:szCs w:val="22"/>
              </w:rPr>
            </w:pPr>
            <w:r w:rsidRPr="00EE687B">
              <w:rPr>
                <w:b/>
                <w:sz w:val="22"/>
                <w:szCs w:val="22"/>
              </w:rPr>
              <w:t>100-129 mg/dL</w:t>
            </w:r>
          </w:p>
        </w:tc>
        <w:tc>
          <w:tcPr>
            <w:tcW w:w="1233" w:type="dxa"/>
            <w:shd w:val="clear" w:color="auto" w:fill="auto"/>
          </w:tcPr>
          <w:p w:rsidR="009709C5" w:rsidRPr="00EE687B" w:rsidRDefault="009709C5" w:rsidP="00EE687B">
            <w:pPr>
              <w:autoSpaceDE w:val="0"/>
              <w:autoSpaceDN w:val="0"/>
              <w:adjustRightInd w:val="0"/>
              <w:spacing w:after="120"/>
              <w:jc w:val="center"/>
              <w:rPr>
                <w:b/>
                <w:sz w:val="22"/>
                <w:szCs w:val="22"/>
              </w:rPr>
            </w:pPr>
            <w:r w:rsidRPr="00EE687B">
              <w:rPr>
                <w:b/>
                <w:sz w:val="22"/>
                <w:szCs w:val="22"/>
              </w:rPr>
              <w:t>130-159 mg/dL</w:t>
            </w:r>
          </w:p>
        </w:tc>
        <w:tc>
          <w:tcPr>
            <w:tcW w:w="1233" w:type="dxa"/>
            <w:shd w:val="clear" w:color="auto" w:fill="auto"/>
          </w:tcPr>
          <w:p w:rsidR="009709C5" w:rsidRPr="00EE687B" w:rsidRDefault="009709C5" w:rsidP="00EE687B">
            <w:pPr>
              <w:autoSpaceDE w:val="0"/>
              <w:autoSpaceDN w:val="0"/>
              <w:adjustRightInd w:val="0"/>
              <w:spacing w:after="120"/>
              <w:jc w:val="center"/>
              <w:rPr>
                <w:b/>
                <w:sz w:val="22"/>
                <w:szCs w:val="22"/>
              </w:rPr>
            </w:pPr>
            <w:r w:rsidRPr="00EE687B">
              <w:rPr>
                <w:b/>
                <w:sz w:val="22"/>
                <w:szCs w:val="22"/>
              </w:rPr>
              <w:t>159-190 mg/dL</w:t>
            </w:r>
          </w:p>
        </w:tc>
        <w:tc>
          <w:tcPr>
            <w:tcW w:w="1233" w:type="dxa"/>
            <w:shd w:val="clear" w:color="auto" w:fill="auto"/>
          </w:tcPr>
          <w:p w:rsidR="009709C5" w:rsidRPr="00EE687B" w:rsidRDefault="009709C5" w:rsidP="00EE687B">
            <w:pPr>
              <w:autoSpaceDE w:val="0"/>
              <w:autoSpaceDN w:val="0"/>
              <w:adjustRightInd w:val="0"/>
              <w:spacing w:after="120"/>
              <w:jc w:val="center"/>
              <w:rPr>
                <w:b/>
                <w:sz w:val="22"/>
                <w:szCs w:val="22"/>
              </w:rPr>
            </w:pPr>
            <w:r w:rsidRPr="00EE687B">
              <w:rPr>
                <w:b/>
                <w:sz w:val="22"/>
                <w:szCs w:val="22"/>
              </w:rPr>
              <w:t>&gt;190 mg/dL</w:t>
            </w:r>
          </w:p>
        </w:tc>
        <w:tc>
          <w:tcPr>
            <w:tcW w:w="1233" w:type="dxa"/>
            <w:shd w:val="clear" w:color="auto" w:fill="auto"/>
          </w:tcPr>
          <w:p w:rsidR="009709C5" w:rsidRPr="00EE687B" w:rsidRDefault="009709C5" w:rsidP="00EE687B">
            <w:pPr>
              <w:autoSpaceDE w:val="0"/>
              <w:autoSpaceDN w:val="0"/>
              <w:adjustRightInd w:val="0"/>
              <w:spacing w:after="120"/>
              <w:jc w:val="center"/>
              <w:rPr>
                <w:b/>
                <w:sz w:val="22"/>
                <w:szCs w:val="22"/>
              </w:rPr>
            </w:pPr>
            <w:r w:rsidRPr="00EE687B">
              <w:rPr>
                <w:b/>
                <w:sz w:val="22"/>
                <w:szCs w:val="22"/>
              </w:rPr>
              <w:t>All levels</w:t>
            </w:r>
          </w:p>
        </w:tc>
      </w:tr>
      <w:tr w:rsidR="009709C5" w:rsidRPr="00EE687B" w:rsidTr="00EE687B">
        <w:tc>
          <w:tcPr>
            <w:tcW w:w="1845" w:type="dxa"/>
            <w:shd w:val="clear" w:color="auto" w:fill="auto"/>
          </w:tcPr>
          <w:p w:rsidR="009709C5" w:rsidRPr="00EE687B" w:rsidRDefault="00640972" w:rsidP="00EE687B">
            <w:pPr>
              <w:autoSpaceDE w:val="0"/>
              <w:autoSpaceDN w:val="0"/>
              <w:adjustRightInd w:val="0"/>
              <w:spacing w:after="120"/>
              <w:jc w:val="right"/>
              <w:rPr>
                <w:b/>
                <w:sz w:val="22"/>
                <w:szCs w:val="22"/>
              </w:rPr>
            </w:pPr>
            <w:r w:rsidRPr="00EE687B">
              <w:rPr>
                <w:b/>
                <w:sz w:val="22"/>
                <w:szCs w:val="22"/>
              </w:rPr>
              <w:t>Number</w:t>
            </w:r>
          </w:p>
        </w:tc>
        <w:tc>
          <w:tcPr>
            <w:tcW w:w="1233" w:type="dxa"/>
            <w:shd w:val="clear" w:color="auto" w:fill="auto"/>
          </w:tcPr>
          <w:p w:rsidR="009709C5" w:rsidRPr="00EE687B" w:rsidRDefault="0078633D" w:rsidP="00EE687B">
            <w:pPr>
              <w:autoSpaceDE w:val="0"/>
              <w:autoSpaceDN w:val="0"/>
              <w:adjustRightInd w:val="0"/>
              <w:spacing w:after="120"/>
              <w:jc w:val="center"/>
              <w:rPr>
                <w:sz w:val="22"/>
                <w:szCs w:val="22"/>
              </w:rPr>
            </w:pPr>
            <w:r w:rsidRPr="00EE687B">
              <w:rPr>
                <w:sz w:val="22"/>
                <w:szCs w:val="22"/>
              </w:rPr>
              <w:t>22</w:t>
            </w:r>
          </w:p>
        </w:tc>
        <w:tc>
          <w:tcPr>
            <w:tcW w:w="1233" w:type="dxa"/>
            <w:tcBorders>
              <w:right w:val="single" w:sz="4" w:space="0" w:color="auto"/>
            </w:tcBorders>
            <w:shd w:val="clear" w:color="auto" w:fill="auto"/>
          </w:tcPr>
          <w:p w:rsidR="009709C5" w:rsidRPr="00EE687B" w:rsidRDefault="0078633D" w:rsidP="00EE687B">
            <w:pPr>
              <w:autoSpaceDE w:val="0"/>
              <w:autoSpaceDN w:val="0"/>
              <w:adjustRightInd w:val="0"/>
              <w:spacing w:after="120"/>
              <w:jc w:val="center"/>
              <w:rPr>
                <w:sz w:val="22"/>
                <w:szCs w:val="22"/>
              </w:rPr>
            </w:pPr>
            <w:r w:rsidRPr="00EE687B">
              <w:rPr>
                <w:sz w:val="22"/>
                <w:szCs w:val="22"/>
              </w:rPr>
              <w:t>143</w:t>
            </w:r>
          </w:p>
        </w:tc>
        <w:tc>
          <w:tcPr>
            <w:tcW w:w="1233" w:type="dxa"/>
            <w:tcBorders>
              <w:left w:val="single" w:sz="4" w:space="0" w:color="auto"/>
            </w:tcBorders>
            <w:shd w:val="clear" w:color="auto" w:fill="auto"/>
          </w:tcPr>
          <w:p w:rsidR="009709C5" w:rsidRPr="00EE687B" w:rsidRDefault="0078633D" w:rsidP="00EE687B">
            <w:pPr>
              <w:autoSpaceDE w:val="0"/>
              <w:autoSpaceDN w:val="0"/>
              <w:adjustRightInd w:val="0"/>
              <w:spacing w:after="120"/>
              <w:jc w:val="center"/>
              <w:rPr>
                <w:sz w:val="22"/>
                <w:szCs w:val="22"/>
              </w:rPr>
            </w:pPr>
            <w:r w:rsidRPr="00EE687B">
              <w:rPr>
                <w:sz w:val="22"/>
                <w:szCs w:val="22"/>
              </w:rPr>
              <w:t>228</w:t>
            </w:r>
          </w:p>
        </w:tc>
        <w:tc>
          <w:tcPr>
            <w:tcW w:w="1233" w:type="dxa"/>
            <w:shd w:val="clear" w:color="auto" w:fill="auto"/>
          </w:tcPr>
          <w:p w:rsidR="009709C5" w:rsidRPr="00EE687B" w:rsidRDefault="0078633D" w:rsidP="00EE687B">
            <w:pPr>
              <w:autoSpaceDE w:val="0"/>
              <w:autoSpaceDN w:val="0"/>
              <w:adjustRightInd w:val="0"/>
              <w:spacing w:after="120"/>
              <w:jc w:val="center"/>
              <w:rPr>
                <w:sz w:val="22"/>
                <w:szCs w:val="22"/>
              </w:rPr>
            </w:pPr>
            <w:r w:rsidRPr="00EE687B">
              <w:rPr>
                <w:sz w:val="22"/>
                <w:szCs w:val="22"/>
              </w:rPr>
              <w:t>225</w:t>
            </w:r>
          </w:p>
        </w:tc>
        <w:tc>
          <w:tcPr>
            <w:tcW w:w="1233" w:type="dxa"/>
            <w:shd w:val="clear" w:color="auto" w:fill="auto"/>
          </w:tcPr>
          <w:p w:rsidR="009709C5" w:rsidRPr="00EE687B" w:rsidRDefault="0078633D" w:rsidP="00EE687B">
            <w:pPr>
              <w:autoSpaceDE w:val="0"/>
              <w:autoSpaceDN w:val="0"/>
              <w:adjustRightInd w:val="0"/>
              <w:spacing w:after="120"/>
              <w:jc w:val="center"/>
              <w:rPr>
                <w:sz w:val="22"/>
                <w:szCs w:val="22"/>
              </w:rPr>
            </w:pPr>
            <w:r w:rsidRPr="00EE687B">
              <w:rPr>
                <w:sz w:val="22"/>
                <w:szCs w:val="22"/>
              </w:rPr>
              <w:t>83</w:t>
            </w:r>
          </w:p>
        </w:tc>
        <w:tc>
          <w:tcPr>
            <w:tcW w:w="1233" w:type="dxa"/>
            <w:shd w:val="clear" w:color="auto" w:fill="auto"/>
          </w:tcPr>
          <w:p w:rsidR="009709C5" w:rsidRPr="00EE687B" w:rsidRDefault="0078633D" w:rsidP="00EE687B">
            <w:pPr>
              <w:autoSpaceDE w:val="0"/>
              <w:autoSpaceDN w:val="0"/>
              <w:adjustRightInd w:val="0"/>
              <w:spacing w:after="120"/>
              <w:jc w:val="center"/>
              <w:rPr>
                <w:sz w:val="22"/>
                <w:szCs w:val="22"/>
              </w:rPr>
            </w:pPr>
            <w:r w:rsidRPr="00EE687B">
              <w:rPr>
                <w:sz w:val="22"/>
                <w:szCs w:val="22"/>
              </w:rPr>
              <w:t>24</w:t>
            </w:r>
          </w:p>
        </w:tc>
        <w:tc>
          <w:tcPr>
            <w:tcW w:w="1233" w:type="dxa"/>
            <w:shd w:val="clear" w:color="auto" w:fill="auto"/>
          </w:tcPr>
          <w:p w:rsidR="009709C5" w:rsidRPr="00EE687B" w:rsidRDefault="0078633D" w:rsidP="00EE687B">
            <w:pPr>
              <w:autoSpaceDE w:val="0"/>
              <w:autoSpaceDN w:val="0"/>
              <w:adjustRightInd w:val="0"/>
              <w:spacing w:after="120"/>
              <w:jc w:val="center"/>
              <w:rPr>
                <w:sz w:val="22"/>
                <w:szCs w:val="22"/>
              </w:rPr>
            </w:pPr>
            <w:r w:rsidRPr="00EE687B">
              <w:rPr>
                <w:sz w:val="22"/>
                <w:szCs w:val="22"/>
              </w:rPr>
              <w:t>725</w:t>
            </w:r>
          </w:p>
        </w:tc>
      </w:tr>
      <w:tr w:rsidR="009709C5" w:rsidRPr="00EE687B" w:rsidTr="00EE687B">
        <w:tc>
          <w:tcPr>
            <w:tcW w:w="1845" w:type="dxa"/>
            <w:shd w:val="clear" w:color="auto" w:fill="auto"/>
          </w:tcPr>
          <w:p w:rsidR="009709C5" w:rsidRPr="00EE687B" w:rsidRDefault="009709C5" w:rsidP="00EE687B">
            <w:pPr>
              <w:autoSpaceDE w:val="0"/>
              <w:autoSpaceDN w:val="0"/>
              <w:adjustRightInd w:val="0"/>
              <w:spacing w:after="120"/>
              <w:jc w:val="right"/>
              <w:rPr>
                <w:b/>
                <w:sz w:val="22"/>
                <w:szCs w:val="22"/>
              </w:rPr>
            </w:pPr>
            <w:r w:rsidRPr="00EE687B">
              <w:rPr>
                <w:b/>
                <w:sz w:val="22"/>
                <w:szCs w:val="22"/>
              </w:rPr>
              <w:t>2 yr survival</w:t>
            </w:r>
          </w:p>
        </w:tc>
        <w:tc>
          <w:tcPr>
            <w:tcW w:w="1233" w:type="dxa"/>
            <w:shd w:val="clear" w:color="auto" w:fill="auto"/>
          </w:tcPr>
          <w:p w:rsidR="009709C5" w:rsidRPr="00EE687B" w:rsidRDefault="0078633D" w:rsidP="00EE687B">
            <w:pPr>
              <w:autoSpaceDE w:val="0"/>
              <w:autoSpaceDN w:val="0"/>
              <w:adjustRightInd w:val="0"/>
              <w:spacing w:after="120"/>
              <w:jc w:val="center"/>
              <w:rPr>
                <w:sz w:val="22"/>
                <w:szCs w:val="22"/>
              </w:rPr>
            </w:pPr>
            <w:r w:rsidRPr="00EE687B">
              <w:rPr>
                <w:sz w:val="22"/>
                <w:szCs w:val="22"/>
              </w:rPr>
              <w:t>100%</w:t>
            </w:r>
          </w:p>
        </w:tc>
        <w:tc>
          <w:tcPr>
            <w:tcW w:w="1233" w:type="dxa"/>
            <w:tcBorders>
              <w:right w:val="single" w:sz="4" w:space="0" w:color="auto"/>
            </w:tcBorders>
            <w:shd w:val="clear" w:color="auto" w:fill="auto"/>
          </w:tcPr>
          <w:p w:rsidR="009709C5" w:rsidRPr="00EE687B" w:rsidRDefault="0078633D" w:rsidP="00EE687B">
            <w:pPr>
              <w:autoSpaceDE w:val="0"/>
              <w:autoSpaceDN w:val="0"/>
              <w:adjustRightInd w:val="0"/>
              <w:spacing w:after="120"/>
              <w:jc w:val="center"/>
              <w:rPr>
                <w:sz w:val="22"/>
                <w:szCs w:val="22"/>
              </w:rPr>
            </w:pPr>
            <w:r w:rsidRPr="00EE687B">
              <w:rPr>
                <w:sz w:val="22"/>
                <w:szCs w:val="22"/>
              </w:rPr>
              <w:t>95.8%</w:t>
            </w:r>
          </w:p>
        </w:tc>
        <w:tc>
          <w:tcPr>
            <w:tcW w:w="1233" w:type="dxa"/>
            <w:tcBorders>
              <w:left w:val="single" w:sz="4" w:space="0" w:color="auto"/>
            </w:tcBorders>
            <w:shd w:val="clear" w:color="auto" w:fill="auto"/>
          </w:tcPr>
          <w:p w:rsidR="009709C5" w:rsidRPr="00EE687B" w:rsidRDefault="0078633D" w:rsidP="00EE687B">
            <w:pPr>
              <w:autoSpaceDE w:val="0"/>
              <w:autoSpaceDN w:val="0"/>
              <w:adjustRightInd w:val="0"/>
              <w:spacing w:after="120"/>
              <w:jc w:val="center"/>
              <w:rPr>
                <w:sz w:val="22"/>
                <w:szCs w:val="22"/>
              </w:rPr>
            </w:pPr>
            <w:r w:rsidRPr="00EE687B">
              <w:rPr>
                <w:sz w:val="22"/>
                <w:szCs w:val="22"/>
              </w:rPr>
              <w:t>93.9%</w:t>
            </w:r>
          </w:p>
        </w:tc>
        <w:tc>
          <w:tcPr>
            <w:tcW w:w="1233" w:type="dxa"/>
            <w:shd w:val="clear" w:color="auto" w:fill="auto"/>
          </w:tcPr>
          <w:p w:rsidR="009709C5" w:rsidRPr="00EE687B" w:rsidRDefault="0078633D" w:rsidP="00EE687B">
            <w:pPr>
              <w:autoSpaceDE w:val="0"/>
              <w:autoSpaceDN w:val="0"/>
              <w:adjustRightInd w:val="0"/>
              <w:spacing w:after="120"/>
              <w:jc w:val="center"/>
              <w:rPr>
                <w:sz w:val="22"/>
                <w:szCs w:val="22"/>
              </w:rPr>
            </w:pPr>
            <w:r w:rsidRPr="00EE687B">
              <w:rPr>
                <w:sz w:val="22"/>
                <w:szCs w:val="22"/>
              </w:rPr>
              <w:t>95.6%</w:t>
            </w:r>
          </w:p>
        </w:tc>
        <w:tc>
          <w:tcPr>
            <w:tcW w:w="1233" w:type="dxa"/>
            <w:shd w:val="clear" w:color="auto" w:fill="auto"/>
          </w:tcPr>
          <w:p w:rsidR="009709C5" w:rsidRPr="00EE687B" w:rsidRDefault="0078633D" w:rsidP="00EE687B">
            <w:pPr>
              <w:autoSpaceDE w:val="0"/>
              <w:autoSpaceDN w:val="0"/>
              <w:adjustRightInd w:val="0"/>
              <w:spacing w:after="120"/>
              <w:jc w:val="center"/>
              <w:rPr>
                <w:sz w:val="22"/>
                <w:szCs w:val="22"/>
              </w:rPr>
            </w:pPr>
            <w:r w:rsidRPr="00EE687B">
              <w:rPr>
                <w:sz w:val="22"/>
                <w:szCs w:val="22"/>
              </w:rPr>
              <w:t>98.8%</w:t>
            </w:r>
          </w:p>
        </w:tc>
        <w:tc>
          <w:tcPr>
            <w:tcW w:w="1233" w:type="dxa"/>
            <w:shd w:val="clear" w:color="auto" w:fill="auto"/>
          </w:tcPr>
          <w:p w:rsidR="009709C5" w:rsidRPr="00EE687B" w:rsidRDefault="0078633D" w:rsidP="00EE687B">
            <w:pPr>
              <w:autoSpaceDE w:val="0"/>
              <w:autoSpaceDN w:val="0"/>
              <w:adjustRightInd w:val="0"/>
              <w:spacing w:after="120"/>
              <w:jc w:val="center"/>
              <w:rPr>
                <w:sz w:val="22"/>
                <w:szCs w:val="22"/>
              </w:rPr>
            </w:pPr>
            <w:r w:rsidRPr="00EE687B">
              <w:rPr>
                <w:sz w:val="22"/>
                <w:szCs w:val="22"/>
              </w:rPr>
              <w:t>95.8%</w:t>
            </w:r>
          </w:p>
        </w:tc>
        <w:tc>
          <w:tcPr>
            <w:tcW w:w="1233" w:type="dxa"/>
            <w:shd w:val="clear" w:color="auto" w:fill="auto"/>
          </w:tcPr>
          <w:p w:rsidR="009709C5" w:rsidRPr="00EE687B" w:rsidRDefault="0078633D" w:rsidP="00EE687B">
            <w:pPr>
              <w:autoSpaceDE w:val="0"/>
              <w:autoSpaceDN w:val="0"/>
              <w:adjustRightInd w:val="0"/>
              <w:spacing w:after="120"/>
              <w:jc w:val="center"/>
              <w:rPr>
                <w:sz w:val="22"/>
                <w:szCs w:val="22"/>
              </w:rPr>
            </w:pPr>
            <w:r w:rsidRPr="00EE687B">
              <w:rPr>
                <w:sz w:val="22"/>
                <w:szCs w:val="22"/>
              </w:rPr>
              <w:t>95.6%</w:t>
            </w:r>
          </w:p>
        </w:tc>
      </w:tr>
      <w:tr w:rsidR="009709C5" w:rsidRPr="00EE687B" w:rsidTr="00EE687B">
        <w:tc>
          <w:tcPr>
            <w:tcW w:w="1845" w:type="dxa"/>
            <w:shd w:val="clear" w:color="auto" w:fill="auto"/>
          </w:tcPr>
          <w:p w:rsidR="009709C5" w:rsidRPr="00EE687B" w:rsidRDefault="009709C5" w:rsidP="00EE687B">
            <w:pPr>
              <w:autoSpaceDE w:val="0"/>
              <w:autoSpaceDN w:val="0"/>
              <w:adjustRightInd w:val="0"/>
              <w:spacing w:after="120"/>
              <w:jc w:val="right"/>
              <w:rPr>
                <w:b/>
                <w:sz w:val="22"/>
                <w:szCs w:val="22"/>
              </w:rPr>
            </w:pPr>
            <w:r w:rsidRPr="00EE687B">
              <w:rPr>
                <w:b/>
                <w:sz w:val="22"/>
                <w:szCs w:val="22"/>
              </w:rPr>
              <w:t>5 yr survival</w:t>
            </w:r>
          </w:p>
        </w:tc>
        <w:tc>
          <w:tcPr>
            <w:tcW w:w="1233" w:type="dxa"/>
            <w:shd w:val="clear" w:color="auto" w:fill="auto"/>
          </w:tcPr>
          <w:p w:rsidR="009709C5" w:rsidRPr="00EE687B" w:rsidRDefault="0078633D" w:rsidP="00EE687B">
            <w:pPr>
              <w:autoSpaceDE w:val="0"/>
              <w:autoSpaceDN w:val="0"/>
              <w:adjustRightInd w:val="0"/>
              <w:spacing w:after="120"/>
              <w:jc w:val="center"/>
              <w:rPr>
                <w:sz w:val="22"/>
                <w:szCs w:val="22"/>
              </w:rPr>
            </w:pPr>
            <w:r w:rsidRPr="00EE687B">
              <w:rPr>
                <w:sz w:val="22"/>
                <w:szCs w:val="22"/>
              </w:rPr>
              <w:t>59.1%</w:t>
            </w:r>
          </w:p>
        </w:tc>
        <w:tc>
          <w:tcPr>
            <w:tcW w:w="1233" w:type="dxa"/>
            <w:tcBorders>
              <w:right w:val="single" w:sz="4" w:space="0" w:color="auto"/>
            </w:tcBorders>
            <w:shd w:val="clear" w:color="auto" w:fill="auto"/>
          </w:tcPr>
          <w:p w:rsidR="009709C5" w:rsidRPr="00EE687B" w:rsidRDefault="0078633D" w:rsidP="00EE687B">
            <w:pPr>
              <w:autoSpaceDE w:val="0"/>
              <w:autoSpaceDN w:val="0"/>
              <w:adjustRightInd w:val="0"/>
              <w:spacing w:after="120"/>
              <w:jc w:val="center"/>
              <w:rPr>
                <w:sz w:val="22"/>
                <w:szCs w:val="22"/>
              </w:rPr>
            </w:pPr>
            <w:r w:rsidRPr="00EE687B">
              <w:rPr>
                <w:sz w:val="22"/>
                <w:szCs w:val="22"/>
              </w:rPr>
              <w:t>83.2%</w:t>
            </w:r>
          </w:p>
        </w:tc>
        <w:tc>
          <w:tcPr>
            <w:tcW w:w="1233" w:type="dxa"/>
            <w:tcBorders>
              <w:left w:val="single" w:sz="4" w:space="0" w:color="auto"/>
            </w:tcBorders>
            <w:shd w:val="clear" w:color="auto" w:fill="auto"/>
          </w:tcPr>
          <w:p w:rsidR="009709C5" w:rsidRPr="00EE687B" w:rsidRDefault="0078633D" w:rsidP="00EE687B">
            <w:pPr>
              <w:autoSpaceDE w:val="0"/>
              <w:autoSpaceDN w:val="0"/>
              <w:adjustRightInd w:val="0"/>
              <w:spacing w:after="120"/>
              <w:jc w:val="center"/>
              <w:rPr>
                <w:sz w:val="22"/>
                <w:szCs w:val="22"/>
              </w:rPr>
            </w:pPr>
            <w:r w:rsidRPr="00EE687B">
              <w:rPr>
                <w:sz w:val="22"/>
                <w:szCs w:val="22"/>
              </w:rPr>
              <w:t>81.1%</w:t>
            </w:r>
          </w:p>
        </w:tc>
        <w:tc>
          <w:tcPr>
            <w:tcW w:w="1233" w:type="dxa"/>
            <w:shd w:val="clear" w:color="auto" w:fill="auto"/>
          </w:tcPr>
          <w:p w:rsidR="009709C5" w:rsidRPr="00EE687B" w:rsidRDefault="0078633D" w:rsidP="00EE687B">
            <w:pPr>
              <w:autoSpaceDE w:val="0"/>
              <w:autoSpaceDN w:val="0"/>
              <w:adjustRightInd w:val="0"/>
              <w:spacing w:after="120"/>
              <w:jc w:val="center"/>
              <w:rPr>
                <w:sz w:val="22"/>
                <w:szCs w:val="22"/>
              </w:rPr>
            </w:pPr>
            <w:r w:rsidRPr="00EE687B">
              <w:rPr>
                <w:sz w:val="22"/>
                <w:szCs w:val="22"/>
              </w:rPr>
              <w:t>87.1%</w:t>
            </w:r>
          </w:p>
        </w:tc>
        <w:tc>
          <w:tcPr>
            <w:tcW w:w="1233" w:type="dxa"/>
            <w:shd w:val="clear" w:color="auto" w:fill="auto"/>
          </w:tcPr>
          <w:p w:rsidR="009709C5" w:rsidRPr="00EE687B" w:rsidRDefault="0078633D" w:rsidP="00EE687B">
            <w:pPr>
              <w:autoSpaceDE w:val="0"/>
              <w:autoSpaceDN w:val="0"/>
              <w:adjustRightInd w:val="0"/>
              <w:spacing w:after="120"/>
              <w:jc w:val="center"/>
              <w:rPr>
                <w:sz w:val="22"/>
                <w:szCs w:val="22"/>
              </w:rPr>
            </w:pPr>
            <w:r w:rsidRPr="00EE687B">
              <w:rPr>
                <w:sz w:val="22"/>
                <w:szCs w:val="22"/>
              </w:rPr>
              <w:t>88.0%</w:t>
            </w:r>
          </w:p>
        </w:tc>
        <w:tc>
          <w:tcPr>
            <w:tcW w:w="1233" w:type="dxa"/>
            <w:shd w:val="clear" w:color="auto" w:fill="auto"/>
          </w:tcPr>
          <w:p w:rsidR="009709C5" w:rsidRPr="00EE687B" w:rsidRDefault="0078633D" w:rsidP="00EE687B">
            <w:pPr>
              <w:autoSpaceDE w:val="0"/>
              <w:autoSpaceDN w:val="0"/>
              <w:adjustRightInd w:val="0"/>
              <w:spacing w:after="120"/>
              <w:jc w:val="center"/>
              <w:rPr>
                <w:sz w:val="22"/>
                <w:szCs w:val="22"/>
              </w:rPr>
            </w:pPr>
            <w:r w:rsidRPr="00EE687B">
              <w:rPr>
                <w:sz w:val="22"/>
                <w:szCs w:val="22"/>
              </w:rPr>
              <w:t>83.3%</w:t>
            </w:r>
          </w:p>
        </w:tc>
        <w:tc>
          <w:tcPr>
            <w:tcW w:w="1233" w:type="dxa"/>
            <w:shd w:val="clear" w:color="auto" w:fill="auto"/>
          </w:tcPr>
          <w:p w:rsidR="009709C5" w:rsidRPr="00EE687B" w:rsidRDefault="0078633D" w:rsidP="00EE687B">
            <w:pPr>
              <w:autoSpaceDE w:val="0"/>
              <w:autoSpaceDN w:val="0"/>
              <w:adjustRightInd w:val="0"/>
              <w:spacing w:after="120"/>
              <w:jc w:val="center"/>
              <w:rPr>
                <w:sz w:val="22"/>
                <w:szCs w:val="22"/>
              </w:rPr>
            </w:pPr>
            <w:r w:rsidRPr="00EE687B">
              <w:rPr>
                <w:sz w:val="22"/>
                <w:szCs w:val="22"/>
              </w:rPr>
              <w:t>83.6%</w:t>
            </w:r>
          </w:p>
        </w:tc>
      </w:tr>
      <w:tr w:rsidR="009709C5" w:rsidRPr="00EE687B" w:rsidTr="00EE687B">
        <w:tc>
          <w:tcPr>
            <w:tcW w:w="1845" w:type="dxa"/>
            <w:shd w:val="clear" w:color="auto" w:fill="auto"/>
          </w:tcPr>
          <w:p w:rsidR="009709C5" w:rsidRPr="00EE687B" w:rsidRDefault="009709C5" w:rsidP="00EE687B">
            <w:pPr>
              <w:autoSpaceDE w:val="0"/>
              <w:autoSpaceDN w:val="0"/>
              <w:adjustRightInd w:val="0"/>
              <w:spacing w:after="120"/>
              <w:jc w:val="right"/>
              <w:rPr>
                <w:b/>
                <w:sz w:val="22"/>
                <w:szCs w:val="22"/>
              </w:rPr>
            </w:pPr>
            <w:r w:rsidRPr="00EE687B">
              <w:rPr>
                <w:b/>
                <w:sz w:val="22"/>
                <w:szCs w:val="22"/>
              </w:rPr>
              <w:t xml:space="preserve">5.75 </w:t>
            </w:r>
            <w:r w:rsidR="00B96C34" w:rsidRPr="00EE687B">
              <w:rPr>
                <w:b/>
                <w:sz w:val="22"/>
                <w:szCs w:val="22"/>
              </w:rPr>
              <w:t xml:space="preserve">year </w:t>
            </w:r>
            <w:r w:rsidRPr="00EE687B">
              <w:rPr>
                <w:b/>
                <w:sz w:val="22"/>
                <w:szCs w:val="22"/>
              </w:rPr>
              <w:t>Restricted mean survival</w:t>
            </w:r>
          </w:p>
        </w:tc>
        <w:tc>
          <w:tcPr>
            <w:tcW w:w="1233" w:type="dxa"/>
            <w:shd w:val="clear" w:color="auto" w:fill="auto"/>
          </w:tcPr>
          <w:p w:rsidR="009709C5" w:rsidRPr="00EE687B" w:rsidRDefault="00B96C34" w:rsidP="00EE687B">
            <w:pPr>
              <w:autoSpaceDE w:val="0"/>
              <w:autoSpaceDN w:val="0"/>
              <w:adjustRightInd w:val="0"/>
              <w:spacing w:after="120"/>
              <w:jc w:val="center"/>
              <w:rPr>
                <w:sz w:val="22"/>
                <w:szCs w:val="22"/>
              </w:rPr>
            </w:pPr>
            <w:r w:rsidRPr="00EE687B">
              <w:rPr>
                <w:sz w:val="22"/>
                <w:szCs w:val="22"/>
              </w:rPr>
              <w:t>4.91 years</w:t>
            </w:r>
          </w:p>
        </w:tc>
        <w:tc>
          <w:tcPr>
            <w:tcW w:w="1233" w:type="dxa"/>
            <w:tcBorders>
              <w:right w:val="single" w:sz="4" w:space="0" w:color="auto"/>
            </w:tcBorders>
            <w:shd w:val="clear" w:color="auto" w:fill="auto"/>
          </w:tcPr>
          <w:p w:rsidR="009709C5" w:rsidRPr="00EE687B" w:rsidRDefault="00B96C34" w:rsidP="00EE687B">
            <w:pPr>
              <w:autoSpaceDE w:val="0"/>
              <w:autoSpaceDN w:val="0"/>
              <w:adjustRightInd w:val="0"/>
              <w:spacing w:after="120"/>
              <w:jc w:val="center"/>
              <w:rPr>
                <w:sz w:val="22"/>
                <w:szCs w:val="22"/>
              </w:rPr>
            </w:pPr>
            <w:r w:rsidRPr="00EE687B">
              <w:rPr>
                <w:sz w:val="22"/>
                <w:szCs w:val="22"/>
              </w:rPr>
              <w:t>5.24 years</w:t>
            </w:r>
          </w:p>
        </w:tc>
        <w:tc>
          <w:tcPr>
            <w:tcW w:w="1233" w:type="dxa"/>
            <w:tcBorders>
              <w:left w:val="single" w:sz="4" w:space="0" w:color="auto"/>
            </w:tcBorders>
            <w:shd w:val="clear" w:color="auto" w:fill="auto"/>
          </w:tcPr>
          <w:p w:rsidR="009709C5" w:rsidRPr="00EE687B" w:rsidRDefault="00B96C34" w:rsidP="00EE687B">
            <w:pPr>
              <w:autoSpaceDE w:val="0"/>
              <w:autoSpaceDN w:val="0"/>
              <w:adjustRightInd w:val="0"/>
              <w:spacing w:after="120"/>
              <w:jc w:val="center"/>
              <w:rPr>
                <w:sz w:val="22"/>
                <w:szCs w:val="22"/>
              </w:rPr>
            </w:pPr>
            <w:r w:rsidRPr="00EE687B">
              <w:rPr>
                <w:sz w:val="22"/>
                <w:szCs w:val="22"/>
              </w:rPr>
              <w:t>5.23 years</w:t>
            </w:r>
          </w:p>
        </w:tc>
        <w:tc>
          <w:tcPr>
            <w:tcW w:w="1233" w:type="dxa"/>
            <w:shd w:val="clear" w:color="auto" w:fill="auto"/>
          </w:tcPr>
          <w:p w:rsidR="009709C5" w:rsidRPr="00EE687B" w:rsidRDefault="00B96C34" w:rsidP="00EE687B">
            <w:pPr>
              <w:autoSpaceDE w:val="0"/>
              <w:autoSpaceDN w:val="0"/>
              <w:adjustRightInd w:val="0"/>
              <w:spacing w:after="120"/>
              <w:jc w:val="center"/>
              <w:rPr>
                <w:sz w:val="22"/>
                <w:szCs w:val="22"/>
              </w:rPr>
            </w:pPr>
            <w:r w:rsidRPr="00EE687B">
              <w:rPr>
                <w:sz w:val="22"/>
                <w:szCs w:val="22"/>
              </w:rPr>
              <w:t>5.35 years</w:t>
            </w:r>
          </w:p>
        </w:tc>
        <w:tc>
          <w:tcPr>
            <w:tcW w:w="1233" w:type="dxa"/>
            <w:shd w:val="clear" w:color="auto" w:fill="auto"/>
          </w:tcPr>
          <w:p w:rsidR="009709C5" w:rsidRPr="00EE687B" w:rsidRDefault="00B96C34" w:rsidP="00EE687B">
            <w:pPr>
              <w:autoSpaceDE w:val="0"/>
              <w:autoSpaceDN w:val="0"/>
              <w:adjustRightInd w:val="0"/>
              <w:spacing w:after="120"/>
              <w:jc w:val="center"/>
              <w:rPr>
                <w:sz w:val="22"/>
                <w:szCs w:val="22"/>
              </w:rPr>
            </w:pPr>
            <w:r w:rsidRPr="00EE687B">
              <w:rPr>
                <w:sz w:val="22"/>
                <w:szCs w:val="22"/>
              </w:rPr>
              <w:t>5.45 years</w:t>
            </w:r>
          </w:p>
        </w:tc>
        <w:tc>
          <w:tcPr>
            <w:tcW w:w="1233" w:type="dxa"/>
            <w:shd w:val="clear" w:color="auto" w:fill="auto"/>
          </w:tcPr>
          <w:p w:rsidR="009709C5" w:rsidRPr="00EE687B" w:rsidRDefault="00B96C34" w:rsidP="00EE687B">
            <w:pPr>
              <w:autoSpaceDE w:val="0"/>
              <w:autoSpaceDN w:val="0"/>
              <w:adjustRightInd w:val="0"/>
              <w:spacing w:after="120"/>
              <w:jc w:val="center"/>
              <w:rPr>
                <w:sz w:val="22"/>
                <w:szCs w:val="22"/>
              </w:rPr>
            </w:pPr>
            <w:r w:rsidRPr="00EE687B">
              <w:rPr>
                <w:sz w:val="22"/>
                <w:szCs w:val="22"/>
              </w:rPr>
              <w:t>5.32 years</w:t>
            </w:r>
          </w:p>
        </w:tc>
        <w:tc>
          <w:tcPr>
            <w:tcW w:w="1233" w:type="dxa"/>
            <w:shd w:val="clear" w:color="auto" w:fill="auto"/>
          </w:tcPr>
          <w:p w:rsidR="009709C5" w:rsidRPr="00EE687B" w:rsidRDefault="00B96C34" w:rsidP="00EE687B">
            <w:pPr>
              <w:autoSpaceDE w:val="0"/>
              <w:autoSpaceDN w:val="0"/>
              <w:adjustRightInd w:val="0"/>
              <w:spacing w:after="120"/>
              <w:jc w:val="center"/>
              <w:rPr>
                <w:sz w:val="22"/>
                <w:szCs w:val="22"/>
              </w:rPr>
            </w:pPr>
            <w:r w:rsidRPr="00EE687B">
              <w:rPr>
                <w:sz w:val="22"/>
                <w:szCs w:val="22"/>
              </w:rPr>
              <w:t>5.29 years</w:t>
            </w:r>
          </w:p>
        </w:tc>
      </w:tr>
    </w:tbl>
    <w:p w:rsidR="009709C5" w:rsidRPr="00734FBA" w:rsidRDefault="009709C5" w:rsidP="009709C5">
      <w:pPr>
        <w:autoSpaceDE w:val="0"/>
        <w:autoSpaceDN w:val="0"/>
        <w:adjustRightInd w:val="0"/>
        <w:spacing w:after="120"/>
        <w:rPr>
          <w:b/>
          <w:sz w:val="22"/>
          <w:szCs w:val="22"/>
        </w:rPr>
      </w:pPr>
    </w:p>
    <w:p w:rsidR="009709C5" w:rsidRDefault="00387930" w:rsidP="009709C5">
      <w:pPr>
        <w:autoSpaceDE w:val="0"/>
        <w:autoSpaceDN w:val="0"/>
        <w:adjustRightInd w:val="0"/>
        <w:spacing w:after="120"/>
        <w:rPr>
          <w:sz w:val="22"/>
          <w:szCs w:val="22"/>
        </w:rPr>
      </w:pPr>
      <w:r>
        <w:rPr>
          <w:noProof/>
          <w:sz w:val="22"/>
          <w:szCs w:val="22"/>
        </w:rPr>
        <w:lastRenderedPageBreak/>
        <w:drawing>
          <wp:inline distT="0" distB="0" distL="0" distR="0">
            <wp:extent cx="6121400" cy="492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1400" cy="4927600"/>
                    </a:xfrm>
                    <a:prstGeom prst="rect">
                      <a:avLst/>
                    </a:prstGeom>
                    <a:noFill/>
                    <a:ln>
                      <a:noFill/>
                    </a:ln>
                  </pic:spPr>
                </pic:pic>
              </a:graphicData>
            </a:graphic>
          </wp:inline>
        </w:drawing>
      </w:r>
    </w:p>
    <w:p w:rsidR="00734FBA" w:rsidRDefault="00734FBA" w:rsidP="00734FBA">
      <w:pPr>
        <w:autoSpaceDE w:val="0"/>
        <w:autoSpaceDN w:val="0"/>
        <w:adjustRightInd w:val="0"/>
        <w:rPr>
          <w:b/>
          <w:sz w:val="22"/>
          <w:szCs w:val="22"/>
        </w:rPr>
      </w:pPr>
      <w:r w:rsidRPr="00734FBA">
        <w:rPr>
          <w:b/>
          <w:sz w:val="22"/>
          <w:szCs w:val="22"/>
          <w:u w:val="single"/>
        </w:rPr>
        <w:t>Met</w:t>
      </w:r>
      <w:r>
        <w:rPr>
          <w:b/>
          <w:sz w:val="22"/>
          <w:szCs w:val="22"/>
          <w:u w:val="single"/>
        </w:rPr>
        <w:t>hods for inferential Statistics</w:t>
      </w:r>
      <w:r w:rsidRPr="00734FBA">
        <w:rPr>
          <w:b/>
          <w:sz w:val="22"/>
          <w:szCs w:val="22"/>
        </w:rPr>
        <w:t>:</w:t>
      </w:r>
      <w:r>
        <w:rPr>
          <w:b/>
          <w:sz w:val="22"/>
          <w:szCs w:val="22"/>
        </w:rPr>
        <w:t xml:space="preserve"> We estimated presence of an association between survival and blood serum LDL using the </w:t>
      </w:r>
      <w:r w:rsidR="00D57EA7">
        <w:rPr>
          <w:b/>
          <w:sz w:val="22"/>
          <w:szCs w:val="22"/>
        </w:rPr>
        <w:t>Wald</w:t>
      </w:r>
      <w:r w:rsidR="007B485B">
        <w:rPr>
          <w:b/>
          <w:sz w:val="22"/>
          <w:szCs w:val="22"/>
        </w:rPr>
        <w:t xml:space="preserve"> test </w:t>
      </w:r>
      <w:r w:rsidR="00D57EA7">
        <w:rPr>
          <w:b/>
          <w:sz w:val="22"/>
          <w:szCs w:val="22"/>
        </w:rPr>
        <w:t xml:space="preserve">and chi-square statistic, </w:t>
      </w:r>
      <w:r w:rsidR="007B485B">
        <w:rPr>
          <w:b/>
          <w:sz w:val="22"/>
          <w:szCs w:val="22"/>
        </w:rPr>
        <w:t xml:space="preserve">comparing an unadjusted model to the </w:t>
      </w:r>
      <w:r>
        <w:rPr>
          <w:b/>
          <w:sz w:val="22"/>
          <w:szCs w:val="22"/>
        </w:rPr>
        <w:t>cox proportional hazard regression model based on the ordinal categorical predictor serum LDL (low density lipoprotein, measured in mg/dL)</w:t>
      </w:r>
      <w:r w:rsidR="007B485B">
        <w:rPr>
          <w:b/>
          <w:sz w:val="22"/>
          <w:szCs w:val="22"/>
        </w:rPr>
        <w:t>. LDL was s</w:t>
      </w:r>
      <w:r>
        <w:rPr>
          <w:b/>
          <w:sz w:val="22"/>
          <w:szCs w:val="22"/>
        </w:rPr>
        <w:t>plit into the following categories</w:t>
      </w:r>
      <w:r w:rsidR="007B485B">
        <w:rPr>
          <w:b/>
          <w:sz w:val="22"/>
          <w:szCs w:val="22"/>
        </w:rPr>
        <w:t>,</w:t>
      </w:r>
      <w:r>
        <w:rPr>
          <w:b/>
          <w:sz w:val="22"/>
          <w:szCs w:val="22"/>
        </w:rPr>
        <w:t xml:space="preserve"> defined by the Mayo Clinic guidelines: </w:t>
      </w:r>
      <w:r w:rsidRPr="00640972">
        <w:rPr>
          <w:b/>
          <w:sz w:val="22"/>
          <w:szCs w:val="22"/>
        </w:rPr>
        <w:t>less than 70 mg/dL, 70-99 mg/dL, 100-129 mg/dL, 130-159 mg/dL, 160-189 mg/dL, and greater than or equal to 190 mg/dL.</w:t>
      </w:r>
      <w:r w:rsidRPr="00F15AC7">
        <w:rPr>
          <w:b/>
          <w:sz w:val="22"/>
          <w:szCs w:val="22"/>
        </w:rPr>
        <w:t xml:space="preserve"> </w:t>
      </w:r>
    </w:p>
    <w:p w:rsidR="00734FBA" w:rsidRDefault="00734FBA" w:rsidP="00734FBA">
      <w:pPr>
        <w:autoSpaceDE w:val="0"/>
        <w:autoSpaceDN w:val="0"/>
        <w:adjustRightInd w:val="0"/>
        <w:rPr>
          <w:b/>
          <w:sz w:val="22"/>
          <w:szCs w:val="22"/>
        </w:rPr>
      </w:pPr>
    </w:p>
    <w:p w:rsidR="00734FBA" w:rsidRPr="00D57EA7" w:rsidRDefault="007B485B" w:rsidP="00D57EA7">
      <w:pPr>
        <w:autoSpaceDE w:val="0"/>
        <w:autoSpaceDN w:val="0"/>
        <w:adjustRightInd w:val="0"/>
        <w:spacing w:after="120"/>
        <w:rPr>
          <w:b/>
          <w:sz w:val="22"/>
          <w:szCs w:val="22"/>
        </w:rPr>
      </w:pPr>
      <w:commentRangeStart w:id="10"/>
      <w:r w:rsidRPr="007F37AF">
        <w:rPr>
          <w:b/>
          <w:sz w:val="22"/>
          <w:szCs w:val="22"/>
          <w:u w:val="single"/>
        </w:rPr>
        <w:t>Results</w:t>
      </w:r>
      <w:commentRangeEnd w:id="10"/>
      <w:r w:rsidR="00D00208">
        <w:rPr>
          <w:rStyle w:val="CommentReference"/>
        </w:rPr>
        <w:commentReference w:id="10"/>
      </w:r>
      <w:r w:rsidRPr="007F37AF">
        <w:rPr>
          <w:b/>
          <w:sz w:val="22"/>
          <w:szCs w:val="22"/>
        </w:rPr>
        <w:t xml:space="preserve">: </w:t>
      </w:r>
      <w:r w:rsidR="00DD5E72">
        <w:rPr>
          <w:b/>
          <w:sz w:val="22"/>
          <w:szCs w:val="22"/>
        </w:rPr>
        <w:t>Based on this analysis</w:t>
      </w:r>
      <w:r w:rsidRPr="007F37AF">
        <w:rPr>
          <w:b/>
          <w:sz w:val="22"/>
          <w:szCs w:val="22"/>
        </w:rPr>
        <w:t xml:space="preserve">, we conclude that there is </w:t>
      </w:r>
      <w:r w:rsidR="00DD5E72">
        <w:rPr>
          <w:b/>
          <w:sz w:val="22"/>
          <w:szCs w:val="22"/>
        </w:rPr>
        <w:t xml:space="preserve">a significant association between serum LDL and survival probability (two-sided p value </w:t>
      </w:r>
      <w:r w:rsidR="00D27235" w:rsidRPr="00D27235">
        <w:rPr>
          <w:b/>
          <w:sz w:val="22"/>
          <w:szCs w:val="22"/>
        </w:rPr>
        <w:t>0.0087</w:t>
      </w:r>
      <w:r w:rsidR="00DD5E72">
        <w:rPr>
          <w:b/>
          <w:sz w:val="22"/>
          <w:szCs w:val="22"/>
        </w:rPr>
        <w:t>)</w:t>
      </w:r>
    </w:p>
    <w:p w:rsidR="003205A5" w:rsidRDefault="003205A5" w:rsidP="003205A5">
      <w:pPr>
        <w:numPr>
          <w:ilvl w:val="1"/>
          <w:numId w:val="19"/>
        </w:numPr>
        <w:autoSpaceDE w:val="0"/>
        <w:autoSpaceDN w:val="0"/>
        <w:adjustRightInd w:val="0"/>
        <w:spacing w:after="120"/>
        <w:rPr>
          <w:sz w:val="22"/>
          <w:szCs w:val="22"/>
        </w:rPr>
      </w:pPr>
      <w:r>
        <w:rPr>
          <w:sz w:val="22"/>
          <w:szCs w:val="22"/>
        </w:rPr>
        <w:t xml:space="preserve">Provide an interpretation for each parameter in your regression model, including the </w:t>
      </w:r>
      <w:commentRangeStart w:id="11"/>
      <w:r>
        <w:rPr>
          <w:sz w:val="22"/>
          <w:szCs w:val="22"/>
        </w:rPr>
        <w:t>intercept</w:t>
      </w:r>
      <w:commentRangeEnd w:id="11"/>
      <w:r w:rsidR="00D00208">
        <w:rPr>
          <w:rStyle w:val="CommentReference"/>
        </w:rPr>
        <w:commentReference w:id="11"/>
      </w:r>
      <w:r>
        <w:rPr>
          <w:sz w:val="22"/>
          <w:szCs w:val="22"/>
        </w:rPr>
        <w:t>.</w:t>
      </w:r>
    </w:p>
    <w:p w:rsidR="0028070C" w:rsidRDefault="00E1142D" w:rsidP="0028070C">
      <w:pPr>
        <w:autoSpaceDE w:val="0"/>
        <w:autoSpaceDN w:val="0"/>
        <w:adjustRightInd w:val="0"/>
        <w:spacing w:after="120"/>
        <w:rPr>
          <w:b/>
          <w:sz w:val="22"/>
          <w:szCs w:val="22"/>
        </w:rPr>
      </w:pPr>
      <w:r>
        <w:rPr>
          <w:b/>
          <w:sz w:val="22"/>
          <w:szCs w:val="22"/>
        </w:rPr>
        <w:t xml:space="preserve">The intercept of this model is the estimated instantaneous risk of death for the group of subjects whose blood serum LDL is lowest (between 0-69 mg/dL, this group is used as the reference for the other 5 LDL groups). </w:t>
      </w:r>
      <w:r w:rsidR="0028070C">
        <w:rPr>
          <w:b/>
          <w:sz w:val="22"/>
          <w:szCs w:val="22"/>
        </w:rPr>
        <w:t>Each</w:t>
      </w:r>
      <w:r>
        <w:rPr>
          <w:b/>
          <w:sz w:val="22"/>
          <w:szCs w:val="22"/>
        </w:rPr>
        <w:t xml:space="preserve"> of the other</w:t>
      </w:r>
      <w:r w:rsidR="0028070C" w:rsidRPr="007F37AF">
        <w:rPr>
          <w:b/>
          <w:sz w:val="22"/>
          <w:szCs w:val="22"/>
        </w:rPr>
        <w:t xml:space="preserve"> parameter</w:t>
      </w:r>
      <w:r>
        <w:rPr>
          <w:b/>
          <w:sz w:val="22"/>
          <w:szCs w:val="22"/>
        </w:rPr>
        <w:t>s represent</w:t>
      </w:r>
      <w:r w:rsidR="0028070C" w:rsidRPr="007F37AF">
        <w:rPr>
          <w:b/>
          <w:sz w:val="22"/>
          <w:szCs w:val="22"/>
        </w:rPr>
        <w:t xml:space="preserve"> the </w:t>
      </w:r>
      <w:r w:rsidR="00710D77">
        <w:rPr>
          <w:b/>
          <w:sz w:val="22"/>
          <w:szCs w:val="22"/>
        </w:rPr>
        <w:t xml:space="preserve">ratio of the estimated </w:t>
      </w:r>
      <w:r w:rsidR="0028070C">
        <w:rPr>
          <w:b/>
          <w:sz w:val="22"/>
          <w:szCs w:val="22"/>
        </w:rPr>
        <w:t xml:space="preserve">instantaneous risk </w:t>
      </w:r>
      <w:r w:rsidR="0028070C" w:rsidRPr="007F37AF">
        <w:rPr>
          <w:b/>
          <w:sz w:val="22"/>
          <w:szCs w:val="22"/>
        </w:rPr>
        <w:t xml:space="preserve">of </w:t>
      </w:r>
      <w:r w:rsidR="0028070C">
        <w:rPr>
          <w:b/>
          <w:sz w:val="22"/>
          <w:szCs w:val="22"/>
        </w:rPr>
        <w:t>death for each category of serum LDL</w:t>
      </w:r>
      <w:r w:rsidR="00710D77">
        <w:rPr>
          <w:b/>
          <w:sz w:val="22"/>
          <w:szCs w:val="22"/>
        </w:rPr>
        <w:t xml:space="preserve"> (other than the reference group) compared to the reference group of 0-69 mg/dL</w:t>
      </w:r>
      <w:r w:rsidR="0028070C" w:rsidRPr="007F37AF">
        <w:rPr>
          <w:b/>
          <w:sz w:val="22"/>
          <w:szCs w:val="22"/>
        </w:rPr>
        <w:t xml:space="preserve">. </w:t>
      </w:r>
    </w:p>
    <w:p w:rsidR="00DD5E72" w:rsidRPr="007F37AF" w:rsidRDefault="00DD5E72" w:rsidP="0028070C">
      <w:pPr>
        <w:autoSpaceDE w:val="0"/>
        <w:autoSpaceDN w:val="0"/>
        <w:adjustRightInd w:val="0"/>
        <w:spacing w:after="120"/>
        <w:rPr>
          <w:b/>
          <w:sz w:val="22"/>
          <w:szCs w:val="22"/>
        </w:rPr>
      </w:pPr>
    </w:p>
    <w:p w:rsidR="0028070C" w:rsidRDefault="0028070C" w:rsidP="0028070C">
      <w:pPr>
        <w:autoSpaceDE w:val="0"/>
        <w:autoSpaceDN w:val="0"/>
        <w:adjustRightInd w:val="0"/>
        <w:spacing w:after="120"/>
        <w:rPr>
          <w:sz w:val="22"/>
          <w:szCs w:val="22"/>
        </w:rPr>
      </w:pPr>
    </w:p>
    <w:p w:rsidR="00A04727" w:rsidRDefault="00A04727" w:rsidP="003205A5">
      <w:pPr>
        <w:numPr>
          <w:ilvl w:val="1"/>
          <w:numId w:val="19"/>
        </w:numPr>
        <w:autoSpaceDE w:val="0"/>
        <w:autoSpaceDN w:val="0"/>
        <w:adjustRightInd w:val="0"/>
        <w:spacing w:after="120"/>
        <w:rPr>
          <w:sz w:val="22"/>
          <w:szCs w:val="22"/>
        </w:rPr>
      </w:pPr>
      <w:commentRangeStart w:id="12"/>
      <w:r>
        <w:rPr>
          <w:sz w:val="22"/>
          <w:szCs w:val="22"/>
        </w:rPr>
        <w:lastRenderedPageBreak/>
        <w:t>What</w:t>
      </w:r>
      <w:commentRangeEnd w:id="12"/>
      <w:r w:rsidR="00D00208">
        <w:rPr>
          <w:rStyle w:val="CommentReference"/>
        </w:rPr>
        <w:commentReference w:id="12"/>
      </w:r>
      <w:r>
        <w:rPr>
          <w:sz w:val="22"/>
          <w:szCs w:val="22"/>
        </w:rPr>
        <w:t xml:space="preserve"> analysis would you perform to assess whether the regression model used in this problem provides a “better fit” than does a model that uses only a continuous linear term for LDL? What is the result of such an analysis?</w:t>
      </w:r>
    </w:p>
    <w:p w:rsidR="00090335" w:rsidRPr="00FD6A8E" w:rsidRDefault="00090335" w:rsidP="00FD6A8E">
      <w:pPr>
        <w:autoSpaceDE w:val="0"/>
        <w:autoSpaceDN w:val="0"/>
        <w:adjustRightInd w:val="0"/>
        <w:spacing w:after="120"/>
        <w:rPr>
          <w:b/>
          <w:sz w:val="22"/>
          <w:szCs w:val="22"/>
        </w:rPr>
      </w:pPr>
      <w:r>
        <w:rPr>
          <w:b/>
          <w:sz w:val="22"/>
          <w:szCs w:val="22"/>
        </w:rPr>
        <w:t xml:space="preserve">To test the fit efficacy of the model using 6 categories of LDL, compared to the model using a continuous linear predictor of LDL </w:t>
      </w:r>
      <w:r w:rsidR="00710D77">
        <w:rPr>
          <w:b/>
          <w:sz w:val="22"/>
          <w:szCs w:val="22"/>
        </w:rPr>
        <w:t>we</w:t>
      </w:r>
      <w:r>
        <w:rPr>
          <w:b/>
          <w:sz w:val="22"/>
          <w:szCs w:val="22"/>
        </w:rPr>
        <w:t xml:space="preserve"> use the Wald test </w:t>
      </w:r>
      <w:r w:rsidR="00710D77">
        <w:rPr>
          <w:b/>
          <w:sz w:val="22"/>
          <w:szCs w:val="22"/>
        </w:rPr>
        <w:t>based on the chi square-statistic</w:t>
      </w:r>
      <w:r>
        <w:rPr>
          <w:b/>
          <w:sz w:val="22"/>
          <w:szCs w:val="22"/>
        </w:rPr>
        <w:t xml:space="preserve">, where two proportional hazards regression models are compared: the one which included the continuous linear predictor LDL and the other having this predictor in addition to the 6 categories of LDL. Based on this test, we fail to reject the hypothesis that adding a categorical term provides a better fit than the linear model, based on a two-sided p value of </w:t>
      </w:r>
      <w:r w:rsidR="00710D77" w:rsidRPr="00710D77">
        <w:rPr>
          <w:b/>
          <w:sz w:val="22"/>
          <w:szCs w:val="22"/>
        </w:rPr>
        <w:t>0.3988</w:t>
      </w:r>
      <w:r>
        <w:rPr>
          <w:b/>
          <w:sz w:val="22"/>
          <w:szCs w:val="22"/>
        </w:rPr>
        <w:t xml:space="preserve">. Conducting this analysis specifically tells us that there is not sufficient evidence for non-linearity in survival probability, as it relates to serum LDL, based on the stratification </w:t>
      </w:r>
      <w:r w:rsidR="005F5EC8">
        <w:rPr>
          <w:b/>
          <w:sz w:val="22"/>
          <w:szCs w:val="22"/>
        </w:rPr>
        <w:t>that we employ.</w:t>
      </w:r>
    </w:p>
    <w:p w:rsidR="00125DD5" w:rsidRPr="009D5804" w:rsidRDefault="00A459C8" w:rsidP="003205A5">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w:t>
      </w:r>
      <w:r w:rsidR="00A620A3">
        <w:rPr>
          <w:sz w:val="22"/>
          <w:szCs w:val="22"/>
        </w:rPr>
        <w:t xml:space="preserve">(This will be used in problem 4). </w:t>
      </w:r>
      <w:r w:rsidR="003205A5">
        <w:rPr>
          <w:sz w:val="22"/>
          <w:szCs w:val="22"/>
        </w:rPr>
        <w:t>This can be effected by generating fitted hazard ratio estimates for each individual in the sample, and then dividing that fitted value by the fitted value for a subject having a LDL of 160 mg/dL.</w:t>
      </w:r>
      <w:r>
        <w:rPr>
          <w:rFonts w:ascii="Courier New" w:hAnsi="Courier New" w:cs="Courier New"/>
          <w:sz w:val="22"/>
          <w:szCs w:val="22"/>
        </w:rPr>
        <w:t xml:space="preserve"> </w:t>
      </w:r>
      <w:r w:rsidR="00BF5CB8">
        <w:rPr>
          <w:sz w:val="22"/>
          <w:szCs w:val="22"/>
        </w:rPr>
        <w:t xml:space="preserve"> </w:t>
      </w:r>
    </w:p>
    <w:p w:rsidR="003205A5" w:rsidRDefault="003205A5" w:rsidP="00A04727">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linear splines using the categories suggested by the Mayo Clinic as reported on Homework #1. The Stata </w:t>
      </w:r>
      <w:r>
        <w:rPr>
          <w:rFonts w:ascii="Courier New" w:hAnsi="Courier New" w:cs="Courier New"/>
          <w:sz w:val="22"/>
          <w:szCs w:val="22"/>
        </w:rPr>
        <w:t>mkspline</w:t>
      </w:r>
      <w:r>
        <w:rPr>
          <w:sz w:val="22"/>
          <w:szCs w:val="22"/>
        </w:rPr>
        <w:t xml:space="preserve"> command can be used to </w:t>
      </w:r>
      <w:r w:rsidR="00A04727">
        <w:rPr>
          <w:sz w:val="22"/>
          <w:szCs w:val="22"/>
        </w:rPr>
        <w:t>create the predictors that can be used in a regression</w:t>
      </w:r>
    </w:p>
    <w:p w:rsidR="003205A5" w:rsidRPr="00A04727" w:rsidRDefault="003205A5" w:rsidP="003205A5">
      <w:pPr>
        <w:autoSpaceDE w:val="0"/>
        <w:autoSpaceDN w:val="0"/>
        <w:adjustRightInd w:val="0"/>
        <w:spacing w:after="120"/>
        <w:ind w:left="360"/>
        <w:jc w:val="center"/>
      </w:pPr>
      <w:r w:rsidRPr="00A04727">
        <w:rPr>
          <w:rFonts w:ascii="Courier New" w:hAnsi="Courier New" w:cs="Courier New"/>
        </w:rPr>
        <w:t>mkspline ldl0 70 ldl70 100 ldl100 130 ldl130 160 ldl160 190 ldl190 = ldl</w:t>
      </w:r>
    </w:p>
    <w:p w:rsidR="003205A5" w:rsidRDefault="003205A5" w:rsidP="003205A5">
      <w:pPr>
        <w:numPr>
          <w:ilvl w:val="1"/>
          <w:numId w:val="19"/>
        </w:numPr>
        <w:autoSpaceDE w:val="0"/>
        <w:autoSpaceDN w:val="0"/>
        <w:adjustRightInd w:val="0"/>
        <w:spacing w:after="120"/>
        <w:rPr>
          <w:sz w:val="22"/>
          <w:szCs w:val="22"/>
        </w:rPr>
      </w:pPr>
      <w:r>
        <w:rPr>
          <w:sz w:val="22"/>
          <w:szCs w:val="22"/>
        </w:rPr>
        <w:t>Include full description of your methods, appropriate descriptive statistics, and full report of your inferential statistics.</w:t>
      </w:r>
    </w:p>
    <w:p w:rsidR="008D4B6F" w:rsidRDefault="008D4B6F" w:rsidP="008D4B6F">
      <w:pPr>
        <w:autoSpaceDE w:val="0"/>
        <w:autoSpaceDN w:val="0"/>
        <w:adjustRightInd w:val="0"/>
        <w:rPr>
          <w:b/>
          <w:sz w:val="22"/>
          <w:szCs w:val="22"/>
        </w:rPr>
      </w:pPr>
      <w:r w:rsidRPr="00734FBA">
        <w:rPr>
          <w:b/>
          <w:sz w:val="22"/>
          <w:szCs w:val="22"/>
          <w:u w:val="single"/>
        </w:rPr>
        <w:t>Met</w:t>
      </w:r>
      <w:r>
        <w:rPr>
          <w:b/>
          <w:sz w:val="22"/>
          <w:szCs w:val="22"/>
          <w:u w:val="single"/>
        </w:rPr>
        <w:t>hods and inference for descriptive Statistics</w:t>
      </w:r>
      <w:r w:rsidRPr="00734FBA">
        <w:rPr>
          <w:b/>
          <w:sz w:val="22"/>
          <w:szCs w:val="22"/>
        </w:rPr>
        <w:t>:</w:t>
      </w:r>
      <w:r>
        <w:rPr>
          <w:b/>
          <w:sz w:val="22"/>
          <w:szCs w:val="22"/>
        </w:rPr>
        <w:t xml:space="preserve"> (See 2a)</w:t>
      </w:r>
    </w:p>
    <w:p w:rsidR="008D4B6F" w:rsidRDefault="008D4B6F" w:rsidP="008D4B6F">
      <w:pPr>
        <w:autoSpaceDE w:val="0"/>
        <w:autoSpaceDN w:val="0"/>
        <w:adjustRightInd w:val="0"/>
        <w:spacing w:after="120"/>
        <w:rPr>
          <w:sz w:val="22"/>
          <w:szCs w:val="22"/>
        </w:rPr>
      </w:pPr>
    </w:p>
    <w:p w:rsidR="00D57EA7" w:rsidRDefault="00D57EA7" w:rsidP="00147EC6">
      <w:pPr>
        <w:autoSpaceDE w:val="0"/>
        <w:autoSpaceDN w:val="0"/>
        <w:adjustRightInd w:val="0"/>
        <w:rPr>
          <w:b/>
          <w:sz w:val="22"/>
          <w:szCs w:val="22"/>
        </w:rPr>
      </w:pPr>
      <w:r w:rsidRPr="00734FBA">
        <w:rPr>
          <w:b/>
          <w:sz w:val="22"/>
          <w:szCs w:val="22"/>
          <w:u w:val="single"/>
        </w:rPr>
        <w:t>Met</w:t>
      </w:r>
      <w:r>
        <w:rPr>
          <w:b/>
          <w:sz w:val="22"/>
          <w:szCs w:val="22"/>
          <w:u w:val="single"/>
        </w:rPr>
        <w:t>hods for inferential Statistics</w:t>
      </w:r>
      <w:r w:rsidRPr="00734FBA">
        <w:rPr>
          <w:b/>
          <w:sz w:val="22"/>
          <w:szCs w:val="22"/>
        </w:rPr>
        <w:t>:</w:t>
      </w:r>
      <w:r>
        <w:rPr>
          <w:b/>
          <w:sz w:val="22"/>
          <w:szCs w:val="22"/>
        </w:rPr>
        <w:t xml:space="preserve"> We estimated presence of an association between survival and blood serum LDL using the </w:t>
      </w:r>
      <w:r w:rsidR="00FE3133">
        <w:rPr>
          <w:b/>
          <w:sz w:val="22"/>
          <w:szCs w:val="22"/>
        </w:rPr>
        <w:t>Wald</w:t>
      </w:r>
      <w:r>
        <w:rPr>
          <w:b/>
          <w:sz w:val="22"/>
          <w:szCs w:val="22"/>
        </w:rPr>
        <w:t xml:space="preserve"> test comparing an unadjusted model to the cox proportional hazard regression model based on the predictor serum LDL (low density lipoprotein, measured in mg/dL)</w:t>
      </w:r>
      <w:r w:rsidR="00FE3133">
        <w:rPr>
          <w:b/>
          <w:sz w:val="22"/>
          <w:szCs w:val="22"/>
        </w:rPr>
        <w:t>,</w:t>
      </w:r>
      <w:r>
        <w:rPr>
          <w:b/>
          <w:sz w:val="22"/>
          <w:szCs w:val="22"/>
        </w:rPr>
        <w:t xml:space="preserve"> </w:t>
      </w:r>
      <w:r w:rsidR="00710D77">
        <w:rPr>
          <w:b/>
          <w:sz w:val="22"/>
          <w:szCs w:val="22"/>
        </w:rPr>
        <w:t>fit by linear splines using the</w:t>
      </w:r>
      <w:r>
        <w:rPr>
          <w:b/>
          <w:sz w:val="22"/>
          <w:szCs w:val="22"/>
        </w:rPr>
        <w:t xml:space="preserve"> following </w:t>
      </w:r>
      <w:r w:rsidR="00FE3133">
        <w:rPr>
          <w:b/>
          <w:sz w:val="22"/>
          <w:szCs w:val="22"/>
        </w:rPr>
        <w:t>intervals</w:t>
      </w:r>
      <w:r>
        <w:rPr>
          <w:b/>
          <w:sz w:val="22"/>
          <w:szCs w:val="22"/>
        </w:rPr>
        <w:t xml:space="preserve"> defined by the Mayo Clinic guidelines: </w:t>
      </w:r>
      <w:r w:rsidRPr="00640972">
        <w:rPr>
          <w:b/>
          <w:sz w:val="22"/>
          <w:szCs w:val="22"/>
        </w:rPr>
        <w:t>less than 70 mg/dL, 70-99 mg/dL, 100-129 mg/dL, 130-159 mg/dL, 160-189 mg/dL, and greater than or equal to 190 mg/dL.</w:t>
      </w:r>
      <w:r w:rsidRPr="00F15AC7">
        <w:rPr>
          <w:b/>
          <w:sz w:val="22"/>
          <w:szCs w:val="22"/>
        </w:rPr>
        <w:t xml:space="preserve"> </w:t>
      </w:r>
    </w:p>
    <w:p w:rsidR="00D57EA7" w:rsidRDefault="00D57EA7" w:rsidP="00D57EA7">
      <w:pPr>
        <w:autoSpaceDE w:val="0"/>
        <w:autoSpaceDN w:val="0"/>
        <w:adjustRightInd w:val="0"/>
        <w:rPr>
          <w:b/>
          <w:sz w:val="22"/>
          <w:szCs w:val="22"/>
        </w:rPr>
      </w:pPr>
    </w:p>
    <w:p w:rsidR="00D57EA7" w:rsidRPr="00570717" w:rsidRDefault="00D57EA7" w:rsidP="00D57EA7">
      <w:pPr>
        <w:autoSpaceDE w:val="0"/>
        <w:autoSpaceDN w:val="0"/>
        <w:adjustRightInd w:val="0"/>
        <w:spacing w:after="120"/>
        <w:rPr>
          <w:b/>
          <w:sz w:val="22"/>
          <w:szCs w:val="22"/>
        </w:rPr>
      </w:pPr>
      <w:commentRangeStart w:id="13"/>
      <w:r w:rsidRPr="007F37AF">
        <w:rPr>
          <w:b/>
          <w:sz w:val="22"/>
          <w:szCs w:val="22"/>
          <w:u w:val="single"/>
        </w:rPr>
        <w:t>Results</w:t>
      </w:r>
      <w:commentRangeEnd w:id="13"/>
      <w:r w:rsidR="00D00208">
        <w:rPr>
          <w:rStyle w:val="CommentReference"/>
        </w:rPr>
        <w:commentReference w:id="13"/>
      </w:r>
      <w:r w:rsidRPr="007F37AF">
        <w:rPr>
          <w:b/>
          <w:sz w:val="22"/>
          <w:szCs w:val="22"/>
        </w:rPr>
        <w:t xml:space="preserve">: </w:t>
      </w:r>
      <w:r>
        <w:rPr>
          <w:b/>
          <w:sz w:val="22"/>
          <w:szCs w:val="22"/>
        </w:rPr>
        <w:t>Based on this analysis</w:t>
      </w:r>
      <w:r w:rsidRPr="007F37AF">
        <w:rPr>
          <w:b/>
          <w:sz w:val="22"/>
          <w:szCs w:val="22"/>
        </w:rPr>
        <w:t xml:space="preserve">, we conclude that there is </w:t>
      </w:r>
      <w:r>
        <w:rPr>
          <w:b/>
          <w:sz w:val="22"/>
          <w:szCs w:val="22"/>
        </w:rPr>
        <w:t xml:space="preserve">a significant association between serum LDL and survival probability (two-sided p value </w:t>
      </w:r>
      <w:r w:rsidR="00FE3133">
        <w:rPr>
          <w:b/>
          <w:sz w:val="22"/>
          <w:szCs w:val="22"/>
        </w:rPr>
        <w:t>&lt;</w:t>
      </w:r>
      <w:r w:rsidR="00FE3133" w:rsidRPr="00FE3133">
        <w:t xml:space="preserve"> </w:t>
      </w:r>
      <w:r w:rsidR="00FE3133">
        <w:rPr>
          <w:b/>
          <w:sz w:val="22"/>
          <w:szCs w:val="22"/>
        </w:rPr>
        <w:t>0.0001</w:t>
      </w:r>
      <w:r>
        <w:rPr>
          <w:b/>
          <w:sz w:val="22"/>
          <w:szCs w:val="22"/>
        </w:rPr>
        <w:t>)</w:t>
      </w:r>
    </w:p>
    <w:p w:rsidR="00D57EA7" w:rsidRDefault="00D57EA7" w:rsidP="00D57EA7">
      <w:pPr>
        <w:autoSpaceDE w:val="0"/>
        <w:autoSpaceDN w:val="0"/>
        <w:adjustRightInd w:val="0"/>
        <w:spacing w:after="120"/>
        <w:rPr>
          <w:sz w:val="22"/>
          <w:szCs w:val="22"/>
        </w:rPr>
      </w:pPr>
    </w:p>
    <w:p w:rsidR="00A04727" w:rsidRDefault="003205A5" w:rsidP="00A04727">
      <w:pPr>
        <w:numPr>
          <w:ilvl w:val="1"/>
          <w:numId w:val="19"/>
        </w:numPr>
        <w:autoSpaceDE w:val="0"/>
        <w:autoSpaceDN w:val="0"/>
        <w:adjustRightInd w:val="0"/>
        <w:spacing w:after="120"/>
        <w:rPr>
          <w:sz w:val="22"/>
          <w:szCs w:val="22"/>
        </w:rPr>
      </w:pPr>
      <w:commentRangeStart w:id="14"/>
      <w:r>
        <w:rPr>
          <w:sz w:val="22"/>
          <w:szCs w:val="22"/>
        </w:rPr>
        <w:t>Provide</w:t>
      </w:r>
      <w:commentRangeEnd w:id="14"/>
      <w:r w:rsidR="00D00208">
        <w:rPr>
          <w:rStyle w:val="CommentReference"/>
        </w:rPr>
        <w:commentReference w:id="14"/>
      </w:r>
      <w:r>
        <w:rPr>
          <w:sz w:val="22"/>
          <w:szCs w:val="22"/>
        </w:rPr>
        <w:t xml:space="preserve"> an interpretation for each parameter in your regression model, including the intercept.</w:t>
      </w:r>
    </w:p>
    <w:p w:rsidR="003D43EB" w:rsidRDefault="00710D77" w:rsidP="003D43EB">
      <w:pPr>
        <w:autoSpaceDE w:val="0"/>
        <w:autoSpaceDN w:val="0"/>
        <w:adjustRightInd w:val="0"/>
        <w:spacing w:after="120"/>
        <w:rPr>
          <w:b/>
          <w:sz w:val="22"/>
          <w:szCs w:val="22"/>
        </w:rPr>
      </w:pPr>
      <w:r>
        <w:rPr>
          <w:b/>
          <w:sz w:val="22"/>
          <w:szCs w:val="22"/>
        </w:rPr>
        <w:t xml:space="preserve">The intercept is the instantaneous risk of death for someone having a blood serum LDL level of </w:t>
      </w:r>
      <w:commentRangeStart w:id="15"/>
      <w:r>
        <w:rPr>
          <w:b/>
          <w:sz w:val="22"/>
          <w:szCs w:val="22"/>
        </w:rPr>
        <w:t>0</w:t>
      </w:r>
      <w:commentRangeEnd w:id="15"/>
      <w:r w:rsidR="00D00208">
        <w:rPr>
          <w:rStyle w:val="CommentReference"/>
        </w:rPr>
        <w:commentReference w:id="15"/>
      </w:r>
      <w:r>
        <w:rPr>
          <w:b/>
          <w:sz w:val="22"/>
          <w:szCs w:val="22"/>
        </w:rPr>
        <w:t xml:space="preserve">, and so is not scientifically relevant, since is not in the range of our data. </w:t>
      </w:r>
      <w:r w:rsidR="003D43EB">
        <w:rPr>
          <w:b/>
          <w:sz w:val="22"/>
          <w:szCs w:val="22"/>
        </w:rPr>
        <w:t xml:space="preserve">Each parameter represents the average change in instantaneous risk of death when serum LDL is increased by 1.0 mg/dL, within the interval defined by that parameter (e.g. the first parameter corresponds to the average change in instantaneous risk of death when serum LDL is increased by 1 unit among subjects having serum LDL in the range of 0-69 mg/dL). </w:t>
      </w:r>
    </w:p>
    <w:p w:rsidR="003D43EB" w:rsidRDefault="003D43EB" w:rsidP="003D43EB">
      <w:pPr>
        <w:autoSpaceDE w:val="0"/>
        <w:autoSpaceDN w:val="0"/>
        <w:adjustRightInd w:val="0"/>
        <w:spacing w:after="120"/>
        <w:rPr>
          <w:b/>
          <w:sz w:val="22"/>
          <w:szCs w:val="22"/>
        </w:rPr>
      </w:pPr>
    </w:p>
    <w:p w:rsidR="003D43EB" w:rsidRDefault="003D43EB" w:rsidP="003D43EB">
      <w:pPr>
        <w:autoSpaceDE w:val="0"/>
        <w:autoSpaceDN w:val="0"/>
        <w:adjustRightInd w:val="0"/>
        <w:spacing w:after="120"/>
        <w:rPr>
          <w:b/>
          <w:sz w:val="22"/>
          <w:szCs w:val="22"/>
        </w:rPr>
      </w:pPr>
    </w:p>
    <w:p w:rsidR="003D43EB" w:rsidRDefault="003D43EB" w:rsidP="003D43EB">
      <w:pPr>
        <w:autoSpaceDE w:val="0"/>
        <w:autoSpaceDN w:val="0"/>
        <w:adjustRightInd w:val="0"/>
        <w:spacing w:after="120"/>
        <w:rPr>
          <w:sz w:val="22"/>
          <w:szCs w:val="22"/>
        </w:rPr>
      </w:pPr>
    </w:p>
    <w:p w:rsidR="00A04727" w:rsidRDefault="00A04727" w:rsidP="00A04727">
      <w:pPr>
        <w:numPr>
          <w:ilvl w:val="1"/>
          <w:numId w:val="19"/>
        </w:numPr>
        <w:autoSpaceDE w:val="0"/>
        <w:autoSpaceDN w:val="0"/>
        <w:adjustRightInd w:val="0"/>
        <w:spacing w:after="120"/>
        <w:rPr>
          <w:sz w:val="22"/>
          <w:szCs w:val="22"/>
        </w:rPr>
      </w:pPr>
      <w:commentRangeStart w:id="16"/>
      <w:r>
        <w:rPr>
          <w:sz w:val="22"/>
          <w:szCs w:val="22"/>
        </w:rPr>
        <w:t>What</w:t>
      </w:r>
      <w:commentRangeEnd w:id="16"/>
      <w:r w:rsidR="00D00208">
        <w:rPr>
          <w:rStyle w:val="CommentReference"/>
        </w:rPr>
        <w:commentReference w:id="16"/>
      </w:r>
      <w:r>
        <w:rPr>
          <w:sz w:val="22"/>
          <w:szCs w:val="22"/>
        </w:rPr>
        <w:t xml:space="preserve"> analysis would you perform to assess whether the regression model used in this problem provides a “better fit” than does a model that uses only a continuous linear term for LDL? What is the result of such an analysis?</w:t>
      </w:r>
    </w:p>
    <w:p w:rsidR="00147EC6" w:rsidRDefault="00147EC6" w:rsidP="00147EC6">
      <w:pPr>
        <w:autoSpaceDE w:val="0"/>
        <w:autoSpaceDN w:val="0"/>
        <w:adjustRightInd w:val="0"/>
        <w:spacing w:after="120"/>
        <w:rPr>
          <w:b/>
          <w:sz w:val="22"/>
          <w:szCs w:val="22"/>
        </w:rPr>
      </w:pPr>
      <w:r>
        <w:rPr>
          <w:b/>
          <w:sz w:val="22"/>
          <w:szCs w:val="22"/>
        </w:rPr>
        <w:t>To test the fit efficacy of the model using linear splines of LDL (based on the predefined intervals) compared to the model using a continuous linear predictor of LDL</w:t>
      </w:r>
      <w:r w:rsidR="00710D77">
        <w:rPr>
          <w:b/>
          <w:sz w:val="22"/>
          <w:szCs w:val="22"/>
        </w:rPr>
        <w:t xml:space="preserve"> we </w:t>
      </w:r>
      <w:r>
        <w:rPr>
          <w:b/>
          <w:sz w:val="22"/>
          <w:szCs w:val="22"/>
        </w:rPr>
        <w:t xml:space="preserve">use the Wald test based on the </w:t>
      </w:r>
      <w:r w:rsidR="00615C8A">
        <w:rPr>
          <w:b/>
          <w:sz w:val="22"/>
          <w:szCs w:val="22"/>
        </w:rPr>
        <w:t>chi squared</w:t>
      </w:r>
      <w:r>
        <w:rPr>
          <w:b/>
          <w:sz w:val="22"/>
          <w:szCs w:val="22"/>
        </w:rPr>
        <w:t xml:space="preserve">-statistic, where two proportional hazards regression models are compared: the one which includes a continuous linear predictor LDL and the other having this predictor in addition to the spline estimates for the 6 categories of LDL. Based on this test, we fail to reject the hypothesis that adding a categorical term provides a better fit than the linear model, based on a two-sided p value of </w:t>
      </w:r>
      <w:r w:rsidR="00615C8A" w:rsidRPr="00615C8A">
        <w:rPr>
          <w:b/>
          <w:sz w:val="22"/>
          <w:szCs w:val="22"/>
        </w:rPr>
        <w:t>0.0788</w:t>
      </w:r>
      <w:r>
        <w:rPr>
          <w:b/>
          <w:sz w:val="22"/>
          <w:szCs w:val="22"/>
        </w:rPr>
        <w:t xml:space="preserve">. Conducting this analysis specifically tells us that there is not sufficient evidence for non-linearity in survival probability, as it relates to serum LDL, based on </w:t>
      </w:r>
      <w:r w:rsidR="00615C8A">
        <w:rPr>
          <w:b/>
          <w:sz w:val="22"/>
          <w:szCs w:val="22"/>
        </w:rPr>
        <w:t>using linear splines for each subcategory</w:t>
      </w:r>
      <w:r>
        <w:rPr>
          <w:b/>
          <w:sz w:val="22"/>
          <w:szCs w:val="22"/>
        </w:rPr>
        <w:t>.</w:t>
      </w:r>
    </w:p>
    <w:p w:rsidR="00147EC6" w:rsidRDefault="00147EC6" w:rsidP="00147EC6">
      <w:pPr>
        <w:autoSpaceDE w:val="0"/>
        <w:autoSpaceDN w:val="0"/>
        <w:adjustRightInd w:val="0"/>
        <w:spacing w:after="120"/>
        <w:rPr>
          <w:sz w:val="22"/>
          <w:szCs w:val="22"/>
        </w:rPr>
      </w:pPr>
    </w:p>
    <w:p w:rsidR="00115B08" w:rsidRDefault="003205A5" w:rsidP="00A04727">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mg/dL. (This will be used in problem 4). This can be effected by generating fitted hazard ratio estimates for each individual in the sample, and then dividing that fitted value by the fitted value for a subject having a LDL of 160 mg/dL.</w:t>
      </w:r>
      <w:r w:rsidR="00A620A3">
        <w:rPr>
          <w:rFonts w:ascii="Courier New" w:hAnsi="Courier New" w:cs="Courier New"/>
          <w:sz w:val="22"/>
          <w:szCs w:val="22"/>
        </w:rPr>
        <w:t xml:space="preserve"> </w:t>
      </w:r>
      <w:r w:rsidR="00A620A3">
        <w:rPr>
          <w:sz w:val="22"/>
          <w:szCs w:val="22"/>
        </w:rPr>
        <w:t xml:space="preserve"> </w:t>
      </w:r>
      <w:r w:rsidR="00A620A3">
        <w:rPr>
          <w:rFonts w:ascii="Courier New" w:hAnsi="Courier New" w:cs="Courier New"/>
          <w:sz w:val="22"/>
          <w:szCs w:val="22"/>
        </w:rPr>
        <w:t xml:space="preserve"> </w:t>
      </w:r>
      <w:r w:rsidR="00A620A3">
        <w:rPr>
          <w:sz w:val="22"/>
          <w:szCs w:val="22"/>
        </w:rPr>
        <w:t xml:space="preserve"> </w:t>
      </w:r>
    </w:p>
    <w:p w:rsidR="00A04727" w:rsidRDefault="00A04727" w:rsidP="00705ECB">
      <w:pPr>
        <w:numPr>
          <w:ilvl w:val="0"/>
          <w:numId w:val="19"/>
        </w:numPr>
        <w:autoSpaceDE w:val="0"/>
        <w:autoSpaceDN w:val="0"/>
        <w:adjustRightInd w:val="0"/>
        <w:spacing w:after="120"/>
        <w:rPr>
          <w:sz w:val="22"/>
          <w:szCs w:val="22"/>
        </w:rPr>
      </w:pPr>
      <w:r>
        <w:rPr>
          <w:sz w:val="22"/>
          <w:szCs w:val="22"/>
        </w:rPr>
        <w:t xml:space="preserve">By answering the following questions, compare the relative advantages and disadvantages of the various statistical analysis strategies we have considered in Homeworks 1-4 and  </w:t>
      </w:r>
      <w:r w:rsidR="00474EF6">
        <w:rPr>
          <w:sz w:val="22"/>
          <w:szCs w:val="22"/>
        </w:rPr>
        <w:t>problem</w:t>
      </w:r>
      <w:r>
        <w:rPr>
          <w:sz w:val="22"/>
          <w:szCs w:val="22"/>
        </w:rPr>
        <w:t>s 2 and</w:t>
      </w:r>
      <w:r w:rsidR="00474EF6">
        <w:rPr>
          <w:sz w:val="22"/>
          <w:szCs w:val="22"/>
        </w:rPr>
        <w:t xml:space="preserve"> 3</w:t>
      </w:r>
      <w:r>
        <w:rPr>
          <w:sz w:val="22"/>
          <w:szCs w:val="22"/>
        </w:rPr>
        <w:t xml:space="preserve"> in this homework</w:t>
      </w:r>
      <w:r w:rsidR="00474EF6">
        <w:rPr>
          <w:sz w:val="22"/>
          <w:szCs w:val="22"/>
        </w:rPr>
        <w:t xml:space="preserve">. </w:t>
      </w:r>
    </w:p>
    <w:p w:rsidR="00A04727" w:rsidRDefault="00A04727" w:rsidP="00A04727">
      <w:pPr>
        <w:numPr>
          <w:ilvl w:val="1"/>
          <w:numId w:val="19"/>
        </w:numPr>
        <w:autoSpaceDE w:val="0"/>
        <w:autoSpaceDN w:val="0"/>
        <w:adjustRightInd w:val="0"/>
        <w:spacing w:after="120"/>
        <w:rPr>
          <w:sz w:val="22"/>
          <w:szCs w:val="22"/>
        </w:rPr>
      </w:pPr>
      <w:commentRangeStart w:id="17"/>
      <w:r>
        <w:rPr>
          <w:sz w:val="22"/>
          <w:szCs w:val="22"/>
        </w:rPr>
        <w:t xml:space="preserve">What </w:t>
      </w:r>
      <w:commentRangeEnd w:id="17"/>
      <w:r w:rsidR="00D00208">
        <w:rPr>
          <w:rStyle w:val="CommentReference"/>
        </w:rPr>
        <w:commentReference w:id="17"/>
      </w:r>
      <w:r>
        <w:rPr>
          <w:sz w:val="22"/>
          <w:szCs w:val="22"/>
        </w:rPr>
        <w:t>advantages do the regression strategies used in Homeworks 4 and 5 provide over the approaches used in Homeworks 1-3?</w:t>
      </w:r>
    </w:p>
    <w:p w:rsidR="00615C8A" w:rsidRPr="00615C8A" w:rsidRDefault="00615C8A" w:rsidP="00615C8A">
      <w:pPr>
        <w:autoSpaceDE w:val="0"/>
        <w:autoSpaceDN w:val="0"/>
        <w:adjustRightInd w:val="0"/>
        <w:spacing w:after="120"/>
        <w:rPr>
          <w:b/>
          <w:sz w:val="22"/>
          <w:szCs w:val="22"/>
        </w:rPr>
      </w:pPr>
      <w:r w:rsidRPr="00615C8A">
        <w:rPr>
          <w:b/>
          <w:sz w:val="22"/>
          <w:szCs w:val="22"/>
        </w:rPr>
        <w:t>The strategies in homeworks 4 and 5 allow for analysis when trends in the data are non-linear (higher order, log-linear) and non-parametric (piece-wise linear). This gives the potential to test for these abnormalities, and also may provide a greater precision due to better fit (this also applied to measuring effects of confounders).</w:t>
      </w:r>
    </w:p>
    <w:p w:rsidR="00A04727" w:rsidRDefault="00474EF6" w:rsidP="00A04727">
      <w:pPr>
        <w:numPr>
          <w:ilvl w:val="1"/>
          <w:numId w:val="19"/>
        </w:numPr>
        <w:autoSpaceDE w:val="0"/>
        <w:autoSpaceDN w:val="0"/>
        <w:adjustRightInd w:val="0"/>
        <w:spacing w:after="120"/>
        <w:rPr>
          <w:sz w:val="22"/>
          <w:szCs w:val="22"/>
        </w:rPr>
      </w:pPr>
      <w:commentRangeStart w:id="18"/>
      <w:r>
        <w:rPr>
          <w:sz w:val="22"/>
          <w:szCs w:val="22"/>
        </w:rPr>
        <w:t>Comment</w:t>
      </w:r>
      <w:commentRangeEnd w:id="18"/>
      <w:r w:rsidR="00D00208">
        <w:rPr>
          <w:rStyle w:val="CommentReference"/>
        </w:rPr>
        <w:commentReference w:id="18"/>
      </w:r>
      <w:r>
        <w:rPr>
          <w:sz w:val="22"/>
          <w:szCs w:val="22"/>
        </w:rPr>
        <w:t xml:space="preserve"> on </w:t>
      </w:r>
      <w:r w:rsidR="00705ECB">
        <w:rPr>
          <w:sz w:val="22"/>
          <w:szCs w:val="22"/>
        </w:rPr>
        <w:t>any similarities or differences</w:t>
      </w:r>
      <w:r>
        <w:rPr>
          <w:sz w:val="22"/>
          <w:szCs w:val="22"/>
        </w:rPr>
        <w:t xml:space="preserve"> of the fitted values from the three models</w:t>
      </w:r>
      <w:r w:rsidR="00A04727">
        <w:rPr>
          <w:sz w:val="22"/>
          <w:szCs w:val="22"/>
        </w:rPr>
        <w:t xml:space="preserve"> fit in Homework 4 and the two models fit in problems 2 and 3 of this homework.</w:t>
      </w:r>
    </w:p>
    <w:p w:rsidR="00615C8A" w:rsidRPr="00DF24BD" w:rsidRDefault="00615C8A" w:rsidP="00615C8A">
      <w:pPr>
        <w:autoSpaceDE w:val="0"/>
        <w:autoSpaceDN w:val="0"/>
        <w:adjustRightInd w:val="0"/>
        <w:spacing w:after="120"/>
        <w:rPr>
          <w:b/>
          <w:sz w:val="22"/>
          <w:szCs w:val="22"/>
        </w:rPr>
      </w:pPr>
      <w:r w:rsidRPr="00DF24BD">
        <w:rPr>
          <w:b/>
          <w:sz w:val="22"/>
          <w:szCs w:val="22"/>
        </w:rPr>
        <w:t xml:space="preserve">The graph below shows the estimated relative hazard ratio for each value of serum LDL compared to someone having serum LDL of 160 mg/dL. </w:t>
      </w:r>
      <w:r w:rsidR="000C07BE" w:rsidRPr="00DF24BD">
        <w:rPr>
          <w:b/>
          <w:sz w:val="22"/>
          <w:szCs w:val="22"/>
        </w:rPr>
        <w:t>Compared to the fits in homework 4, the linear spline model gives a slightly lower estimation of relative HR compared to the 160 mg/dL referent, though it agrees with these models a bit more in the tails of the data. The categorical model shows more or less the average value of the models in homework 4, within each stratum created</w:t>
      </w:r>
      <w:r w:rsidR="00DF24BD" w:rsidRPr="00DF24BD">
        <w:rPr>
          <w:b/>
          <w:sz w:val="22"/>
          <w:szCs w:val="22"/>
        </w:rPr>
        <w:t>.</w:t>
      </w:r>
      <w:r w:rsidR="000C07BE" w:rsidRPr="00DF24BD">
        <w:rPr>
          <w:b/>
          <w:sz w:val="22"/>
          <w:szCs w:val="22"/>
        </w:rPr>
        <w:t xml:space="preserve"> </w:t>
      </w:r>
      <w:r w:rsidR="00DF24BD" w:rsidRPr="00DF24BD">
        <w:rPr>
          <w:b/>
          <w:sz w:val="22"/>
          <w:szCs w:val="22"/>
        </w:rPr>
        <w:t>This model</w:t>
      </w:r>
      <w:r w:rsidR="000C07BE" w:rsidRPr="00DF24BD">
        <w:rPr>
          <w:b/>
          <w:sz w:val="22"/>
          <w:szCs w:val="22"/>
        </w:rPr>
        <w:t xml:space="preserve"> agrees with the overall trend observed in the 3 models from homework </w:t>
      </w:r>
      <w:r w:rsidR="00DF24BD" w:rsidRPr="00DF24BD">
        <w:rPr>
          <w:b/>
          <w:sz w:val="22"/>
          <w:szCs w:val="22"/>
        </w:rPr>
        <w:t>4; however it provides</w:t>
      </w:r>
      <w:r w:rsidR="000C07BE" w:rsidRPr="00DF24BD">
        <w:rPr>
          <w:b/>
          <w:sz w:val="22"/>
          <w:szCs w:val="22"/>
        </w:rPr>
        <w:t xml:space="preserve"> lower accuracy</w:t>
      </w:r>
      <w:r w:rsidR="00DF24BD" w:rsidRPr="00DF24BD">
        <w:rPr>
          <w:b/>
          <w:sz w:val="22"/>
          <w:szCs w:val="22"/>
        </w:rPr>
        <w:t xml:space="preserve"> since it takes the average HR across intervals of serum LDL</w:t>
      </w:r>
      <w:r w:rsidR="000C07BE" w:rsidRPr="00DF24BD">
        <w:rPr>
          <w:b/>
          <w:sz w:val="22"/>
          <w:szCs w:val="22"/>
        </w:rPr>
        <w:t>.</w:t>
      </w:r>
    </w:p>
    <w:p w:rsidR="00F51E8A" w:rsidRDefault="00387930" w:rsidP="00F51E8A">
      <w:pPr>
        <w:autoSpaceDE w:val="0"/>
        <w:autoSpaceDN w:val="0"/>
        <w:adjustRightInd w:val="0"/>
        <w:spacing w:after="120"/>
        <w:ind w:left="-810"/>
        <w:rPr>
          <w:sz w:val="22"/>
          <w:szCs w:val="22"/>
        </w:rPr>
      </w:pPr>
      <w:r>
        <w:rPr>
          <w:noProof/>
          <w:sz w:val="22"/>
          <w:szCs w:val="22"/>
        </w:rPr>
        <w:lastRenderedPageBreak/>
        <w:drawing>
          <wp:inline distT="0" distB="0" distL="0" distR="0">
            <wp:extent cx="6921500" cy="50673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21500" cy="5067300"/>
                    </a:xfrm>
                    <a:prstGeom prst="rect">
                      <a:avLst/>
                    </a:prstGeom>
                    <a:noFill/>
                    <a:ln>
                      <a:noFill/>
                    </a:ln>
                  </pic:spPr>
                </pic:pic>
              </a:graphicData>
            </a:graphic>
          </wp:inline>
        </w:drawing>
      </w:r>
    </w:p>
    <w:p w:rsidR="00261CFB" w:rsidRDefault="00A04727" w:rsidP="00A04727">
      <w:pPr>
        <w:numPr>
          <w:ilvl w:val="1"/>
          <w:numId w:val="19"/>
        </w:numPr>
        <w:autoSpaceDE w:val="0"/>
        <w:autoSpaceDN w:val="0"/>
        <w:adjustRightInd w:val="0"/>
        <w:spacing w:after="120"/>
        <w:rPr>
          <w:sz w:val="22"/>
          <w:szCs w:val="22"/>
        </w:rPr>
      </w:pPr>
      <w:commentRangeStart w:id="19"/>
      <w:r>
        <w:rPr>
          <w:i/>
          <w:iCs/>
          <w:sz w:val="22"/>
          <w:szCs w:val="22"/>
        </w:rPr>
        <w:t xml:space="preserve">A </w:t>
      </w:r>
      <w:commentRangeEnd w:id="19"/>
      <w:r w:rsidR="00D00208">
        <w:rPr>
          <w:rStyle w:val="CommentReference"/>
        </w:rPr>
        <w:commentReference w:id="19"/>
      </w:r>
      <w:r>
        <w:rPr>
          <w:i/>
          <w:iCs/>
          <w:sz w:val="22"/>
          <w:szCs w:val="22"/>
        </w:rPr>
        <w:t>priori</w:t>
      </w:r>
      <w:r>
        <w:rPr>
          <w:sz w:val="22"/>
          <w:szCs w:val="22"/>
        </w:rPr>
        <w:t xml:space="preserve">, of all the analyses we have considered for exploring an </w:t>
      </w:r>
      <w:r w:rsidR="0060495F">
        <w:rPr>
          <w:sz w:val="22"/>
          <w:szCs w:val="22"/>
        </w:rPr>
        <w:t xml:space="preserve">(unadjusted) </w:t>
      </w:r>
      <w:r>
        <w:rPr>
          <w:sz w:val="22"/>
          <w:szCs w:val="22"/>
        </w:rPr>
        <w:t>association between all cause mortality and serum LDL in an elderly population</w:t>
      </w:r>
      <w:r w:rsidR="0060495F">
        <w:rPr>
          <w:sz w:val="22"/>
          <w:szCs w:val="22"/>
        </w:rPr>
        <w:t>, which one would you prefer and why?</w:t>
      </w:r>
    </w:p>
    <w:p w:rsidR="00DF24BD" w:rsidRPr="00E1142D" w:rsidRDefault="00DF24BD" w:rsidP="00DF24BD">
      <w:pPr>
        <w:autoSpaceDE w:val="0"/>
        <w:autoSpaceDN w:val="0"/>
        <w:adjustRightInd w:val="0"/>
        <w:spacing w:after="120"/>
        <w:rPr>
          <w:b/>
          <w:sz w:val="22"/>
        </w:rPr>
      </w:pPr>
      <w:r w:rsidRPr="00E1142D">
        <w:rPr>
          <w:b/>
          <w:i/>
          <w:sz w:val="22"/>
          <w:szCs w:val="22"/>
        </w:rPr>
        <w:t>A priori</w:t>
      </w:r>
      <w:r w:rsidRPr="00E1142D">
        <w:rPr>
          <w:b/>
        </w:rPr>
        <w:t xml:space="preserve">, </w:t>
      </w:r>
      <w:r w:rsidRPr="00E1142D">
        <w:rPr>
          <w:b/>
          <w:sz w:val="22"/>
        </w:rPr>
        <w:t xml:space="preserve">I would hypothesize an association (if it exists) between blood serum LDL and mortality to have a linear or log-linear (multiplicative) effect on mortality, since previous literature suggests that increased serum LDL tends to increase the risk of fatal illness and disease, and thereby increase the risk of death. Since </w:t>
      </w:r>
      <w:r w:rsidR="00E1142D" w:rsidRPr="00E1142D">
        <w:rPr>
          <w:b/>
          <w:sz w:val="22"/>
        </w:rPr>
        <w:t>we</w:t>
      </w:r>
      <w:r w:rsidRPr="00E1142D">
        <w:rPr>
          <w:b/>
          <w:sz w:val="22"/>
        </w:rPr>
        <w:t xml:space="preserve"> do not know </w:t>
      </w:r>
      <w:r w:rsidR="00E1142D" w:rsidRPr="00E1142D">
        <w:rPr>
          <w:b/>
          <w:i/>
          <w:sz w:val="22"/>
        </w:rPr>
        <w:t xml:space="preserve">a priori </w:t>
      </w:r>
      <w:r w:rsidRPr="00E1142D">
        <w:rPr>
          <w:b/>
          <w:sz w:val="22"/>
        </w:rPr>
        <w:t xml:space="preserve">whether or not LDL might have a </w:t>
      </w:r>
      <w:r w:rsidR="00E1142D" w:rsidRPr="00E1142D">
        <w:rPr>
          <w:b/>
          <w:sz w:val="22"/>
        </w:rPr>
        <w:t>multiplicative effect on survival, I would prefer to conduct a cox proportional hazards regression analysis of survival on serum LDL modeled as a continuous predictor.</w:t>
      </w:r>
    </w:p>
    <w:p w:rsidR="000817A7" w:rsidRDefault="007B1360" w:rsidP="008A23BE">
      <w:pPr>
        <w:pStyle w:val="PlainText"/>
        <w:jc w:val="center"/>
        <w:rPr>
          <w:rFonts w:ascii="Times New Roman" w:hAnsi="Times New Roman" w:cs="Times New Roman"/>
          <w:sz w:val="22"/>
          <w:szCs w:val="22"/>
        </w:rPr>
      </w:pPr>
      <w:r>
        <w:rPr>
          <w:rFonts w:ascii="Times New Roman" w:hAnsi="Times New Roman" w:cs="Times New Roman"/>
          <w:b/>
          <w:bCs/>
          <w:sz w:val="22"/>
          <w:szCs w:val="22"/>
        </w:rPr>
        <w:t xml:space="preserve">Discussion Sections: </w:t>
      </w:r>
      <w:r w:rsidR="008A23BE">
        <w:rPr>
          <w:rFonts w:ascii="Times New Roman" w:hAnsi="Times New Roman" w:cs="Times New Roman"/>
          <w:b/>
          <w:bCs/>
          <w:sz w:val="22"/>
          <w:szCs w:val="22"/>
        </w:rPr>
        <w:t>February 3 - 7</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8A23BE">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w:t>
      </w:r>
      <w:r w:rsidR="008A23BE">
        <w:rPr>
          <w:rFonts w:ascii="Times New Roman" w:hAnsi="Times New Roman" w:cs="Times New Roman"/>
          <w:sz w:val="22"/>
          <w:szCs w:val="22"/>
        </w:rPr>
        <w:t>descriptive statistics, especially as they relate to confounding, precision, effect modification, and the impact of heteroscedasticity</w:t>
      </w:r>
      <w:r w:rsidR="009D5804">
        <w:rPr>
          <w:rFonts w:ascii="Times New Roman" w:hAnsi="Times New Roman" w:cs="Times New Roman"/>
          <w:sz w:val="22"/>
          <w:szCs w:val="22"/>
        </w:rPr>
        <w:t>.</w:t>
      </w:r>
    </w:p>
    <w:sectPr w:rsidR="009D5804" w:rsidRPr="009D5804" w:rsidSect="00705ECB">
      <w:headerReference w:type="default" r:id="rId11"/>
      <w:pgSz w:w="12240" w:h="15840"/>
      <w:pgMar w:top="1296" w:right="1296" w:bottom="1296" w:left="1296"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rsidR="00D00208" w:rsidRDefault="00D00208">
      <w:pPr>
        <w:pStyle w:val="CommentText"/>
      </w:pPr>
      <w:r>
        <w:rPr>
          <w:rStyle w:val="CommentReference"/>
        </w:rPr>
        <w:annotationRef/>
      </w:r>
      <w:r>
        <w:t>Overall, 63/79</w:t>
      </w:r>
    </w:p>
  </w:comment>
  <w:comment w:id="2" w:author="Author" w:initials="A">
    <w:p w:rsidR="00A94733" w:rsidRDefault="00A94733">
      <w:pPr>
        <w:pStyle w:val="CommentText"/>
      </w:pPr>
      <w:r>
        <w:rPr>
          <w:rStyle w:val="CommentReference"/>
        </w:rPr>
        <w:annotationRef/>
      </w:r>
      <w:r>
        <w:t xml:space="preserve">4 regression parameters and four racial groups. It is thus saturated. </w:t>
      </w:r>
    </w:p>
    <w:p w:rsidR="00A94733" w:rsidRDefault="00A94733">
      <w:pPr>
        <w:pStyle w:val="CommentText"/>
      </w:pPr>
      <w:r>
        <w:t>-2</w:t>
      </w:r>
    </w:p>
  </w:comment>
  <w:comment w:id="3" w:author="Author" w:initials="A">
    <w:p w:rsidR="00A94733" w:rsidRDefault="00A94733">
      <w:pPr>
        <w:pStyle w:val="CommentText"/>
      </w:pPr>
      <w:r>
        <w:rPr>
          <w:rStyle w:val="CommentReference"/>
        </w:rPr>
        <w:annotationRef/>
      </w:r>
      <w:r>
        <w:t xml:space="preserve">use a test for inequality amongst groups. </w:t>
      </w:r>
    </w:p>
    <w:p w:rsidR="00A94733" w:rsidRDefault="00A94733">
      <w:pPr>
        <w:pStyle w:val="CommentText"/>
      </w:pPr>
      <w:r>
        <w:t>Should be comparing ORs.</w:t>
      </w:r>
    </w:p>
    <w:p w:rsidR="00A94733" w:rsidRDefault="00A94733">
      <w:pPr>
        <w:pStyle w:val="CommentText"/>
      </w:pPr>
      <w:r>
        <w:t>-6</w:t>
      </w:r>
    </w:p>
    <w:p w:rsidR="00A94733" w:rsidRDefault="00A94733">
      <w:pPr>
        <w:pStyle w:val="CommentText"/>
      </w:pPr>
      <w:r>
        <w:t>overall, 2/10</w:t>
      </w:r>
    </w:p>
  </w:comment>
  <w:comment w:id="4" w:author="Author" w:initials="A">
    <w:p w:rsidR="00A94733" w:rsidRDefault="00A94733">
      <w:pPr>
        <w:pStyle w:val="CommentText"/>
      </w:pPr>
      <w:r>
        <w:rPr>
          <w:rStyle w:val="CommentReference"/>
        </w:rPr>
        <w:annotationRef/>
      </w:r>
      <w:r>
        <w:t>1/3</w:t>
      </w:r>
    </w:p>
    <w:p w:rsidR="00A94733" w:rsidRDefault="00A94733">
      <w:pPr>
        <w:pStyle w:val="CommentText"/>
      </w:pPr>
      <w:r>
        <w:t xml:space="preserve">Do not state values, you must exponentiate values, </w:t>
      </w:r>
    </w:p>
  </w:comment>
  <w:comment w:id="5" w:author="Author" w:initials="A">
    <w:p w:rsidR="00A94733" w:rsidRDefault="00A94733">
      <w:pPr>
        <w:pStyle w:val="CommentText"/>
      </w:pPr>
      <w:r>
        <w:rPr>
          <w:rStyle w:val="CommentReference"/>
        </w:rPr>
        <w:annotationRef/>
      </w:r>
      <w:r>
        <w:t>3/3</w:t>
      </w:r>
    </w:p>
  </w:comment>
  <w:comment w:id="6" w:author="Author" w:initials="A">
    <w:p w:rsidR="00A94733" w:rsidRDefault="00A94733">
      <w:pPr>
        <w:pStyle w:val="CommentText"/>
      </w:pPr>
      <w:r>
        <w:rPr>
          <w:rStyle w:val="CommentReference"/>
        </w:rPr>
        <w:annotationRef/>
      </w:r>
      <w:r>
        <w:t>3/3</w:t>
      </w:r>
    </w:p>
  </w:comment>
  <w:comment w:id="7" w:author="Author" w:initials="A">
    <w:p w:rsidR="00A94733" w:rsidRDefault="00A94733">
      <w:pPr>
        <w:pStyle w:val="CommentText"/>
      </w:pPr>
      <w:r>
        <w:rPr>
          <w:rStyle w:val="CommentReference"/>
        </w:rPr>
        <w:annotationRef/>
      </w:r>
      <w:r>
        <w:t>1/3, see comments for part c</w:t>
      </w:r>
    </w:p>
  </w:comment>
  <w:comment w:id="8" w:author="Author" w:initials="A">
    <w:p w:rsidR="00A94733" w:rsidRDefault="00A94733">
      <w:pPr>
        <w:pStyle w:val="CommentText"/>
      </w:pPr>
      <w:r>
        <w:rPr>
          <w:rStyle w:val="CommentReference"/>
        </w:rPr>
        <w:annotationRef/>
      </w:r>
      <w:r>
        <w:t>3/3</w:t>
      </w:r>
    </w:p>
  </w:comment>
  <w:comment w:id="9" w:author="Author" w:initials="A">
    <w:p w:rsidR="00A94733" w:rsidRDefault="00A94733">
      <w:pPr>
        <w:pStyle w:val="CommentText"/>
      </w:pPr>
      <w:r>
        <w:rPr>
          <w:rStyle w:val="CommentReference"/>
        </w:rPr>
        <w:annotationRef/>
      </w:r>
      <w:r>
        <w:t xml:space="preserve">3/5 </w:t>
      </w:r>
    </w:p>
    <w:p w:rsidR="00A94733" w:rsidRDefault="00A94733">
      <w:pPr>
        <w:pStyle w:val="CommentText"/>
      </w:pPr>
      <w:r>
        <w:t>Does not adequately answer the question</w:t>
      </w:r>
    </w:p>
  </w:comment>
  <w:comment w:id="10" w:author="Author" w:initials="A">
    <w:p w:rsidR="00D00208" w:rsidRDefault="00D00208">
      <w:pPr>
        <w:pStyle w:val="CommentText"/>
      </w:pPr>
      <w:r>
        <w:rPr>
          <w:rStyle w:val="CommentReference"/>
        </w:rPr>
        <w:annotationRef/>
      </w:r>
      <w:r>
        <w:t xml:space="preserve">8/10, no test for nonlinearity </w:t>
      </w:r>
    </w:p>
  </w:comment>
  <w:comment w:id="11" w:author="Author" w:initials="A">
    <w:p w:rsidR="00D00208" w:rsidRDefault="00D00208">
      <w:pPr>
        <w:pStyle w:val="CommentText"/>
      </w:pPr>
      <w:r>
        <w:rPr>
          <w:rStyle w:val="CommentReference"/>
        </w:rPr>
        <w:annotationRef/>
      </w:r>
      <w:r>
        <w:t>4/5 did not provide values</w:t>
      </w:r>
    </w:p>
  </w:comment>
  <w:comment w:id="12" w:author="Author" w:initials="A">
    <w:p w:rsidR="00D00208" w:rsidRDefault="00D00208">
      <w:pPr>
        <w:pStyle w:val="CommentText"/>
      </w:pPr>
      <w:r>
        <w:rPr>
          <w:rStyle w:val="CommentReference"/>
        </w:rPr>
        <w:annotationRef/>
      </w:r>
      <w:r>
        <w:t>5/5</w:t>
      </w:r>
    </w:p>
  </w:comment>
  <w:comment w:id="13" w:author="Author" w:initials="A">
    <w:p w:rsidR="00D00208" w:rsidRDefault="00D00208">
      <w:pPr>
        <w:pStyle w:val="CommentText"/>
      </w:pPr>
      <w:r>
        <w:rPr>
          <w:rStyle w:val="CommentReference"/>
        </w:rPr>
        <w:annotationRef/>
      </w:r>
      <w:r>
        <w:t>9/10, did not provide risks for each group</w:t>
      </w:r>
    </w:p>
  </w:comment>
  <w:comment w:id="14" w:author="Author" w:initials="A">
    <w:p w:rsidR="00D00208" w:rsidRDefault="00D00208">
      <w:pPr>
        <w:pStyle w:val="CommentText"/>
      </w:pPr>
      <w:r>
        <w:rPr>
          <w:rStyle w:val="CommentReference"/>
        </w:rPr>
        <w:annotationRef/>
      </w:r>
      <w:r>
        <w:t>5/5</w:t>
      </w:r>
    </w:p>
  </w:comment>
  <w:comment w:id="15" w:author="Author" w:initials="A">
    <w:p w:rsidR="00D00208" w:rsidRDefault="00D00208">
      <w:pPr>
        <w:pStyle w:val="CommentText"/>
      </w:pPr>
      <w:r>
        <w:rPr>
          <w:rStyle w:val="CommentReference"/>
        </w:rPr>
        <w:annotationRef/>
      </w:r>
    </w:p>
  </w:comment>
  <w:comment w:id="16" w:author="Author" w:initials="A">
    <w:p w:rsidR="00D00208" w:rsidRDefault="00D00208">
      <w:pPr>
        <w:pStyle w:val="CommentText"/>
      </w:pPr>
      <w:r>
        <w:rPr>
          <w:rStyle w:val="CommentReference"/>
        </w:rPr>
        <w:annotationRef/>
      </w:r>
      <w:r>
        <w:t>5/5</w:t>
      </w:r>
    </w:p>
  </w:comment>
  <w:comment w:id="17" w:author="Author" w:initials="A">
    <w:p w:rsidR="00D00208" w:rsidRDefault="00D00208">
      <w:pPr>
        <w:pStyle w:val="CommentText"/>
      </w:pPr>
      <w:r>
        <w:rPr>
          <w:rStyle w:val="CommentReference"/>
        </w:rPr>
        <w:annotationRef/>
      </w:r>
      <w:r>
        <w:t>3/3</w:t>
      </w:r>
    </w:p>
  </w:comment>
  <w:comment w:id="18" w:author="Author" w:initials="A">
    <w:p w:rsidR="00D00208" w:rsidRDefault="00D00208">
      <w:pPr>
        <w:pStyle w:val="CommentText"/>
      </w:pPr>
      <w:r>
        <w:rPr>
          <w:rStyle w:val="CommentReference"/>
        </w:rPr>
        <w:annotationRef/>
      </w:r>
      <w:r>
        <w:t>3/3</w:t>
      </w:r>
    </w:p>
  </w:comment>
  <w:comment w:id="19" w:author="Author" w:initials="A">
    <w:p w:rsidR="00D00208" w:rsidRDefault="00D00208">
      <w:pPr>
        <w:pStyle w:val="CommentText"/>
      </w:pPr>
      <w:r>
        <w:rPr>
          <w:rStyle w:val="CommentReference"/>
        </w:rPr>
        <w:annotationRef/>
      </w:r>
      <w:r>
        <w:t>5/5</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567" w:rsidRDefault="009D5567">
      <w:r>
        <w:separator/>
      </w:r>
    </w:p>
  </w:endnote>
  <w:endnote w:type="continuationSeparator" w:id="0">
    <w:p w:rsidR="009D5567" w:rsidRDefault="009D5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567" w:rsidRDefault="009D5567">
      <w:r>
        <w:separator/>
      </w:r>
    </w:p>
  </w:footnote>
  <w:footnote w:type="continuationSeparator" w:id="0">
    <w:p w:rsidR="009D5567" w:rsidRDefault="009D556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733" w:rsidRDefault="00A94733" w:rsidP="003205A5">
    <w:pPr>
      <w:pStyle w:val="Header"/>
    </w:pPr>
    <w:r>
      <w:t>Biost 518 / 515, Winter 2014</w:t>
    </w:r>
    <w:r>
      <w:tab/>
      <w:t>Homework #5</w:t>
    </w:r>
    <w:r>
      <w:tab/>
      <w:t xml:space="preserve">February 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387930">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87930">
      <w:rPr>
        <w:noProof/>
        <w:snapToGrid w:val="0"/>
      </w:rPr>
      <w:t>8</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0D4CE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9"/>
  </w:num>
  <w:num w:numId="3">
    <w:abstractNumId w:val="11"/>
  </w:num>
  <w:num w:numId="4">
    <w:abstractNumId w:val="3"/>
  </w:num>
  <w:num w:numId="5">
    <w:abstractNumId w:val="17"/>
  </w:num>
  <w:num w:numId="6">
    <w:abstractNumId w:val="19"/>
  </w:num>
  <w:num w:numId="7">
    <w:abstractNumId w:val="10"/>
  </w:num>
  <w:num w:numId="8">
    <w:abstractNumId w:val="12"/>
  </w:num>
  <w:num w:numId="9">
    <w:abstractNumId w:val="8"/>
  </w:num>
  <w:num w:numId="10">
    <w:abstractNumId w:val="2"/>
  </w:num>
  <w:num w:numId="11">
    <w:abstractNumId w:val="14"/>
  </w:num>
  <w:num w:numId="12">
    <w:abstractNumId w:val="7"/>
  </w:num>
  <w:num w:numId="13">
    <w:abstractNumId w:val="13"/>
  </w:num>
  <w:num w:numId="14">
    <w:abstractNumId w:val="16"/>
  </w:num>
  <w:num w:numId="15">
    <w:abstractNumId w:val="1"/>
  </w:num>
  <w:num w:numId="16">
    <w:abstractNumId w:val="6"/>
  </w:num>
  <w:num w:numId="17">
    <w:abstractNumId w:val="4"/>
  </w:num>
  <w:num w:numId="18">
    <w:abstractNumId w:val="15"/>
  </w:num>
  <w:num w:numId="19">
    <w:abstractNumId w:val="18"/>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63C2"/>
    <w:rsid w:val="0004388D"/>
    <w:rsid w:val="0004432C"/>
    <w:rsid w:val="00054A42"/>
    <w:rsid w:val="00060C13"/>
    <w:rsid w:val="0006333F"/>
    <w:rsid w:val="000817A7"/>
    <w:rsid w:val="00090335"/>
    <w:rsid w:val="00094091"/>
    <w:rsid w:val="000A3E09"/>
    <w:rsid w:val="000C07BE"/>
    <w:rsid w:val="000C422B"/>
    <w:rsid w:val="000F52B6"/>
    <w:rsid w:val="0010428A"/>
    <w:rsid w:val="00115B08"/>
    <w:rsid w:val="00125DD5"/>
    <w:rsid w:val="00132AEC"/>
    <w:rsid w:val="00132BA1"/>
    <w:rsid w:val="00140EC9"/>
    <w:rsid w:val="00147EC6"/>
    <w:rsid w:val="00160820"/>
    <w:rsid w:val="00195B2D"/>
    <w:rsid w:val="001D2DC2"/>
    <w:rsid w:val="001E2894"/>
    <w:rsid w:val="001E36FF"/>
    <w:rsid w:val="001E5158"/>
    <w:rsid w:val="001E79FA"/>
    <w:rsid w:val="001F053D"/>
    <w:rsid w:val="001F135D"/>
    <w:rsid w:val="00202909"/>
    <w:rsid w:val="0021517E"/>
    <w:rsid w:val="002213A5"/>
    <w:rsid w:val="00225E67"/>
    <w:rsid w:val="002365E3"/>
    <w:rsid w:val="0024368C"/>
    <w:rsid w:val="00261CFB"/>
    <w:rsid w:val="00270D80"/>
    <w:rsid w:val="0028070C"/>
    <w:rsid w:val="002D5B86"/>
    <w:rsid w:val="002E5896"/>
    <w:rsid w:val="002F0282"/>
    <w:rsid w:val="003203A3"/>
    <w:rsid w:val="003205A5"/>
    <w:rsid w:val="003471E3"/>
    <w:rsid w:val="00353B06"/>
    <w:rsid w:val="0036127B"/>
    <w:rsid w:val="00376F10"/>
    <w:rsid w:val="00385CD1"/>
    <w:rsid w:val="00387930"/>
    <w:rsid w:val="003A6D85"/>
    <w:rsid w:val="003C0FBE"/>
    <w:rsid w:val="003D43EB"/>
    <w:rsid w:val="003D7C8C"/>
    <w:rsid w:val="003F3001"/>
    <w:rsid w:val="00410986"/>
    <w:rsid w:val="00410B89"/>
    <w:rsid w:val="00415759"/>
    <w:rsid w:val="0042294F"/>
    <w:rsid w:val="00422D91"/>
    <w:rsid w:val="00443606"/>
    <w:rsid w:val="004514C0"/>
    <w:rsid w:val="00452963"/>
    <w:rsid w:val="004664FD"/>
    <w:rsid w:val="00474EF6"/>
    <w:rsid w:val="004D1289"/>
    <w:rsid w:val="004D1292"/>
    <w:rsid w:val="004E6A45"/>
    <w:rsid w:val="00501EC4"/>
    <w:rsid w:val="0050703D"/>
    <w:rsid w:val="00510B41"/>
    <w:rsid w:val="00511C56"/>
    <w:rsid w:val="00523AA4"/>
    <w:rsid w:val="00567523"/>
    <w:rsid w:val="00570717"/>
    <w:rsid w:val="00586C10"/>
    <w:rsid w:val="005B14E3"/>
    <w:rsid w:val="005C35DF"/>
    <w:rsid w:val="005C5726"/>
    <w:rsid w:val="005D7E06"/>
    <w:rsid w:val="005E10EC"/>
    <w:rsid w:val="005E415C"/>
    <w:rsid w:val="005F5EC8"/>
    <w:rsid w:val="0060495F"/>
    <w:rsid w:val="006138F9"/>
    <w:rsid w:val="006152BE"/>
    <w:rsid w:val="00615C8A"/>
    <w:rsid w:val="0062265F"/>
    <w:rsid w:val="006268D1"/>
    <w:rsid w:val="006336A9"/>
    <w:rsid w:val="00634D47"/>
    <w:rsid w:val="0063762C"/>
    <w:rsid w:val="00640972"/>
    <w:rsid w:val="006508C5"/>
    <w:rsid w:val="00654208"/>
    <w:rsid w:val="00673A26"/>
    <w:rsid w:val="00676B73"/>
    <w:rsid w:val="00693DD6"/>
    <w:rsid w:val="006B1E11"/>
    <w:rsid w:val="006C49EE"/>
    <w:rsid w:val="006E1607"/>
    <w:rsid w:val="006E16C5"/>
    <w:rsid w:val="006E5205"/>
    <w:rsid w:val="00705ECB"/>
    <w:rsid w:val="00710D77"/>
    <w:rsid w:val="00734FBA"/>
    <w:rsid w:val="007356DE"/>
    <w:rsid w:val="007366CC"/>
    <w:rsid w:val="00741AE1"/>
    <w:rsid w:val="007506C5"/>
    <w:rsid w:val="007508F7"/>
    <w:rsid w:val="00751474"/>
    <w:rsid w:val="007518FF"/>
    <w:rsid w:val="00762DE6"/>
    <w:rsid w:val="00767D4A"/>
    <w:rsid w:val="00785A87"/>
    <w:rsid w:val="0078633D"/>
    <w:rsid w:val="007B1360"/>
    <w:rsid w:val="007B485B"/>
    <w:rsid w:val="007B4E60"/>
    <w:rsid w:val="007F37AF"/>
    <w:rsid w:val="00817D4F"/>
    <w:rsid w:val="00836540"/>
    <w:rsid w:val="00875A44"/>
    <w:rsid w:val="0087636D"/>
    <w:rsid w:val="008A23BE"/>
    <w:rsid w:val="008A45D9"/>
    <w:rsid w:val="008B246D"/>
    <w:rsid w:val="008B53CA"/>
    <w:rsid w:val="008D219A"/>
    <w:rsid w:val="008D4B6F"/>
    <w:rsid w:val="008F73A3"/>
    <w:rsid w:val="00905BC9"/>
    <w:rsid w:val="00905E82"/>
    <w:rsid w:val="0094708F"/>
    <w:rsid w:val="009709C5"/>
    <w:rsid w:val="009B2370"/>
    <w:rsid w:val="009C4F71"/>
    <w:rsid w:val="009C542B"/>
    <w:rsid w:val="009D3681"/>
    <w:rsid w:val="009D5567"/>
    <w:rsid w:val="009D5804"/>
    <w:rsid w:val="009F413F"/>
    <w:rsid w:val="00A0233D"/>
    <w:rsid w:val="00A04727"/>
    <w:rsid w:val="00A05CD5"/>
    <w:rsid w:val="00A1170C"/>
    <w:rsid w:val="00A31D8C"/>
    <w:rsid w:val="00A4205F"/>
    <w:rsid w:val="00A44034"/>
    <w:rsid w:val="00A459C8"/>
    <w:rsid w:val="00A55618"/>
    <w:rsid w:val="00A620A3"/>
    <w:rsid w:val="00A8203C"/>
    <w:rsid w:val="00A86F93"/>
    <w:rsid w:val="00A94733"/>
    <w:rsid w:val="00A97D00"/>
    <w:rsid w:val="00AD29C0"/>
    <w:rsid w:val="00AD6A8C"/>
    <w:rsid w:val="00AF5A1A"/>
    <w:rsid w:val="00B04F23"/>
    <w:rsid w:val="00B12B84"/>
    <w:rsid w:val="00B15F79"/>
    <w:rsid w:val="00B17CB5"/>
    <w:rsid w:val="00B212A5"/>
    <w:rsid w:val="00B42150"/>
    <w:rsid w:val="00B43F52"/>
    <w:rsid w:val="00B457A7"/>
    <w:rsid w:val="00B4705C"/>
    <w:rsid w:val="00B63E2A"/>
    <w:rsid w:val="00B70375"/>
    <w:rsid w:val="00B77108"/>
    <w:rsid w:val="00B814FA"/>
    <w:rsid w:val="00B96C34"/>
    <w:rsid w:val="00BF5CB8"/>
    <w:rsid w:val="00BF7EC1"/>
    <w:rsid w:val="00C00601"/>
    <w:rsid w:val="00C15CDE"/>
    <w:rsid w:val="00C222B2"/>
    <w:rsid w:val="00C315D9"/>
    <w:rsid w:val="00C34EBC"/>
    <w:rsid w:val="00C359E5"/>
    <w:rsid w:val="00C55091"/>
    <w:rsid w:val="00C642DD"/>
    <w:rsid w:val="00C64E34"/>
    <w:rsid w:val="00C74FEC"/>
    <w:rsid w:val="00C8626E"/>
    <w:rsid w:val="00C93A29"/>
    <w:rsid w:val="00C97E06"/>
    <w:rsid w:val="00CC37A7"/>
    <w:rsid w:val="00CD25DA"/>
    <w:rsid w:val="00CD27B5"/>
    <w:rsid w:val="00D00208"/>
    <w:rsid w:val="00D16C04"/>
    <w:rsid w:val="00D229E7"/>
    <w:rsid w:val="00D27235"/>
    <w:rsid w:val="00D33987"/>
    <w:rsid w:val="00D57EA7"/>
    <w:rsid w:val="00D72BD7"/>
    <w:rsid w:val="00DC01FF"/>
    <w:rsid w:val="00DD5E72"/>
    <w:rsid w:val="00DD6B80"/>
    <w:rsid w:val="00DE3817"/>
    <w:rsid w:val="00DF24BD"/>
    <w:rsid w:val="00E03960"/>
    <w:rsid w:val="00E1142D"/>
    <w:rsid w:val="00E56588"/>
    <w:rsid w:val="00E642DA"/>
    <w:rsid w:val="00E741C7"/>
    <w:rsid w:val="00E81610"/>
    <w:rsid w:val="00E91856"/>
    <w:rsid w:val="00ED47B6"/>
    <w:rsid w:val="00EE2E0B"/>
    <w:rsid w:val="00EE687B"/>
    <w:rsid w:val="00F15D49"/>
    <w:rsid w:val="00F5078F"/>
    <w:rsid w:val="00F507B9"/>
    <w:rsid w:val="00F51E8A"/>
    <w:rsid w:val="00F538AE"/>
    <w:rsid w:val="00FA2C0B"/>
    <w:rsid w:val="00FB5916"/>
    <w:rsid w:val="00FB663C"/>
    <w:rsid w:val="00FC30D4"/>
    <w:rsid w:val="00FD120D"/>
    <w:rsid w:val="00FD6A8E"/>
    <w:rsid w:val="00FE3133"/>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7EC6"/>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rsid w:val="000C422B"/>
    <w:rPr>
      <w:b/>
      <w:bCs/>
    </w:rPr>
  </w:style>
  <w:style w:type="character" w:styleId="CommentReference">
    <w:name w:val="annotation reference"/>
    <w:rsid w:val="00A94733"/>
    <w:rPr>
      <w:sz w:val="18"/>
      <w:szCs w:val="18"/>
    </w:rPr>
  </w:style>
  <w:style w:type="paragraph" w:styleId="CommentText">
    <w:name w:val="annotation text"/>
    <w:basedOn w:val="Normal"/>
    <w:link w:val="CommentTextChar"/>
    <w:rsid w:val="00A94733"/>
    <w:rPr>
      <w:sz w:val="24"/>
      <w:szCs w:val="24"/>
    </w:rPr>
  </w:style>
  <w:style w:type="character" w:customStyle="1" w:styleId="CommentTextChar">
    <w:name w:val="Comment Text Char"/>
    <w:link w:val="CommentText"/>
    <w:rsid w:val="00A94733"/>
    <w:rPr>
      <w:sz w:val="24"/>
      <w:szCs w:val="24"/>
    </w:rPr>
  </w:style>
  <w:style w:type="paragraph" w:styleId="CommentSubject">
    <w:name w:val="annotation subject"/>
    <w:basedOn w:val="CommentText"/>
    <w:next w:val="CommentText"/>
    <w:link w:val="CommentSubjectChar"/>
    <w:rsid w:val="00A94733"/>
    <w:rPr>
      <w:b/>
      <w:bCs/>
      <w:sz w:val="20"/>
      <w:szCs w:val="20"/>
    </w:rPr>
  </w:style>
  <w:style w:type="character" w:customStyle="1" w:styleId="CommentSubjectChar">
    <w:name w:val="Comment Subject Char"/>
    <w:link w:val="CommentSubject"/>
    <w:rsid w:val="00A94733"/>
    <w:rPr>
      <w:b/>
      <w:bCs/>
      <w:sz w:val="24"/>
      <w:szCs w:val="24"/>
    </w:rPr>
  </w:style>
  <w:style w:type="paragraph" w:styleId="BalloonText">
    <w:name w:val="Balloon Text"/>
    <w:basedOn w:val="Normal"/>
    <w:link w:val="BalloonTextChar"/>
    <w:rsid w:val="00A94733"/>
    <w:rPr>
      <w:rFonts w:ascii="Lucida Grande" w:hAnsi="Lucida Grande" w:cs="Lucida Grande"/>
      <w:sz w:val="18"/>
      <w:szCs w:val="18"/>
    </w:rPr>
  </w:style>
  <w:style w:type="character" w:customStyle="1" w:styleId="BalloonTextChar">
    <w:name w:val="Balloon Text Char"/>
    <w:link w:val="BalloonText"/>
    <w:rsid w:val="00A9473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7EC6"/>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rsid w:val="000C422B"/>
    <w:rPr>
      <w:b/>
      <w:bCs/>
    </w:rPr>
  </w:style>
  <w:style w:type="character" w:styleId="CommentReference">
    <w:name w:val="annotation reference"/>
    <w:rsid w:val="00A94733"/>
    <w:rPr>
      <w:sz w:val="18"/>
      <w:szCs w:val="18"/>
    </w:rPr>
  </w:style>
  <w:style w:type="paragraph" w:styleId="CommentText">
    <w:name w:val="annotation text"/>
    <w:basedOn w:val="Normal"/>
    <w:link w:val="CommentTextChar"/>
    <w:rsid w:val="00A94733"/>
    <w:rPr>
      <w:sz w:val="24"/>
      <w:szCs w:val="24"/>
    </w:rPr>
  </w:style>
  <w:style w:type="character" w:customStyle="1" w:styleId="CommentTextChar">
    <w:name w:val="Comment Text Char"/>
    <w:link w:val="CommentText"/>
    <w:rsid w:val="00A94733"/>
    <w:rPr>
      <w:sz w:val="24"/>
      <w:szCs w:val="24"/>
    </w:rPr>
  </w:style>
  <w:style w:type="paragraph" w:styleId="CommentSubject">
    <w:name w:val="annotation subject"/>
    <w:basedOn w:val="CommentText"/>
    <w:next w:val="CommentText"/>
    <w:link w:val="CommentSubjectChar"/>
    <w:rsid w:val="00A94733"/>
    <w:rPr>
      <w:b/>
      <w:bCs/>
      <w:sz w:val="20"/>
      <w:szCs w:val="20"/>
    </w:rPr>
  </w:style>
  <w:style w:type="character" w:customStyle="1" w:styleId="CommentSubjectChar">
    <w:name w:val="Comment Subject Char"/>
    <w:link w:val="CommentSubject"/>
    <w:rsid w:val="00A94733"/>
    <w:rPr>
      <w:b/>
      <w:bCs/>
      <w:sz w:val="24"/>
      <w:szCs w:val="24"/>
    </w:rPr>
  </w:style>
  <w:style w:type="paragraph" w:styleId="BalloonText">
    <w:name w:val="Balloon Text"/>
    <w:basedOn w:val="Normal"/>
    <w:link w:val="BalloonTextChar"/>
    <w:rsid w:val="00A94733"/>
    <w:rPr>
      <w:rFonts w:ascii="Lucida Grande" w:hAnsi="Lucida Grande" w:cs="Lucida Grande"/>
      <w:sz w:val="18"/>
      <w:szCs w:val="18"/>
    </w:rPr>
  </w:style>
  <w:style w:type="character" w:customStyle="1" w:styleId="BalloonTextChar">
    <w:name w:val="Balloon Text Char"/>
    <w:link w:val="BalloonText"/>
    <w:rsid w:val="00A9473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image" Target="media/image1.emf"/><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3152</Words>
  <Characters>17972</Characters>
  <Application>Microsoft Macintosh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21082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1</cp:revision>
  <dcterms:created xsi:type="dcterms:W3CDTF">2014-02-15T01:48:00Z</dcterms:created>
  <dcterms:modified xsi:type="dcterms:W3CDTF">2014-02-15T01:48:00Z</dcterms:modified>
</cp:coreProperties>
</file>