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Default="002F0282" w:rsidP="002F0282">
      <w:pPr>
        <w:autoSpaceDE w:val="0"/>
        <w:autoSpaceDN w:val="0"/>
        <w:adjustRightInd w:val="0"/>
        <w:jc w:val="center"/>
        <w:rPr>
          <w:b/>
          <w:color w:val="000000"/>
          <w:sz w:val="22"/>
          <w:szCs w:val="22"/>
        </w:rPr>
      </w:pPr>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rsidR="00C93A29" w:rsidRPr="0036127B" w:rsidRDefault="00C93A29" w:rsidP="00C93A29">
      <w:pPr>
        <w:autoSpaceDE w:val="0"/>
        <w:autoSpaceDN w:val="0"/>
        <w:adjustRightInd w:val="0"/>
        <w:jc w:val="center"/>
        <w:rPr>
          <w:b/>
          <w:color w:val="000000"/>
          <w:sz w:val="22"/>
          <w:szCs w:val="22"/>
        </w:rPr>
      </w:pPr>
    </w:p>
    <w:p w:rsidR="00C93A29" w:rsidRPr="0036127B" w:rsidRDefault="001E2894" w:rsidP="00C93A29">
      <w:pPr>
        <w:autoSpaceDE w:val="0"/>
        <w:autoSpaceDN w:val="0"/>
        <w:adjustRightInd w:val="0"/>
        <w:jc w:val="center"/>
        <w:rPr>
          <w:b/>
          <w:color w:val="000000"/>
          <w:sz w:val="22"/>
          <w:szCs w:val="22"/>
        </w:rPr>
      </w:pPr>
      <w:commentRangeStart w:id="0"/>
      <w:r>
        <w:rPr>
          <w:b/>
          <w:color w:val="000000"/>
          <w:sz w:val="22"/>
          <w:szCs w:val="22"/>
        </w:rPr>
        <w:t>Homework #5</w:t>
      </w:r>
      <w:commentRangeEnd w:id="0"/>
      <w:r w:rsidR="00E262A3">
        <w:rPr>
          <w:rStyle w:val="CommentReference"/>
        </w:rPr>
        <w:commentReference w:id="0"/>
      </w:r>
    </w:p>
    <w:p w:rsidR="00C93A29" w:rsidRPr="0036127B" w:rsidRDefault="001E2894" w:rsidP="00C93A29">
      <w:pPr>
        <w:autoSpaceDE w:val="0"/>
        <w:autoSpaceDN w:val="0"/>
        <w:adjustRightInd w:val="0"/>
        <w:jc w:val="center"/>
        <w:rPr>
          <w:color w:val="000000"/>
          <w:sz w:val="22"/>
          <w:szCs w:val="22"/>
        </w:rPr>
      </w:pPr>
      <w:r>
        <w:rPr>
          <w:color w:val="000000"/>
          <w:sz w:val="22"/>
          <w:szCs w:val="22"/>
        </w:rPr>
        <w:t>February 3</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file to the class Catalyst dropbox</w:t>
      </w:r>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E2894">
        <w:rPr>
          <w:color w:val="000000"/>
          <w:sz w:val="22"/>
          <w:szCs w:val="22"/>
        </w:rPr>
        <w:t>February 10</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homeworks)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359E5" w:rsidP="00E03960">
      <w:pPr>
        <w:autoSpaceDE w:val="0"/>
        <w:autoSpaceDN w:val="0"/>
        <w:adjustRightInd w:val="0"/>
        <w:rPr>
          <w:sz w:val="22"/>
          <w:szCs w:val="22"/>
        </w:rPr>
      </w:pPr>
      <w:r>
        <w:rPr>
          <w:color w:val="000000"/>
          <w:sz w:val="22"/>
          <w:szCs w:val="22"/>
        </w:rPr>
        <w:t>Problems 2 and 3 of the homework build</w:t>
      </w:r>
      <w:r w:rsidR="00C00601">
        <w:rPr>
          <w:color w:val="000000"/>
          <w:sz w:val="22"/>
          <w:szCs w:val="22"/>
        </w:rPr>
        <w:t xml:space="preserve"> on the analyses performed in homework</w:t>
      </w:r>
      <w:r w:rsidR="00115B08">
        <w:rPr>
          <w:color w:val="000000"/>
          <w:sz w:val="22"/>
          <w:szCs w:val="22"/>
        </w:rPr>
        <w:t>s</w:t>
      </w:r>
      <w:r w:rsidR="00C00601">
        <w:rPr>
          <w:color w:val="000000"/>
          <w:sz w:val="22"/>
          <w:szCs w:val="22"/>
        </w:rPr>
        <w:t xml:space="preserve"> #</w:t>
      </w:r>
      <w:r w:rsidR="008270AB">
        <w:rPr>
          <w:color w:val="000000"/>
          <w:sz w:val="22"/>
          <w:szCs w:val="22"/>
        </w:rPr>
        <w:t>1 through</w:t>
      </w:r>
      <w:r w:rsidR="001E2894">
        <w:rPr>
          <w:color w:val="000000"/>
          <w:sz w:val="22"/>
          <w:szCs w:val="22"/>
        </w:rPr>
        <w:t xml:space="preserve"> #4</w:t>
      </w:r>
      <w:r w:rsidR="00F538AE">
        <w:rPr>
          <w:color w:val="000000"/>
          <w:sz w:val="22"/>
          <w:szCs w:val="22"/>
        </w:rPr>
        <w:t>.</w:t>
      </w:r>
      <w:r w:rsidR="00C00601">
        <w:rPr>
          <w:color w:val="000000"/>
          <w:sz w:val="22"/>
          <w:szCs w:val="22"/>
        </w:rPr>
        <w:t xml:space="preserve"> As such, </w:t>
      </w:r>
      <w:r w:rsidR="00C00601">
        <w:rPr>
          <w:sz w:val="22"/>
          <w:szCs w:val="22"/>
        </w:rPr>
        <w:t>a</w:t>
      </w:r>
      <w:r w:rsidR="00261CFB" w:rsidRPr="009D5804">
        <w:rPr>
          <w:sz w:val="22"/>
          <w:szCs w:val="22"/>
        </w:rPr>
        <w:t xml:space="preserve">ll questions relate to </w:t>
      </w:r>
      <w:r w:rsidR="00132BA1" w:rsidRPr="009D5804">
        <w:rPr>
          <w:sz w:val="22"/>
          <w:szCs w:val="22"/>
        </w:rPr>
        <w:t xml:space="preserve">associations </w:t>
      </w:r>
      <w:r w:rsidR="00C00601">
        <w:rPr>
          <w:sz w:val="22"/>
          <w:szCs w:val="22"/>
        </w:rPr>
        <w:t xml:space="preserve">among death from any cause, </w:t>
      </w:r>
      <w:r w:rsidR="00132BA1" w:rsidRPr="009D5804">
        <w:rPr>
          <w:sz w:val="22"/>
          <w:szCs w:val="22"/>
        </w:rPr>
        <w:t>serum low density lipoprotein (LDL) levels</w:t>
      </w:r>
      <w:r w:rsidR="00C00601">
        <w:rPr>
          <w:sz w:val="22"/>
          <w:szCs w:val="22"/>
        </w:rPr>
        <w:t>, age, and sex</w:t>
      </w:r>
      <w:r w:rsidR="00132BA1" w:rsidRPr="009D5804">
        <w:rPr>
          <w:sz w:val="22"/>
          <w:szCs w:val="22"/>
        </w:rPr>
        <w:t xml:space="preserve"> in a population of generally healthy elderly subjects in four </w:t>
      </w:r>
      <w:smartTag w:uri="urn:schemas-microsoft-com:office:smarttags" w:element="country-region">
        <w:smartTag w:uri="urn:schemas-microsoft-com:office:smarttags" w:element="place">
          <w:r w:rsidR="00132BA1" w:rsidRPr="009D5804">
            <w:rPr>
              <w:sz w:val="22"/>
              <w:szCs w:val="22"/>
            </w:rPr>
            <w:t>U.S.</w:t>
          </w:r>
        </w:smartTag>
      </w:smartTag>
      <w:r w:rsidR="00132BA1" w:rsidRPr="009D5804">
        <w:rPr>
          <w:sz w:val="22"/>
          <w:szCs w:val="22"/>
        </w:rPr>
        <w:t xml:space="preserve">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r>
        <w:rPr>
          <w:sz w:val="22"/>
          <w:szCs w:val="22"/>
        </w:rPr>
        <w:t>Problem 1 of this homework uses the same dataset to explore associations between prevalence of diabetes and race in the population from which that sample was drawn.</w:t>
      </w:r>
    </w:p>
    <w:p w:rsidR="00261CFB" w:rsidRPr="009D5804" w:rsidRDefault="00261CFB" w:rsidP="00261CFB">
      <w:pPr>
        <w:autoSpaceDE w:val="0"/>
        <w:autoSpaceDN w:val="0"/>
        <w:adjustRightInd w:val="0"/>
        <w:rPr>
          <w:sz w:val="22"/>
          <w:szCs w:val="22"/>
        </w:rPr>
      </w:pPr>
    </w:p>
    <w:p w:rsidR="00C359E5" w:rsidRDefault="00C359E5" w:rsidP="00F538AE">
      <w:pPr>
        <w:numPr>
          <w:ilvl w:val="0"/>
          <w:numId w:val="19"/>
        </w:numPr>
        <w:autoSpaceDE w:val="0"/>
        <w:autoSpaceDN w:val="0"/>
        <w:adjustRightInd w:val="0"/>
        <w:spacing w:after="120"/>
        <w:rPr>
          <w:sz w:val="22"/>
          <w:szCs w:val="22"/>
        </w:rPr>
      </w:pPr>
      <w:commentRangeStart w:id="2"/>
      <w:r>
        <w:rPr>
          <w:sz w:val="22"/>
          <w:szCs w:val="22"/>
        </w:rPr>
        <w:t>Perform</w:t>
      </w:r>
      <w:commentRangeEnd w:id="2"/>
      <w:r w:rsidR="00E262A3">
        <w:rPr>
          <w:rStyle w:val="CommentReference"/>
        </w:rPr>
        <w:commentReference w:id="2"/>
      </w:r>
      <w:r>
        <w:rPr>
          <w:sz w:val="22"/>
          <w:szCs w:val="22"/>
        </w:rPr>
        <w:t xml:space="preserve"> a statistical regression analysis evaluating an association between prevalence of diabetes and race by comparing the odds of a diabetes diagnosis across.</w:t>
      </w:r>
    </w:p>
    <w:p w:rsidR="00C359E5" w:rsidRDefault="00C359E5" w:rsidP="00CD25DA">
      <w:pPr>
        <w:numPr>
          <w:ilvl w:val="1"/>
          <w:numId w:val="19"/>
        </w:numPr>
        <w:autoSpaceDE w:val="0"/>
        <w:autoSpaceDN w:val="0"/>
        <w:adjustRightInd w:val="0"/>
        <w:spacing w:after="120"/>
        <w:rPr>
          <w:sz w:val="22"/>
          <w:szCs w:val="22"/>
        </w:rPr>
      </w:pPr>
      <w:commentRangeStart w:id="3"/>
      <w:r>
        <w:rPr>
          <w:sz w:val="22"/>
          <w:szCs w:val="22"/>
        </w:rPr>
        <w:t>Fit</w:t>
      </w:r>
      <w:commentRangeEnd w:id="3"/>
      <w:r w:rsidR="00E262A3">
        <w:rPr>
          <w:rStyle w:val="CommentReference"/>
        </w:rPr>
        <w:commentReference w:id="3"/>
      </w:r>
      <w:r>
        <w:rPr>
          <w:sz w:val="22"/>
          <w:szCs w:val="22"/>
        </w:rPr>
        <w:t xml:space="preserve"> a logistic regression model that uses whites as a reference group. </w:t>
      </w:r>
      <w:r w:rsidR="00BF7EC1">
        <w:rPr>
          <w:sz w:val="22"/>
          <w:szCs w:val="22"/>
        </w:rPr>
        <w:t xml:space="preserve">Is this a saturated model? </w:t>
      </w:r>
      <w:r>
        <w:rPr>
          <w:sz w:val="22"/>
          <w:szCs w:val="22"/>
        </w:rPr>
        <w:t>Provide</w:t>
      </w:r>
      <w:r w:rsidR="00CD25DA">
        <w:rPr>
          <w:sz w:val="22"/>
          <w:szCs w:val="22"/>
        </w:rPr>
        <w:t xml:space="preserve"> </w:t>
      </w:r>
      <w:r w:rsidR="00BF7EC1">
        <w:rPr>
          <w:sz w:val="22"/>
          <w:szCs w:val="22"/>
        </w:rPr>
        <w:t xml:space="preserve">a </w:t>
      </w:r>
      <w:r w:rsidR="00CD25DA">
        <w:rPr>
          <w:sz w:val="22"/>
          <w:szCs w:val="22"/>
        </w:rPr>
        <w:t xml:space="preserve">formal report (methods and inference) about the scientific question regarding an association between diabetes and race. </w:t>
      </w:r>
    </w:p>
    <w:p w:rsidR="003E319E" w:rsidRPr="0047059B" w:rsidRDefault="003E319E" w:rsidP="003E319E">
      <w:pPr>
        <w:autoSpaceDE w:val="0"/>
        <w:autoSpaceDN w:val="0"/>
        <w:adjustRightInd w:val="0"/>
        <w:spacing w:after="120"/>
        <w:rPr>
          <w:sz w:val="22"/>
          <w:szCs w:val="22"/>
        </w:rPr>
      </w:pPr>
      <w:commentRangeStart w:id="4"/>
      <w:r w:rsidRPr="00F917CB">
        <w:rPr>
          <w:sz w:val="22"/>
          <w:szCs w:val="22"/>
          <w:u w:val="single"/>
        </w:rPr>
        <w:t>Methods</w:t>
      </w:r>
      <w:commentRangeEnd w:id="4"/>
      <w:r w:rsidR="00E262A3">
        <w:rPr>
          <w:rStyle w:val="CommentReference"/>
        </w:rPr>
        <w:commentReference w:id="4"/>
      </w:r>
      <w:r w:rsidRPr="00F76D7D">
        <w:rPr>
          <w:sz w:val="22"/>
          <w:szCs w:val="22"/>
        </w:rPr>
        <w:t xml:space="preserve">: To examine the association between </w:t>
      </w:r>
      <w:r w:rsidR="00881FE1">
        <w:rPr>
          <w:sz w:val="22"/>
          <w:szCs w:val="22"/>
        </w:rPr>
        <w:t>odds</w:t>
      </w:r>
      <w:r w:rsidRPr="00F76D7D">
        <w:rPr>
          <w:sz w:val="22"/>
          <w:szCs w:val="22"/>
        </w:rPr>
        <w:t xml:space="preserve"> of diabetes and race, a logistic regression model was fit</w:t>
      </w:r>
      <w:r>
        <w:rPr>
          <w:sz w:val="22"/>
          <w:szCs w:val="22"/>
        </w:rPr>
        <w:t xml:space="preserve"> to </w:t>
      </w:r>
      <w:r w:rsidRPr="00F76D7D">
        <w:rPr>
          <w:sz w:val="22"/>
          <w:szCs w:val="22"/>
        </w:rPr>
        <w:t xml:space="preserve">examine the </w:t>
      </w:r>
      <w:r>
        <w:rPr>
          <w:sz w:val="22"/>
          <w:szCs w:val="22"/>
        </w:rPr>
        <w:t xml:space="preserve">outcome of diabetes as the </w:t>
      </w:r>
      <w:r w:rsidRPr="00F76D7D">
        <w:rPr>
          <w:sz w:val="22"/>
          <w:szCs w:val="22"/>
        </w:rPr>
        <w:t xml:space="preserve">odds </w:t>
      </w:r>
      <w:r>
        <w:rPr>
          <w:sz w:val="22"/>
          <w:szCs w:val="22"/>
        </w:rPr>
        <w:t xml:space="preserve">ratio (OR) </w:t>
      </w:r>
      <w:r w:rsidRPr="00F76D7D">
        <w:rPr>
          <w:sz w:val="22"/>
          <w:szCs w:val="22"/>
        </w:rPr>
        <w:t xml:space="preserve">of diabetes </w:t>
      </w:r>
      <w:r>
        <w:rPr>
          <w:sz w:val="22"/>
          <w:szCs w:val="22"/>
        </w:rPr>
        <w:t xml:space="preserve">between predictors </w:t>
      </w:r>
      <w:r w:rsidRPr="00F76D7D">
        <w:rPr>
          <w:sz w:val="22"/>
          <w:szCs w:val="22"/>
        </w:rPr>
        <w:t>groups defined by race</w:t>
      </w:r>
      <w:r>
        <w:rPr>
          <w:sz w:val="22"/>
          <w:szCs w:val="22"/>
        </w:rPr>
        <w:t>, compared to the referent racial group “white”</w:t>
      </w:r>
      <w:r w:rsidRPr="00F76D7D">
        <w:rPr>
          <w:sz w:val="22"/>
          <w:szCs w:val="22"/>
        </w:rPr>
        <w:t xml:space="preserve">.  </w:t>
      </w:r>
      <w:r>
        <w:rPr>
          <w:sz w:val="22"/>
          <w:szCs w:val="22"/>
        </w:rPr>
        <w:t xml:space="preserve">The outcome is presence of diabetes, which is a binary outcome.  </w:t>
      </w:r>
      <w:r w:rsidR="00881FE1">
        <w:rPr>
          <w:sz w:val="22"/>
          <w:szCs w:val="22"/>
        </w:rPr>
        <w:t xml:space="preserve">Odds </w:t>
      </w:r>
      <w:r w:rsidR="00462139">
        <w:rPr>
          <w:sz w:val="22"/>
          <w:szCs w:val="22"/>
        </w:rPr>
        <w:t xml:space="preserve">of diabetes in a given racial group </w:t>
      </w:r>
      <w:r w:rsidR="00881FE1">
        <w:rPr>
          <w:sz w:val="22"/>
          <w:szCs w:val="22"/>
        </w:rPr>
        <w:t>and OR</w:t>
      </w:r>
      <w:r>
        <w:rPr>
          <w:sz w:val="22"/>
          <w:szCs w:val="22"/>
        </w:rPr>
        <w:t xml:space="preserve"> of diabetes in the given predictor racial group is compared to the referent racial group “white”</w:t>
      </w:r>
      <w:r w:rsidR="00462139">
        <w:rPr>
          <w:sz w:val="22"/>
          <w:szCs w:val="22"/>
        </w:rPr>
        <w:t xml:space="preserve"> with the logistic regression model</w:t>
      </w:r>
      <w:r>
        <w:rPr>
          <w:sz w:val="22"/>
          <w:szCs w:val="22"/>
        </w:rPr>
        <w:t xml:space="preserve">.  </w:t>
      </w:r>
      <w:r w:rsidRPr="00F76D7D">
        <w:rPr>
          <w:bCs/>
          <w:sz w:val="22"/>
          <w:szCs w:val="22"/>
        </w:rPr>
        <w:t xml:space="preserve">Statistical inference was based on the Wald </w:t>
      </w:r>
      <w:r>
        <w:rPr>
          <w:bCs/>
          <w:sz w:val="22"/>
          <w:szCs w:val="22"/>
        </w:rPr>
        <w:t>Chi-squared s</w:t>
      </w:r>
      <w:r w:rsidRPr="00F76D7D">
        <w:rPr>
          <w:bCs/>
          <w:sz w:val="22"/>
          <w:szCs w:val="22"/>
        </w:rPr>
        <w:t xml:space="preserve">tatistic computed using </w:t>
      </w:r>
      <w:r>
        <w:rPr>
          <w:bCs/>
          <w:sz w:val="22"/>
          <w:szCs w:val="22"/>
        </w:rPr>
        <w:t>robust estimation where we do not assume equal variance</w:t>
      </w:r>
      <w:r w:rsidRPr="00F76D7D">
        <w:rPr>
          <w:bCs/>
          <w:sz w:val="22"/>
          <w:szCs w:val="22"/>
        </w:rPr>
        <w:t>.</w:t>
      </w:r>
      <w:r>
        <w:rPr>
          <w:bCs/>
          <w:sz w:val="22"/>
          <w:szCs w:val="22"/>
        </w:rPr>
        <w:t xml:space="preserve">  This is a </w:t>
      </w:r>
      <w:commentRangeStart w:id="5"/>
      <w:r>
        <w:rPr>
          <w:bCs/>
          <w:sz w:val="22"/>
          <w:szCs w:val="22"/>
        </w:rPr>
        <w:t>saturated</w:t>
      </w:r>
      <w:commentRangeEnd w:id="5"/>
      <w:r w:rsidR="00E262A3">
        <w:rPr>
          <w:rStyle w:val="CommentReference"/>
        </w:rPr>
        <w:commentReference w:id="5"/>
      </w:r>
      <w:r>
        <w:rPr>
          <w:bCs/>
          <w:sz w:val="22"/>
          <w:szCs w:val="22"/>
        </w:rPr>
        <w:t xml:space="preserve"> model as race has 4 categories and we have 4 model parameters (3 slopes and 1 intercept).  </w:t>
      </w:r>
    </w:p>
    <w:p w:rsidR="0034612D" w:rsidRDefault="00A849D2" w:rsidP="00F917CB">
      <w:pPr>
        <w:autoSpaceDE w:val="0"/>
        <w:autoSpaceDN w:val="0"/>
        <w:adjustRightInd w:val="0"/>
        <w:spacing w:after="120"/>
        <w:rPr>
          <w:sz w:val="22"/>
          <w:szCs w:val="22"/>
        </w:rPr>
      </w:pPr>
      <w:commentRangeStart w:id="6"/>
      <w:r w:rsidRPr="00F917CB">
        <w:rPr>
          <w:sz w:val="22"/>
          <w:szCs w:val="22"/>
          <w:u w:val="single"/>
        </w:rPr>
        <w:t>Inference</w:t>
      </w:r>
      <w:commentRangeEnd w:id="6"/>
      <w:r w:rsidR="00E262A3">
        <w:rPr>
          <w:rStyle w:val="CommentReference"/>
        </w:rPr>
        <w:commentReference w:id="6"/>
      </w:r>
      <w:r>
        <w:rPr>
          <w:sz w:val="22"/>
          <w:szCs w:val="22"/>
        </w:rPr>
        <w:t>:</w:t>
      </w:r>
      <w:r w:rsidRPr="00A849D2">
        <w:rPr>
          <w:sz w:val="22"/>
          <w:szCs w:val="22"/>
        </w:rPr>
        <w:t xml:space="preserve"> </w:t>
      </w:r>
      <w:r w:rsidRPr="00A849D2">
        <w:rPr>
          <w:bCs/>
          <w:sz w:val="22"/>
          <w:szCs w:val="22"/>
        </w:rPr>
        <w:t xml:space="preserve">The study consisted of 735 </w:t>
      </w:r>
      <w:r>
        <w:rPr>
          <w:bCs/>
          <w:sz w:val="22"/>
          <w:szCs w:val="22"/>
        </w:rPr>
        <w:t xml:space="preserve">enrolled </w:t>
      </w:r>
      <w:r w:rsidRPr="00A849D2">
        <w:rPr>
          <w:bCs/>
          <w:sz w:val="22"/>
          <w:szCs w:val="22"/>
        </w:rPr>
        <w:t>subjects</w:t>
      </w:r>
      <w:r>
        <w:rPr>
          <w:bCs/>
          <w:sz w:val="22"/>
          <w:szCs w:val="22"/>
        </w:rPr>
        <w:t xml:space="preserve">, who were evaluated for the presence of diabetes prior to receiving an MRI.  There was no missing data for prevalence of diabetes or race.  </w:t>
      </w:r>
      <w:r w:rsidR="00C67098">
        <w:rPr>
          <w:bCs/>
          <w:sz w:val="22"/>
          <w:szCs w:val="22"/>
        </w:rPr>
        <w:t xml:space="preserve">The distribution of race showed that there were 572 whites, 104 blacks, </w:t>
      </w:r>
      <w:commentRangeStart w:id="7"/>
      <w:r w:rsidR="00C67098">
        <w:rPr>
          <w:bCs/>
          <w:sz w:val="22"/>
          <w:szCs w:val="22"/>
        </w:rPr>
        <w:t>47</w:t>
      </w:r>
      <w:commentRangeEnd w:id="7"/>
      <w:r w:rsidR="00E262A3">
        <w:rPr>
          <w:rStyle w:val="CommentReference"/>
        </w:rPr>
        <w:commentReference w:id="7"/>
      </w:r>
      <w:r w:rsidR="00C67098">
        <w:rPr>
          <w:bCs/>
          <w:sz w:val="22"/>
          <w:szCs w:val="22"/>
        </w:rPr>
        <w:t xml:space="preserve"> Asians and 12 subjects of other race.  </w:t>
      </w:r>
      <w:r w:rsidR="00C67098">
        <w:rPr>
          <w:sz w:val="22"/>
          <w:szCs w:val="22"/>
        </w:rPr>
        <w:t xml:space="preserve">Diabetes was </w:t>
      </w:r>
      <w:commentRangeStart w:id="8"/>
      <w:r w:rsidR="00C67098">
        <w:rPr>
          <w:sz w:val="22"/>
          <w:szCs w:val="22"/>
        </w:rPr>
        <w:lastRenderedPageBreak/>
        <w:t>diagnosed</w:t>
      </w:r>
      <w:commentRangeEnd w:id="8"/>
      <w:r w:rsidR="00E262A3">
        <w:rPr>
          <w:rStyle w:val="CommentReference"/>
        </w:rPr>
        <w:commentReference w:id="8"/>
      </w:r>
      <w:r w:rsidR="00C67098">
        <w:rPr>
          <w:sz w:val="22"/>
          <w:szCs w:val="22"/>
        </w:rPr>
        <w:t xml:space="preserve"> in 79 patients in total.  </w:t>
      </w:r>
      <w:r w:rsidR="0034612D">
        <w:rPr>
          <w:sz w:val="22"/>
          <w:szCs w:val="22"/>
        </w:rPr>
        <w:t>Using logistic regression</w:t>
      </w:r>
      <w:r w:rsidR="003E319E">
        <w:rPr>
          <w:sz w:val="22"/>
          <w:szCs w:val="22"/>
        </w:rPr>
        <w:t xml:space="preserve"> to</w:t>
      </w:r>
      <w:r w:rsidR="0034612D">
        <w:rPr>
          <w:sz w:val="22"/>
          <w:szCs w:val="22"/>
        </w:rPr>
        <w:t xml:space="preserve"> model </w:t>
      </w:r>
      <w:r w:rsidR="009F173D">
        <w:rPr>
          <w:sz w:val="22"/>
          <w:szCs w:val="22"/>
        </w:rPr>
        <w:t xml:space="preserve">the OR </w:t>
      </w:r>
      <w:r w:rsidR="003E319E">
        <w:rPr>
          <w:sz w:val="22"/>
          <w:szCs w:val="22"/>
        </w:rPr>
        <w:t xml:space="preserve">for </w:t>
      </w:r>
      <w:r w:rsidR="009F173D">
        <w:rPr>
          <w:sz w:val="22"/>
          <w:szCs w:val="22"/>
        </w:rPr>
        <w:t>diabetes in blacks compared to whites is 1.92</w:t>
      </w:r>
      <w:r w:rsidR="0047059B">
        <w:rPr>
          <w:sz w:val="22"/>
          <w:szCs w:val="22"/>
        </w:rPr>
        <w:t>9</w:t>
      </w:r>
      <w:r w:rsidR="009F173D">
        <w:rPr>
          <w:sz w:val="22"/>
          <w:szCs w:val="22"/>
        </w:rPr>
        <w:t xml:space="preserve">, </w:t>
      </w:r>
      <w:r w:rsidR="004E272E">
        <w:rPr>
          <w:sz w:val="22"/>
          <w:szCs w:val="22"/>
        </w:rPr>
        <w:t>t</w:t>
      </w:r>
      <w:r w:rsidR="00450462">
        <w:rPr>
          <w:sz w:val="22"/>
          <w:szCs w:val="22"/>
        </w:rPr>
        <w:t xml:space="preserve">he </w:t>
      </w:r>
      <w:r w:rsidR="002563FD">
        <w:rPr>
          <w:sz w:val="22"/>
          <w:szCs w:val="22"/>
        </w:rPr>
        <w:t xml:space="preserve">OR for </w:t>
      </w:r>
      <w:r w:rsidR="00450462">
        <w:rPr>
          <w:sz w:val="22"/>
          <w:szCs w:val="22"/>
        </w:rPr>
        <w:t xml:space="preserve">diabetes in Asians compared to whites is 0.6282, </w:t>
      </w:r>
      <w:r w:rsidR="004E272E">
        <w:rPr>
          <w:sz w:val="22"/>
          <w:szCs w:val="22"/>
        </w:rPr>
        <w:t xml:space="preserve">and </w:t>
      </w:r>
      <w:r w:rsidR="00450462">
        <w:rPr>
          <w:sz w:val="22"/>
          <w:szCs w:val="22"/>
        </w:rPr>
        <w:t xml:space="preserve">the </w:t>
      </w:r>
      <w:r w:rsidR="002563FD">
        <w:rPr>
          <w:sz w:val="22"/>
          <w:szCs w:val="22"/>
        </w:rPr>
        <w:t>OR for</w:t>
      </w:r>
      <w:r w:rsidR="00450462">
        <w:rPr>
          <w:sz w:val="22"/>
          <w:szCs w:val="22"/>
        </w:rPr>
        <w:t xml:space="preserve"> diabetes in those of other race compared to whites is 1.843.  </w:t>
      </w:r>
      <w:r w:rsidR="0034612D">
        <w:rPr>
          <w:sz w:val="22"/>
          <w:szCs w:val="22"/>
        </w:rPr>
        <w:t>We will not a</w:t>
      </w:r>
      <w:r w:rsidR="004E272E">
        <w:rPr>
          <w:sz w:val="22"/>
          <w:szCs w:val="22"/>
        </w:rPr>
        <w:t>ss</w:t>
      </w:r>
      <w:r w:rsidR="0034612D">
        <w:rPr>
          <w:sz w:val="22"/>
          <w:szCs w:val="22"/>
        </w:rPr>
        <w:t>ess</w:t>
      </w:r>
      <w:r w:rsidR="004E272E">
        <w:rPr>
          <w:sz w:val="22"/>
          <w:szCs w:val="22"/>
        </w:rPr>
        <w:t xml:space="preserve"> statistical</w:t>
      </w:r>
      <w:r w:rsidR="0034612D">
        <w:rPr>
          <w:sz w:val="22"/>
          <w:szCs w:val="22"/>
        </w:rPr>
        <w:t xml:space="preserve"> significance </w:t>
      </w:r>
      <w:r w:rsidR="004E272E">
        <w:rPr>
          <w:sz w:val="22"/>
          <w:szCs w:val="22"/>
        </w:rPr>
        <w:t xml:space="preserve">or confidence intervals </w:t>
      </w:r>
      <w:r w:rsidR="0034612D">
        <w:rPr>
          <w:sz w:val="22"/>
          <w:szCs w:val="22"/>
        </w:rPr>
        <w:t xml:space="preserve">between individual groups, but rather by assessing the overall Chi-squared statistic, </w:t>
      </w:r>
      <w:r w:rsidR="004E272E">
        <w:rPr>
          <w:sz w:val="22"/>
          <w:szCs w:val="22"/>
        </w:rPr>
        <w:t>we see</w:t>
      </w:r>
      <w:r w:rsidR="0034612D">
        <w:rPr>
          <w:sz w:val="22"/>
          <w:szCs w:val="22"/>
        </w:rPr>
        <w:t xml:space="preserve"> that we cannot reject the null hypothesis that </w:t>
      </w:r>
      <w:r w:rsidR="00450462">
        <w:rPr>
          <w:sz w:val="22"/>
          <w:szCs w:val="22"/>
        </w:rPr>
        <w:t xml:space="preserve">the </w:t>
      </w:r>
      <w:r w:rsidR="002563FD">
        <w:rPr>
          <w:sz w:val="22"/>
          <w:szCs w:val="22"/>
        </w:rPr>
        <w:t xml:space="preserve">odds of </w:t>
      </w:r>
      <w:r w:rsidR="00450462">
        <w:rPr>
          <w:sz w:val="22"/>
          <w:szCs w:val="22"/>
        </w:rPr>
        <w:t xml:space="preserve">diabetes is the same between groups </w:t>
      </w:r>
      <w:commentRangeStart w:id="9"/>
      <w:r w:rsidR="00450462">
        <w:rPr>
          <w:sz w:val="22"/>
          <w:szCs w:val="22"/>
        </w:rPr>
        <w:t xml:space="preserve">(p = </w:t>
      </w:r>
      <w:r w:rsidR="00450462" w:rsidRPr="00450462">
        <w:rPr>
          <w:sz w:val="22"/>
          <w:szCs w:val="22"/>
        </w:rPr>
        <w:t>0.0956</w:t>
      </w:r>
      <w:r w:rsidR="00450462">
        <w:rPr>
          <w:sz w:val="22"/>
          <w:szCs w:val="22"/>
        </w:rPr>
        <w:t>)</w:t>
      </w:r>
      <w:commentRangeEnd w:id="9"/>
      <w:r w:rsidR="00E262A3">
        <w:rPr>
          <w:rStyle w:val="CommentReference"/>
        </w:rPr>
        <w:commentReference w:id="9"/>
      </w:r>
      <w:r w:rsidR="00450462">
        <w:rPr>
          <w:sz w:val="22"/>
          <w:szCs w:val="22"/>
        </w:rPr>
        <w:t xml:space="preserve">.  </w:t>
      </w:r>
    </w:p>
    <w:p w:rsidR="00CD25DA" w:rsidRDefault="00C359E5" w:rsidP="00F917CB">
      <w:pPr>
        <w:numPr>
          <w:ilvl w:val="1"/>
          <w:numId w:val="19"/>
        </w:numPr>
        <w:autoSpaceDE w:val="0"/>
        <w:autoSpaceDN w:val="0"/>
        <w:adjustRightInd w:val="0"/>
        <w:spacing w:after="120"/>
        <w:rPr>
          <w:sz w:val="22"/>
          <w:szCs w:val="22"/>
        </w:rPr>
      </w:pPr>
      <w:commentRangeStart w:id="10"/>
      <w:r>
        <w:rPr>
          <w:sz w:val="22"/>
          <w:szCs w:val="22"/>
        </w:rPr>
        <w:t>Using</w:t>
      </w:r>
      <w:commentRangeEnd w:id="10"/>
      <w:r w:rsidR="00E262A3">
        <w:rPr>
          <w:rStyle w:val="CommentReference"/>
        </w:rPr>
        <w:commentReference w:id="10"/>
      </w:r>
      <w:r>
        <w:rPr>
          <w:sz w:val="22"/>
          <w:szCs w:val="22"/>
        </w:rPr>
        <w:t xml:space="preserve"> the regression model fit in part </w:t>
      </w:r>
      <w:r w:rsidR="00BF7EC1">
        <w:rPr>
          <w:sz w:val="22"/>
          <w:szCs w:val="22"/>
        </w:rPr>
        <w:t>(a)</w:t>
      </w:r>
      <w:r>
        <w:rPr>
          <w:sz w:val="22"/>
          <w:szCs w:val="22"/>
        </w:rPr>
        <w:t xml:space="preserve">, provide </w:t>
      </w:r>
      <w:r w:rsidR="00CD25DA">
        <w:rPr>
          <w:sz w:val="22"/>
          <w:szCs w:val="22"/>
        </w:rPr>
        <w:t>an interpretation for each of the regression parameters (including the intercept).</w:t>
      </w:r>
    </w:p>
    <w:p w:rsidR="003B0401" w:rsidRDefault="003B0401" w:rsidP="003B0401">
      <w:pPr>
        <w:autoSpaceDE w:val="0"/>
        <w:autoSpaceDN w:val="0"/>
        <w:adjustRightInd w:val="0"/>
        <w:spacing w:after="120"/>
        <w:rPr>
          <w:sz w:val="22"/>
          <w:szCs w:val="22"/>
        </w:rPr>
      </w:pPr>
      <w:r>
        <w:rPr>
          <w:sz w:val="22"/>
          <w:szCs w:val="22"/>
        </w:rPr>
        <w:t>β</w:t>
      </w:r>
      <w:r w:rsidRPr="00450462">
        <w:rPr>
          <w:sz w:val="22"/>
          <w:szCs w:val="22"/>
          <w:vertAlign w:val="subscript"/>
        </w:rPr>
        <w:t>0</w:t>
      </w:r>
      <w:r>
        <w:rPr>
          <w:sz w:val="22"/>
          <w:szCs w:val="22"/>
        </w:rPr>
        <w:t xml:space="preserve"> (intercept) = -2.221</w:t>
      </w:r>
      <w:r w:rsidRPr="00450462">
        <w:rPr>
          <w:sz w:val="22"/>
          <w:szCs w:val="22"/>
        </w:rPr>
        <w:t xml:space="preserve"> </w:t>
      </w:r>
      <w:r w:rsidR="00121253">
        <w:rPr>
          <w:sz w:val="22"/>
          <w:szCs w:val="22"/>
        </w:rPr>
        <w:t xml:space="preserve">is the log </w:t>
      </w:r>
      <w:r>
        <w:rPr>
          <w:sz w:val="22"/>
          <w:szCs w:val="22"/>
        </w:rPr>
        <w:t xml:space="preserve">odds of diabetes when the race is white.  </w:t>
      </w:r>
    </w:p>
    <w:p w:rsidR="00450462" w:rsidRDefault="003B0401" w:rsidP="00DC4909">
      <w:pPr>
        <w:autoSpaceDE w:val="0"/>
        <w:autoSpaceDN w:val="0"/>
        <w:adjustRightInd w:val="0"/>
        <w:spacing w:after="120"/>
        <w:rPr>
          <w:sz w:val="22"/>
          <w:szCs w:val="22"/>
        </w:rPr>
      </w:pPr>
      <w:r>
        <w:rPr>
          <w:sz w:val="22"/>
          <w:szCs w:val="22"/>
        </w:rPr>
        <w:t>e^</w:t>
      </w:r>
      <w:r w:rsidR="00450462">
        <w:rPr>
          <w:sz w:val="22"/>
          <w:szCs w:val="22"/>
        </w:rPr>
        <w:t>β</w:t>
      </w:r>
      <w:r w:rsidR="00450462" w:rsidRPr="00450462">
        <w:rPr>
          <w:sz w:val="22"/>
          <w:szCs w:val="22"/>
          <w:vertAlign w:val="subscript"/>
        </w:rPr>
        <w:t>0</w:t>
      </w:r>
      <w:r w:rsidR="00450462">
        <w:rPr>
          <w:sz w:val="22"/>
          <w:szCs w:val="22"/>
        </w:rPr>
        <w:t xml:space="preserve"> = 0</w:t>
      </w:r>
      <w:r w:rsidR="00450462" w:rsidRPr="00450462">
        <w:rPr>
          <w:sz w:val="22"/>
          <w:szCs w:val="22"/>
        </w:rPr>
        <w:t xml:space="preserve">.1085 </w:t>
      </w:r>
      <w:r w:rsidR="00450462">
        <w:rPr>
          <w:sz w:val="22"/>
          <w:szCs w:val="22"/>
        </w:rPr>
        <w:t xml:space="preserve">is the odds of diabetes when the race is white.  </w:t>
      </w:r>
    </w:p>
    <w:p w:rsidR="00450462" w:rsidRDefault="00450462" w:rsidP="00450462">
      <w:pPr>
        <w:autoSpaceDE w:val="0"/>
        <w:autoSpaceDN w:val="0"/>
        <w:adjustRightInd w:val="0"/>
        <w:spacing w:after="120"/>
        <w:rPr>
          <w:sz w:val="22"/>
          <w:szCs w:val="22"/>
        </w:rPr>
      </w:pPr>
      <w:r>
        <w:rPr>
          <w:sz w:val="22"/>
          <w:szCs w:val="22"/>
        </w:rPr>
        <w:t>β</w:t>
      </w:r>
      <w:r>
        <w:rPr>
          <w:sz w:val="22"/>
          <w:szCs w:val="22"/>
          <w:vertAlign w:val="subscript"/>
        </w:rPr>
        <w:t>1</w:t>
      </w:r>
      <w:r>
        <w:rPr>
          <w:sz w:val="22"/>
          <w:szCs w:val="22"/>
        </w:rPr>
        <w:t xml:space="preserve"> = </w:t>
      </w:r>
      <w:r w:rsidR="003B0401">
        <w:rPr>
          <w:sz w:val="22"/>
          <w:szCs w:val="22"/>
        </w:rPr>
        <w:t>0</w:t>
      </w:r>
      <w:r w:rsidR="003B0401" w:rsidRPr="003B0401">
        <w:t xml:space="preserve"> </w:t>
      </w:r>
      <w:r w:rsidR="003B0401" w:rsidRPr="003B0401">
        <w:rPr>
          <w:sz w:val="22"/>
          <w:szCs w:val="22"/>
        </w:rPr>
        <w:t>.656</w:t>
      </w:r>
      <w:r w:rsidR="003B0401">
        <w:rPr>
          <w:sz w:val="22"/>
          <w:szCs w:val="22"/>
        </w:rPr>
        <w:t>8</w:t>
      </w:r>
      <w:r w:rsidRPr="00450462">
        <w:rPr>
          <w:sz w:val="22"/>
          <w:szCs w:val="22"/>
        </w:rPr>
        <w:t xml:space="preserve"> </w:t>
      </w:r>
      <w:r>
        <w:rPr>
          <w:sz w:val="22"/>
          <w:szCs w:val="22"/>
        </w:rPr>
        <w:t>is the difference in the log</w:t>
      </w:r>
      <w:r w:rsidR="00121253">
        <w:rPr>
          <w:sz w:val="22"/>
          <w:szCs w:val="22"/>
        </w:rPr>
        <w:t xml:space="preserve"> </w:t>
      </w:r>
      <w:r>
        <w:rPr>
          <w:sz w:val="22"/>
          <w:szCs w:val="22"/>
        </w:rPr>
        <w:t>odds</w:t>
      </w:r>
      <w:r w:rsidR="00121253">
        <w:rPr>
          <w:sz w:val="22"/>
          <w:szCs w:val="22"/>
        </w:rPr>
        <w:t xml:space="preserve"> </w:t>
      </w:r>
      <w:r>
        <w:rPr>
          <w:sz w:val="22"/>
          <w:szCs w:val="22"/>
        </w:rPr>
        <w:t>of diabetes when the race is black compared to white</w:t>
      </w:r>
      <w:r w:rsidR="003B0401">
        <w:rPr>
          <w:sz w:val="22"/>
          <w:szCs w:val="22"/>
        </w:rPr>
        <w:t xml:space="preserve"> (</w:t>
      </w:r>
      <w:r w:rsidR="00024961">
        <w:rPr>
          <w:sz w:val="22"/>
          <w:szCs w:val="22"/>
        </w:rPr>
        <w:t>i.e. log</w:t>
      </w:r>
      <w:r w:rsidR="00365FD5">
        <w:rPr>
          <w:sz w:val="22"/>
          <w:szCs w:val="22"/>
        </w:rPr>
        <w:t xml:space="preserve"> </w:t>
      </w:r>
      <w:r w:rsidR="008270AB">
        <w:rPr>
          <w:sz w:val="22"/>
          <w:szCs w:val="22"/>
        </w:rPr>
        <w:t>odds (</w:t>
      </w:r>
      <w:r w:rsidR="00365FD5">
        <w:rPr>
          <w:sz w:val="22"/>
          <w:szCs w:val="22"/>
        </w:rPr>
        <w:t xml:space="preserve">DM | </w:t>
      </w:r>
      <w:r w:rsidR="00A81F21">
        <w:rPr>
          <w:sz w:val="22"/>
          <w:szCs w:val="22"/>
        </w:rPr>
        <w:t>black</w:t>
      </w:r>
      <w:r w:rsidR="00365FD5">
        <w:rPr>
          <w:sz w:val="22"/>
          <w:szCs w:val="22"/>
        </w:rPr>
        <w:t>)</w:t>
      </w:r>
      <w:r w:rsidR="003B0401">
        <w:rPr>
          <w:sz w:val="22"/>
          <w:szCs w:val="22"/>
        </w:rPr>
        <w:t xml:space="preserve"> – log</w:t>
      </w:r>
      <w:r w:rsidR="00365FD5">
        <w:rPr>
          <w:sz w:val="22"/>
          <w:szCs w:val="22"/>
        </w:rPr>
        <w:t xml:space="preserve"> </w:t>
      </w:r>
      <w:r w:rsidR="00024961">
        <w:rPr>
          <w:sz w:val="22"/>
          <w:szCs w:val="22"/>
        </w:rPr>
        <w:t>odds</w:t>
      </w:r>
      <w:r w:rsidR="00365FD5">
        <w:rPr>
          <w:sz w:val="22"/>
          <w:szCs w:val="22"/>
        </w:rPr>
        <w:t xml:space="preserve"> (DM |</w:t>
      </w:r>
      <w:r w:rsidR="00024961">
        <w:rPr>
          <w:sz w:val="22"/>
          <w:szCs w:val="22"/>
        </w:rPr>
        <w:t xml:space="preserve"> </w:t>
      </w:r>
      <w:r w:rsidR="00A81F21">
        <w:rPr>
          <w:sz w:val="22"/>
          <w:szCs w:val="22"/>
        </w:rPr>
        <w:t>white</w:t>
      </w:r>
      <w:r w:rsidR="003B0401">
        <w:rPr>
          <w:sz w:val="22"/>
          <w:szCs w:val="22"/>
        </w:rPr>
        <w:t>)</w:t>
      </w:r>
      <w:r>
        <w:rPr>
          <w:sz w:val="22"/>
          <w:szCs w:val="22"/>
        </w:rPr>
        <w:t xml:space="preserve">.  </w:t>
      </w:r>
    </w:p>
    <w:p w:rsidR="003B0401" w:rsidRDefault="003B0401" w:rsidP="003B0401">
      <w:pPr>
        <w:autoSpaceDE w:val="0"/>
        <w:autoSpaceDN w:val="0"/>
        <w:adjustRightInd w:val="0"/>
        <w:spacing w:after="120"/>
        <w:rPr>
          <w:sz w:val="22"/>
          <w:szCs w:val="22"/>
        </w:rPr>
      </w:pPr>
      <w:r>
        <w:rPr>
          <w:sz w:val="22"/>
          <w:szCs w:val="22"/>
        </w:rPr>
        <w:t>e^β</w:t>
      </w:r>
      <w:r>
        <w:rPr>
          <w:sz w:val="22"/>
          <w:szCs w:val="22"/>
          <w:vertAlign w:val="subscript"/>
        </w:rPr>
        <w:t>1</w:t>
      </w:r>
      <w:r>
        <w:rPr>
          <w:sz w:val="22"/>
          <w:szCs w:val="22"/>
        </w:rPr>
        <w:t xml:space="preserve"> = </w:t>
      </w:r>
      <w:r w:rsidRPr="00450462">
        <w:rPr>
          <w:sz w:val="22"/>
          <w:szCs w:val="22"/>
        </w:rPr>
        <w:t>1.92</w:t>
      </w:r>
      <w:r>
        <w:rPr>
          <w:sz w:val="22"/>
          <w:szCs w:val="22"/>
        </w:rPr>
        <w:t>9</w:t>
      </w:r>
      <w:r w:rsidRPr="00450462">
        <w:rPr>
          <w:sz w:val="22"/>
          <w:szCs w:val="22"/>
        </w:rPr>
        <w:t xml:space="preserve"> </w:t>
      </w:r>
      <w:r>
        <w:rPr>
          <w:sz w:val="22"/>
          <w:szCs w:val="22"/>
        </w:rPr>
        <w:t>is the OR of diabetes when the race is black compared to white</w:t>
      </w:r>
      <w:r w:rsidR="004E272E">
        <w:rPr>
          <w:sz w:val="22"/>
          <w:szCs w:val="22"/>
        </w:rPr>
        <w:t xml:space="preserve"> (</w:t>
      </w:r>
      <w:r w:rsidR="00024961">
        <w:rPr>
          <w:sz w:val="22"/>
          <w:szCs w:val="22"/>
        </w:rPr>
        <w:t>i.e. odds (DM | black) / odds (DM | white</w:t>
      </w:r>
      <w:r w:rsidR="004E272E">
        <w:rPr>
          <w:sz w:val="22"/>
          <w:szCs w:val="22"/>
        </w:rPr>
        <w:t>)</w:t>
      </w:r>
      <w:r>
        <w:rPr>
          <w:sz w:val="22"/>
          <w:szCs w:val="22"/>
        </w:rPr>
        <w:t xml:space="preserve">.  </w:t>
      </w:r>
    </w:p>
    <w:p w:rsidR="00450462" w:rsidRDefault="00450462" w:rsidP="00450462">
      <w:pPr>
        <w:autoSpaceDE w:val="0"/>
        <w:autoSpaceDN w:val="0"/>
        <w:adjustRightInd w:val="0"/>
        <w:spacing w:after="120"/>
        <w:rPr>
          <w:sz w:val="22"/>
          <w:szCs w:val="22"/>
        </w:rPr>
      </w:pPr>
      <w:r>
        <w:rPr>
          <w:sz w:val="22"/>
          <w:szCs w:val="22"/>
        </w:rPr>
        <w:t>β</w:t>
      </w:r>
      <w:r>
        <w:rPr>
          <w:sz w:val="22"/>
          <w:szCs w:val="22"/>
          <w:vertAlign w:val="subscript"/>
        </w:rPr>
        <w:t>2</w:t>
      </w:r>
      <w:r>
        <w:rPr>
          <w:sz w:val="22"/>
          <w:szCs w:val="22"/>
        </w:rPr>
        <w:t xml:space="preserve"> = </w:t>
      </w:r>
      <w:r w:rsidR="003B0401">
        <w:rPr>
          <w:sz w:val="22"/>
          <w:szCs w:val="22"/>
        </w:rPr>
        <w:t>-0</w:t>
      </w:r>
      <w:r w:rsidR="003B0401" w:rsidRPr="003B0401">
        <w:t xml:space="preserve"> </w:t>
      </w:r>
      <w:r w:rsidR="003B0401" w:rsidRPr="003B0401">
        <w:rPr>
          <w:sz w:val="22"/>
          <w:szCs w:val="22"/>
        </w:rPr>
        <w:t>.4648</w:t>
      </w:r>
      <w:r w:rsidRPr="00450462">
        <w:rPr>
          <w:sz w:val="22"/>
          <w:szCs w:val="22"/>
        </w:rPr>
        <w:t xml:space="preserve"> </w:t>
      </w:r>
      <w:r>
        <w:rPr>
          <w:sz w:val="22"/>
          <w:szCs w:val="22"/>
        </w:rPr>
        <w:t>is the difference in the log</w:t>
      </w:r>
      <w:r w:rsidR="00121253">
        <w:rPr>
          <w:sz w:val="22"/>
          <w:szCs w:val="22"/>
        </w:rPr>
        <w:t xml:space="preserve"> </w:t>
      </w:r>
      <w:r>
        <w:rPr>
          <w:sz w:val="22"/>
          <w:szCs w:val="22"/>
        </w:rPr>
        <w:t>odds</w:t>
      </w:r>
      <w:r w:rsidR="00121253">
        <w:rPr>
          <w:sz w:val="22"/>
          <w:szCs w:val="22"/>
        </w:rPr>
        <w:t xml:space="preserve"> </w:t>
      </w:r>
      <w:r>
        <w:rPr>
          <w:sz w:val="22"/>
          <w:szCs w:val="22"/>
        </w:rPr>
        <w:t xml:space="preserve">of diabetes when the race is </w:t>
      </w:r>
      <w:r w:rsidR="003B0401">
        <w:rPr>
          <w:sz w:val="22"/>
          <w:szCs w:val="22"/>
        </w:rPr>
        <w:t>Asian</w:t>
      </w:r>
      <w:r>
        <w:rPr>
          <w:sz w:val="22"/>
          <w:szCs w:val="22"/>
        </w:rPr>
        <w:t xml:space="preserve"> compared to white</w:t>
      </w:r>
      <w:r w:rsidR="003B0401">
        <w:rPr>
          <w:sz w:val="22"/>
          <w:szCs w:val="22"/>
        </w:rPr>
        <w:t xml:space="preserve"> (</w:t>
      </w:r>
      <w:r w:rsidR="00121253">
        <w:rPr>
          <w:sz w:val="22"/>
          <w:szCs w:val="22"/>
        </w:rPr>
        <w:t>i.e</w:t>
      </w:r>
      <w:r w:rsidR="00365FD5">
        <w:rPr>
          <w:sz w:val="22"/>
          <w:szCs w:val="22"/>
        </w:rPr>
        <w:t xml:space="preserve">. log </w:t>
      </w:r>
      <w:r w:rsidR="008270AB">
        <w:rPr>
          <w:sz w:val="22"/>
          <w:szCs w:val="22"/>
        </w:rPr>
        <w:t>odds (</w:t>
      </w:r>
      <w:r w:rsidR="00365FD5">
        <w:rPr>
          <w:sz w:val="22"/>
          <w:szCs w:val="22"/>
        </w:rPr>
        <w:t>DM | Asian) – log odds (DM | white</w:t>
      </w:r>
      <w:r w:rsidR="003B0401">
        <w:rPr>
          <w:sz w:val="22"/>
          <w:szCs w:val="22"/>
        </w:rPr>
        <w:t>)</w:t>
      </w:r>
      <w:r>
        <w:rPr>
          <w:sz w:val="22"/>
          <w:szCs w:val="22"/>
        </w:rPr>
        <w:t xml:space="preserve">.  </w:t>
      </w:r>
    </w:p>
    <w:p w:rsidR="003B0401" w:rsidRDefault="003B0401" w:rsidP="003B0401">
      <w:pPr>
        <w:autoSpaceDE w:val="0"/>
        <w:autoSpaceDN w:val="0"/>
        <w:adjustRightInd w:val="0"/>
        <w:spacing w:after="120"/>
        <w:rPr>
          <w:sz w:val="22"/>
          <w:szCs w:val="22"/>
        </w:rPr>
      </w:pPr>
      <w:r>
        <w:rPr>
          <w:sz w:val="22"/>
          <w:szCs w:val="22"/>
        </w:rPr>
        <w:t>e^β</w:t>
      </w:r>
      <w:r>
        <w:rPr>
          <w:sz w:val="22"/>
          <w:szCs w:val="22"/>
          <w:vertAlign w:val="subscript"/>
        </w:rPr>
        <w:t>2</w:t>
      </w:r>
      <w:r>
        <w:rPr>
          <w:sz w:val="22"/>
          <w:szCs w:val="22"/>
        </w:rPr>
        <w:t xml:space="preserve"> = 0</w:t>
      </w:r>
      <w:r w:rsidRPr="003B0401">
        <w:rPr>
          <w:sz w:val="22"/>
          <w:szCs w:val="22"/>
        </w:rPr>
        <w:t>.6282</w:t>
      </w:r>
      <w:r w:rsidRPr="00450462">
        <w:rPr>
          <w:sz w:val="22"/>
          <w:szCs w:val="22"/>
        </w:rPr>
        <w:t xml:space="preserve"> </w:t>
      </w:r>
      <w:r>
        <w:rPr>
          <w:sz w:val="22"/>
          <w:szCs w:val="22"/>
        </w:rPr>
        <w:t>is the OR of diabetes when the race is Asian compared to white</w:t>
      </w:r>
      <w:r w:rsidR="004E272E">
        <w:rPr>
          <w:sz w:val="22"/>
          <w:szCs w:val="22"/>
        </w:rPr>
        <w:t xml:space="preserve"> (</w:t>
      </w:r>
      <w:r w:rsidR="00024961">
        <w:rPr>
          <w:sz w:val="22"/>
          <w:szCs w:val="22"/>
        </w:rPr>
        <w:t>i.e. odds (DM | Asian) / odds (DM | white</w:t>
      </w:r>
      <w:r w:rsidR="004E272E">
        <w:rPr>
          <w:sz w:val="22"/>
          <w:szCs w:val="22"/>
        </w:rPr>
        <w:t>)</w:t>
      </w:r>
      <w:r>
        <w:rPr>
          <w:sz w:val="22"/>
          <w:szCs w:val="22"/>
        </w:rPr>
        <w:t xml:space="preserve">.  </w:t>
      </w:r>
    </w:p>
    <w:p w:rsidR="003B0401" w:rsidRDefault="003B0401" w:rsidP="003B0401">
      <w:pPr>
        <w:autoSpaceDE w:val="0"/>
        <w:autoSpaceDN w:val="0"/>
        <w:adjustRightInd w:val="0"/>
        <w:spacing w:after="120"/>
        <w:rPr>
          <w:sz w:val="22"/>
          <w:szCs w:val="22"/>
        </w:rPr>
      </w:pPr>
      <w:r>
        <w:rPr>
          <w:sz w:val="22"/>
          <w:szCs w:val="22"/>
        </w:rPr>
        <w:t>β</w:t>
      </w:r>
      <w:r>
        <w:rPr>
          <w:sz w:val="22"/>
          <w:szCs w:val="22"/>
          <w:vertAlign w:val="subscript"/>
        </w:rPr>
        <w:t>3</w:t>
      </w:r>
      <w:r>
        <w:rPr>
          <w:sz w:val="22"/>
          <w:szCs w:val="22"/>
        </w:rPr>
        <w:t xml:space="preserve"> = 0.6113</w:t>
      </w:r>
      <w:r w:rsidRPr="00450462">
        <w:rPr>
          <w:sz w:val="22"/>
          <w:szCs w:val="22"/>
        </w:rPr>
        <w:t xml:space="preserve"> </w:t>
      </w:r>
      <w:r>
        <w:rPr>
          <w:sz w:val="22"/>
          <w:szCs w:val="22"/>
        </w:rPr>
        <w:t>is the difference in the log</w:t>
      </w:r>
      <w:r w:rsidR="00121253">
        <w:rPr>
          <w:sz w:val="22"/>
          <w:szCs w:val="22"/>
        </w:rPr>
        <w:t xml:space="preserve"> </w:t>
      </w:r>
      <w:r>
        <w:rPr>
          <w:sz w:val="22"/>
          <w:szCs w:val="22"/>
        </w:rPr>
        <w:t>odds of diabetes when the race is other compared to white (</w:t>
      </w:r>
      <w:r w:rsidR="00365FD5">
        <w:rPr>
          <w:sz w:val="22"/>
          <w:szCs w:val="22"/>
        </w:rPr>
        <w:t xml:space="preserve">i.e. log </w:t>
      </w:r>
      <w:r w:rsidR="008270AB">
        <w:rPr>
          <w:sz w:val="22"/>
          <w:szCs w:val="22"/>
        </w:rPr>
        <w:t>odds (</w:t>
      </w:r>
      <w:r w:rsidR="00365FD5">
        <w:rPr>
          <w:sz w:val="22"/>
          <w:szCs w:val="22"/>
        </w:rPr>
        <w:t>DM | other) – log odds (DM | white</w:t>
      </w:r>
      <w:r>
        <w:rPr>
          <w:sz w:val="22"/>
          <w:szCs w:val="22"/>
        </w:rPr>
        <w:t xml:space="preserve">).  </w:t>
      </w:r>
    </w:p>
    <w:p w:rsidR="00450462" w:rsidRDefault="003B0401" w:rsidP="00DC4909">
      <w:pPr>
        <w:autoSpaceDE w:val="0"/>
        <w:autoSpaceDN w:val="0"/>
        <w:adjustRightInd w:val="0"/>
        <w:spacing w:after="120"/>
        <w:rPr>
          <w:sz w:val="22"/>
          <w:szCs w:val="22"/>
        </w:rPr>
      </w:pPr>
      <w:r>
        <w:rPr>
          <w:sz w:val="22"/>
          <w:szCs w:val="22"/>
        </w:rPr>
        <w:t>e^β</w:t>
      </w:r>
      <w:r>
        <w:rPr>
          <w:sz w:val="22"/>
          <w:szCs w:val="22"/>
          <w:vertAlign w:val="subscript"/>
        </w:rPr>
        <w:t>3</w:t>
      </w:r>
      <w:r>
        <w:rPr>
          <w:sz w:val="22"/>
          <w:szCs w:val="22"/>
        </w:rPr>
        <w:t xml:space="preserve"> = 1.843</w:t>
      </w:r>
      <w:r w:rsidRPr="00450462">
        <w:rPr>
          <w:sz w:val="22"/>
          <w:szCs w:val="22"/>
        </w:rPr>
        <w:t xml:space="preserve"> </w:t>
      </w:r>
      <w:r>
        <w:rPr>
          <w:sz w:val="22"/>
          <w:szCs w:val="22"/>
        </w:rPr>
        <w:t>is the OR of diabetes when the race is other compared to white</w:t>
      </w:r>
      <w:r w:rsidR="004E272E">
        <w:rPr>
          <w:sz w:val="22"/>
          <w:szCs w:val="22"/>
        </w:rPr>
        <w:t xml:space="preserve"> (</w:t>
      </w:r>
      <w:r w:rsidR="00024961">
        <w:rPr>
          <w:sz w:val="22"/>
          <w:szCs w:val="22"/>
        </w:rPr>
        <w:t>i.e. odds (DM | other) / odds (DM | white</w:t>
      </w:r>
      <w:r w:rsidR="004E272E">
        <w:rPr>
          <w:sz w:val="22"/>
          <w:szCs w:val="22"/>
        </w:rPr>
        <w:t>)</w:t>
      </w:r>
      <w:r>
        <w:rPr>
          <w:sz w:val="22"/>
          <w:szCs w:val="22"/>
        </w:rPr>
        <w:t xml:space="preserve">.  </w:t>
      </w:r>
    </w:p>
    <w:p w:rsidR="00C359E5" w:rsidRDefault="00CD25DA" w:rsidP="00CD25DA">
      <w:pPr>
        <w:numPr>
          <w:ilvl w:val="1"/>
          <w:numId w:val="19"/>
        </w:numPr>
        <w:autoSpaceDE w:val="0"/>
        <w:autoSpaceDN w:val="0"/>
        <w:adjustRightInd w:val="0"/>
        <w:spacing w:after="120"/>
        <w:rPr>
          <w:sz w:val="22"/>
          <w:szCs w:val="22"/>
        </w:rPr>
      </w:pPr>
      <w:commentRangeStart w:id="11"/>
      <w:r>
        <w:rPr>
          <w:sz w:val="22"/>
          <w:szCs w:val="22"/>
        </w:rPr>
        <w:t>If</w:t>
      </w:r>
      <w:commentRangeEnd w:id="11"/>
      <w:r w:rsidR="00E262A3">
        <w:rPr>
          <w:rStyle w:val="CommentReference"/>
        </w:rPr>
        <w:commentReference w:id="11"/>
      </w:r>
      <w:r>
        <w:rPr>
          <w:sz w:val="22"/>
          <w:szCs w:val="22"/>
        </w:rPr>
        <w:t xml:space="preserve"> we were to ignore issue related to multiple comparisons, what conclusions would you reach based on the p values reported in the regression output</w:t>
      </w:r>
      <w:r w:rsidR="00BF7EC1">
        <w:rPr>
          <w:sz w:val="22"/>
          <w:szCs w:val="22"/>
        </w:rPr>
        <w:t xml:space="preserve"> from part (a)</w:t>
      </w:r>
      <w:r>
        <w:rPr>
          <w:sz w:val="22"/>
          <w:szCs w:val="22"/>
        </w:rPr>
        <w:t xml:space="preserve"> using a 0.05 level of significance.</w:t>
      </w:r>
    </w:p>
    <w:p w:rsidR="00CC782F" w:rsidRDefault="004E272E" w:rsidP="00DC4909">
      <w:pPr>
        <w:autoSpaceDE w:val="0"/>
        <w:autoSpaceDN w:val="0"/>
        <w:adjustRightInd w:val="0"/>
        <w:spacing w:after="120"/>
        <w:rPr>
          <w:sz w:val="22"/>
          <w:szCs w:val="22"/>
        </w:rPr>
      </w:pPr>
      <w:r>
        <w:rPr>
          <w:sz w:val="22"/>
          <w:szCs w:val="22"/>
        </w:rPr>
        <w:t xml:space="preserve">Ignoring issues related to multiple comparisons, we would conclude that there is a statistically significant association between </w:t>
      </w:r>
      <w:r w:rsidR="00881FE1">
        <w:rPr>
          <w:sz w:val="22"/>
          <w:szCs w:val="22"/>
        </w:rPr>
        <w:t>odds</w:t>
      </w:r>
      <w:r>
        <w:rPr>
          <w:sz w:val="22"/>
          <w:szCs w:val="22"/>
        </w:rPr>
        <w:t xml:space="preserve"> of diabetes and race only for blacks and whites (p=0.026), but not between Asians &amp; whites (p=0.449) or other races and whites (p=0.438).  </w:t>
      </w:r>
      <w:r w:rsidR="00646151">
        <w:rPr>
          <w:sz w:val="22"/>
          <w:szCs w:val="22"/>
        </w:rPr>
        <w:t xml:space="preserve">However, </w:t>
      </w:r>
      <w:r>
        <w:rPr>
          <w:sz w:val="22"/>
          <w:szCs w:val="22"/>
        </w:rPr>
        <w:t xml:space="preserve">looking at individual p-values introduces </w:t>
      </w:r>
      <w:r w:rsidR="00646151">
        <w:rPr>
          <w:sz w:val="22"/>
          <w:szCs w:val="22"/>
        </w:rPr>
        <w:t>multiple comparisons, so is not valid to use these p-values</w:t>
      </w:r>
      <w:r>
        <w:rPr>
          <w:sz w:val="22"/>
          <w:szCs w:val="22"/>
        </w:rPr>
        <w:t xml:space="preserve">.  </w:t>
      </w:r>
      <w:r w:rsidR="00DC4909">
        <w:rPr>
          <w:sz w:val="22"/>
          <w:szCs w:val="22"/>
        </w:rPr>
        <w:t xml:space="preserve">Since these dummy variables are actually mutually exclusive categories of a single variable, they can be best compared with a much more simple procedure, such as the chi-squared test, which predicts that we cannot reject the null hypothesis that the distribution of the </w:t>
      </w:r>
      <w:r w:rsidR="003E319E">
        <w:rPr>
          <w:sz w:val="22"/>
          <w:szCs w:val="22"/>
        </w:rPr>
        <w:t>odds</w:t>
      </w:r>
      <w:r w:rsidR="00DC4909">
        <w:rPr>
          <w:sz w:val="22"/>
          <w:szCs w:val="22"/>
        </w:rPr>
        <w:t xml:space="preserve"> of diabetes across racial groups is the same (p = 0.0</w:t>
      </w:r>
      <w:r w:rsidR="003E319E">
        <w:rPr>
          <w:sz w:val="22"/>
          <w:szCs w:val="22"/>
        </w:rPr>
        <w:t>9</w:t>
      </w:r>
      <w:r w:rsidR="00DC4909">
        <w:rPr>
          <w:sz w:val="22"/>
          <w:szCs w:val="22"/>
        </w:rPr>
        <w:t>6</w:t>
      </w:r>
      <w:r w:rsidR="003E319E">
        <w:rPr>
          <w:sz w:val="22"/>
          <w:szCs w:val="22"/>
        </w:rPr>
        <w:t>).</w:t>
      </w:r>
    </w:p>
    <w:p w:rsidR="00CD25DA" w:rsidRDefault="00CD25DA" w:rsidP="00BF7EC1">
      <w:pPr>
        <w:numPr>
          <w:ilvl w:val="1"/>
          <w:numId w:val="19"/>
        </w:numPr>
        <w:autoSpaceDE w:val="0"/>
        <w:autoSpaceDN w:val="0"/>
        <w:adjustRightInd w:val="0"/>
        <w:spacing w:after="120"/>
        <w:rPr>
          <w:sz w:val="22"/>
          <w:szCs w:val="22"/>
        </w:rPr>
      </w:pPr>
      <w:commentRangeStart w:id="12"/>
      <w:r>
        <w:rPr>
          <w:sz w:val="22"/>
          <w:szCs w:val="22"/>
        </w:rPr>
        <w:t>Now</w:t>
      </w:r>
      <w:commentRangeEnd w:id="12"/>
      <w:r w:rsidR="008D52D7">
        <w:rPr>
          <w:rStyle w:val="CommentReference"/>
        </w:rPr>
        <w:commentReference w:id="12"/>
      </w:r>
      <w:r>
        <w:rPr>
          <w:sz w:val="22"/>
          <w:szCs w:val="22"/>
        </w:rPr>
        <w:t xml:space="preserve"> fit a logistic regression model that uses blacks as a reference group. How would your report of formal inference differ from that that you provided in part </w:t>
      </w:r>
      <w:r w:rsidR="00BF7EC1">
        <w:rPr>
          <w:sz w:val="22"/>
          <w:szCs w:val="22"/>
        </w:rPr>
        <w:t>(a)</w:t>
      </w:r>
      <w:r>
        <w:rPr>
          <w:sz w:val="22"/>
          <w:szCs w:val="22"/>
        </w:rPr>
        <w:t>?</w:t>
      </w:r>
      <w:r w:rsidR="00BF7EC1">
        <w:rPr>
          <w:sz w:val="22"/>
          <w:szCs w:val="22"/>
        </w:rPr>
        <w:t xml:space="preserve"> How does this regression model relate to that in part (a)?</w:t>
      </w:r>
    </w:p>
    <w:p w:rsidR="002563FD" w:rsidRPr="0047059B" w:rsidRDefault="002563FD" w:rsidP="002563FD">
      <w:pPr>
        <w:autoSpaceDE w:val="0"/>
        <w:autoSpaceDN w:val="0"/>
        <w:adjustRightInd w:val="0"/>
        <w:spacing w:after="120"/>
        <w:rPr>
          <w:sz w:val="22"/>
          <w:szCs w:val="22"/>
        </w:rPr>
      </w:pPr>
      <w:r w:rsidRPr="00F917CB">
        <w:rPr>
          <w:sz w:val="22"/>
          <w:szCs w:val="22"/>
          <w:u w:val="single"/>
        </w:rPr>
        <w:t>Methods</w:t>
      </w:r>
      <w:r w:rsidRPr="00F76D7D">
        <w:rPr>
          <w:sz w:val="22"/>
          <w:szCs w:val="22"/>
        </w:rPr>
        <w:t>: To examine the association between prevalence of diabetes and race, a logistic regression model was fit</w:t>
      </w:r>
      <w:r>
        <w:rPr>
          <w:sz w:val="22"/>
          <w:szCs w:val="22"/>
        </w:rPr>
        <w:t xml:space="preserve"> to </w:t>
      </w:r>
      <w:r w:rsidRPr="00F76D7D">
        <w:rPr>
          <w:sz w:val="22"/>
          <w:szCs w:val="22"/>
        </w:rPr>
        <w:t xml:space="preserve">examine the </w:t>
      </w:r>
      <w:r>
        <w:rPr>
          <w:sz w:val="22"/>
          <w:szCs w:val="22"/>
        </w:rPr>
        <w:t xml:space="preserve">outcome of diabetes as the </w:t>
      </w:r>
      <w:r w:rsidRPr="00F76D7D">
        <w:rPr>
          <w:sz w:val="22"/>
          <w:szCs w:val="22"/>
        </w:rPr>
        <w:t xml:space="preserve">odds </w:t>
      </w:r>
      <w:r>
        <w:rPr>
          <w:sz w:val="22"/>
          <w:szCs w:val="22"/>
        </w:rPr>
        <w:t xml:space="preserve">ratio (OR) </w:t>
      </w:r>
      <w:r w:rsidRPr="00F76D7D">
        <w:rPr>
          <w:sz w:val="22"/>
          <w:szCs w:val="22"/>
        </w:rPr>
        <w:t xml:space="preserve">of diabetes </w:t>
      </w:r>
      <w:r>
        <w:rPr>
          <w:sz w:val="22"/>
          <w:szCs w:val="22"/>
        </w:rPr>
        <w:t xml:space="preserve">between predictors </w:t>
      </w:r>
      <w:r w:rsidRPr="00F76D7D">
        <w:rPr>
          <w:sz w:val="22"/>
          <w:szCs w:val="22"/>
        </w:rPr>
        <w:t>groups defined by race</w:t>
      </w:r>
      <w:r>
        <w:rPr>
          <w:sz w:val="22"/>
          <w:szCs w:val="22"/>
        </w:rPr>
        <w:t>, compared to the referent racial group “black”</w:t>
      </w:r>
      <w:r w:rsidRPr="00F76D7D">
        <w:rPr>
          <w:sz w:val="22"/>
          <w:szCs w:val="22"/>
        </w:rPr>
        <w:t xml:space="preserve">.  </w:t>
      </w:r>
      <w:r>
        <w:rPr>
          <w:sz w:val="22"/>
          <w:szCs w:val="22"/>
        </w:rPr>
        <w:t xml:space="preserve">The outcome is presence of diabetes, which is a binary outcome.  Odds ratio of diabetes in the given predictor racial group compared to the referent racial group “black”.  </w:t>
      </w:r>
      <w:r w:rsidRPr="00F76D7D">
        <w:rPr>
          <w:bCs/>
          <w:sz w:val="22"/>
          <w:szCs w:val="22"/>
        </w:rPr>
        <w:t xml:space="preserve">Statistical inference was based on the Wald </w:t>
      </w:r>
      <w:r>
        <w:rPr>
          <w:bCs/>
          <w:sz w:val="22"/>
          <w:szCs w:val="22"/>
        </w:rPr>
        <w:t>Chi-squared s</w:t>
      </w:r>
      <w:r w:rsidRPr="00F76D7D">
        <w:rPr>
          <w:bCs/>
          <w:sz w:val="22"/>
          <w:szCs w:val="22"/>
        </w:rPr>
        <w:t xml:space="preserve">tatistic computed using </w:t>
      </w:r>
      <w:r>
        <w:rPr>
          <w:bCs/>
          <w:sz w:val="22"/>
          <w:szCs w:val="22"/>
        </w:rPr>
        <w:t>robust estimation where we do not assume equal variance</w:t>
      </w:r>
      <w:r w:rsidRPr="00F76D7D">
        <w:rPr>
          <w:bCs/>
          <w:sz w:val="22"/>
          <w:szCs w:val="22"/>
        </w:rPr>
        <w:t>.</w:t>
      </w:r>
      <w:r>
        <w:rPr>
          <w:bCs/>
          <w:sz w:val="22"/>
          <w:szCs w:val="22"/>
        </w:rPr>
        <w:t xml:space="preserve">  This is a saturated model as race has 4 categories and we have 4 model parameters (3 slopes and 1 intercept).  </w:t>
      </w:r>
    </w:p>
    <w:p w:rsidR="002563FD" w:rsidRDefault="002563FD" w:rsidP="008E48CF">
      <w:pPr>
        <w:autoSpaceDE w:val="0"/>
        <w:autoSpaceDN w:val="0"/>
        <w:adjustRightInd w:val="0"/>
        <w:spacing w:after="120"/>
        <w:rPr>
          <w:sz w:val="22"/>
          <w:szCs w:val="22"/>
        </w:rPr>
      </w:pPr>
      <w:r w:rsidRPr="00F917CB">
        <w:rPr>
          <w:sz w:val="22"/>
          <w:szCs w:val="22"/>
          <w:u w:val="single"/>
        </w:rPr>
        <w:t>Inference</w:t>
      </w:r>
      <w:r>
        <w:rPr>
          <w:sz w:val="22"/>
          <w:szCs w:val="22"/>
        </w:rPr>
        <w:t>:</w:t>
      </w:r>
      <w:r w:rsidRPr="00A849D2">
        <w:rPr>
          <w:sz w:val="22"/>
          <w:szCs w:val="22"/>
        </w:rPr>
        <w:t xml:space="preserve"> </w:t>
      </w:r>
      <w:r w:rsidRPr="00A849D2">
        <w:rPr>
          <w:bCs/>
          <w:sz w:val="22"/>
          <w:szCs w:val="22"/>
        </w:rPr>
        <w:t xml:space="preserve">The study consisted of 735 </w:t>
      </w:r>
      <w:r>
        <w:rPr>
          <w:bCs/>
          <w:sz w:val="22"/>
          <w:szCs w:val="22"/>
        </w:rPr>
        <w:t xml:space="preserve">enrolled </w:t>
      </w:r>
      <w:r w:rsidRPr="00A849D2">
        <w:rPr>
          <w:bCs/>
          <w:sz w:val="22"/>
          <w:szCs w:val="22"/>
        </w:rPr>
        <w:t>subjects</w:t>
      </w:r>
      <w:r>
        <w:rPr>
          <w:bCs/>
          <w:sz w:val="22"/>
          <w:szCs w:val="22"/>
        </w:rPr>
        <w:t xml:space="preserve">, who were evaluated for the presence of diabetes prior to receiving an MRI.  There was no missing data for prevalence of diabetes or race.  The distribution of race showed that there were 572 whites, 104 blacks, 47 Asians and 12 subjects of other race.  </w:t>
      </w:r>
      <w:r>
        <w:rPr>
          <w:sz w:val="22"/>
          <w:szCs w:val="22"/>
        </w:rPr>
        <w:t xml:space="preserve">Diabetes was diagnosed in 79 patients in total.  Using logistic regression to model the OR for diabetes in whites compared </w:t>
      </w:r>
      <w:r>
        <w:rPr>
          <w:sz w:val="22"/>
          <w:szCs w:val="22"/>
        </w:rPr>
        <w:lastRenderedPageBreak/>
        <w:t>to blacks is 0</w:t>
      </w:r>
      <w:r w:rsidRPr="003E319E">
        <w:t xml:space="preserve"> </w:t>
      </w:r>
      <w:r w:rsidRPr="003E319E">
        <w:rPr>
          <w:sz w:val="22"/>
          <w:szCs w:val="22"/>
        </w:rPr>
        <w:t>.5185</w:t>
      </w:r>
      <w:r>
        <w:rPr>
          <w:sz w:val="22"/>
          <w:szCs w:val="22"/>
        </w:rPr>
        <w:t>, the OR for diabetes in Asians compared to whites is 0</w:t>
      </w:r>
      <w:r w:rsidRPr="003E319E">
        <w:t xml:space="preserve"> </w:t>
      </w:r>
      <w:r>
        <w:rPr>
          <w:sz w:val="22"/>
          <w:szCs w:val="22"/>
        </w:rPr>
        <w:t xml:space="preserve">.3258, and the OR for diabetes in those of other race compared to whites is 0.9556.  We will not assess statistical significance or confidence intervals between individual groups, but rather by assessing the overall Chi-squared test statistic, we see that we cannot reject the null hypothesis that the odds of diabetes is the same between groups (p = </w:t>
      </w:r>
      <w:r w:rsidRPr="00450462">
        <w:rPr>
          <w:sz w:val="22"/>
          <w:szCs w:val="22"/>
        </w:rPr>
        <w:t>0.0956</w:t>
      </w:r>
      <w:r>
        <w:rPr>
          <w:sz w:val="22"/>
          <w:szCs w:val="22"/>
        </w:rPr>
        <w:t xml:space="preserve">).  </w:t>
      </w:r>
    </w:p>
    <w:p w:rsidR="002563FD" w:rsidRDefault="002563FD" w:rsidP="008E48CF">
      <w:pPr>
        <w:autoSpaceDE w:val="0"/>
        <w:autoSpaceDN w:val="0"/>
        <w:adjustRightInd w:val="0"/>
        <w:spacing w:after="120"/>
        <w:rPr>
          <w:sz w:val="22"/>
          <w:szCs w:val="22"/>
        </w:rPr>
      </w:pPr>
      <w:commentRangeStart w:id="13"/>
      <w:r>
        <w:rPr>
          <w:sz w:val="22"/>
          <w:szCs w:val="22"/>
        </w:rPr>
        <w:t>This regression model uses “black” as the referent racial category in computing ORs for diabetes, whereas the regression model in part (a) uses “white” as the referent racial category in computing ORs for diabetes.  T</w:t>
      </w:r>
      <w:r w:rsidR="00DA11CF">
        <w:rPr>
          <w:sz w:val="22"/>
          <w:szCs w:val="22"/>
        </w:rPr>
        <w:t xml:space="preserve">he report of formal inference </w:t>
      </w:r>
      <w:r>
        <w:rPr>
          <w:sz w:val="22"/>
          <w:szCs w:val="22"/>
        </w:rPr>
        <w:t xml:space="preserve">changes with this reparameterization in that the referent group is different, so the ORs are different for Asians and other, whereas the OR for black white is the inverse. The Chi-squared statistic does not change and our overall assessment is that we cannot reject the null hypothesis that the </w:t>
      </w:r>
      <w:r w:rsidR="008270AB">
        <w:rPr>
          <w:sz w:val="22"/>
          <w:szCs w:val="22"/>
        </w:rPr>
        <w:t>odds of diabetes are</w:t>
      </w:r>
      <w:r>
        <w:rPr>
          <w:sz w:val="22"/>
          <w:szCs w:val="22"/>
        </w:rPr>
        <w:t xml:space="preserve"> the same between racial groups.  </w:t>
      </w:r>
      <w:commentRangeEnd w:id="13"/>
      <w:r w:rsidR="008D52D7">
        <w:rPr>
          <w:rStyle w:val="CommentReference"/>
        </w:rPr>
        <w:commentReference w:id="13"/>
      </w:r>
    </w:p>
    <w:p w:rsidR="00CD25DA" w:rsidRDefault="00CD25DA" w:rsidP="00BF7EC1">
      <w:pPr>
        <w:numPr>
          <w:ilvl w:val="1"/>
          <w:numId w:val="19"/>
        </w:numPr>
        <w:autoSpaceDE w:val="0"/>
        <w:autoSpaceDN w:val="0"/>
        <w:adjustRightInd w:val="0"/>
        <w:spacing w:after="120"/>
        <w:rPr>
          <w:sz w:val="22"/>
          <w:szCs w:val="22"/>
        </w:rPr>
      </w:pPr>
      <w:commentRangeStart w:id="14"/>
      <w:r>
        <w:rPr>
          <w:sz w:val="22"/>
          <w:szCs w:val="22"/>
        </w:rPr>
        <w:t>Using</w:t>
      </w:r>
      <w:commentRangeEnd w:id="14"/>
      <w:r w:rsidR="008D52D7">
        <w:rPr>
          <w:rStyle w:val="CommentReference"/>
        </w:rPr>
        <w:commentReference w:id="14"/>
      </w:r>
      <w:r>
        <w:rPr>
          <w:sz w:val="22"/>
          <w:szCs w:val="22"/>
        </w:rPr>
        <w:t xml:space="preserve"> the regression model fit in part </w:t>
      </w:r>
      <w:r w:rsidR="00BF7EC1">
        <w:rPr>
          <w:sz w:val="22"/>
          <w:szCs w:val="22"/>
        </w:rPr>
        <w:t>(d)</w:t>
      </w:r>
      <w:r>
        <w:rPr>
          <w:sz w:val="22"/>
          <w:szCs w:val="22"/>
        </w:rPr>
        <w:t>, provide an interpretation for each of the regression parameters (including the intercept.)</w:t>
      </w:r>
    </w:p>
    <w:p w:rsidR="00024961" w:rsidRDefault="00024961" w:rsidP="00024961">
      <w:pPr>
        <w:autoSpaceDE w:val="0"/>
        <w:autoSpaceDN w:val="0"/>
        <w:adjustRightInd w:val="0"/>
        <w:spacing w:after="120"/>
        <w:rPr>
          <w:sz w:val="22"/>
          <w:szCs w:val="22"/>
        </w:rPr>
      </w:pPr>
      <w:r>
        <w:rPr>
          <w:sz w:val="22"/>
          <w:szCs w:val="22"/>
        </w:rPr>
        <w:t>β</w:t>
      </w:r>
      <w:r w:rsidRPr="00450462">
        <w:rPr>
          <w:sz w:val="22"/>
          <w:szCs w:val="22"/>
          <w:vertAlign w:val="subscript"/>
        </w:rPr>
        <w:t>0</w:t>
      </w:r>
      <w:r>
        <w:rPr>
          <w:sz w:val="22"/>
          <w:szCs w:val="22"/>
        </w:rPr>
        <w:t xml:space="preserve"> (intercept) = -</w:t>
      </w:r>
      <w:r w:rsidR="00881FE1">
        <w:rPr>
          <w:sz w:val="22"/>
          <w:szCs w:val="22"/>
        </w:rPr>
        <w:t>1.564</w:t>
      </w:r>
      <w:r w:rsidRPr="00450462">
        <w:rPr>
          <w:sz w:val="22"/>
          <w:szCs w:val="22"/>
        </w:rPr>
        <w:t xml:space="preserve"> </w:t>
      </w:r>
      <w:r>
        <w:rPr>
          <w:sz w:val="22"/>
          <w:szCs w:val="22"/>
        </w:rPr>
        <w:t>is the log</w:t>
      </w:r>
      <w:r w:rsidR="00121253">
        <w:rPr>
          <w:sz w:val="22"/>
          <w:szCs w:val="22"/>
        </w:rPr>
        <w:t xml:space="preserve"> </w:t>
      </w:r>
      <w:r w:rsidR="008270AB">
        <w:rPr>
          <w:sz w:val="22"/>
          <w:szCs w:val="22"/>
        </w:rPr>
        <w:t>odds of</w:t>
      </w:r>
      <w:r>
        <w:rPr>
          <w:sz w:val="22"/>
          <w:szCs w:val="22"/>
        </w:rPr>
        <w:t xml:space="preserve"> diabetes when the race is black.  </w:t>
      </w:r>
    </w:p>
    <w:p w:rsidR="00024961" w:rsidRDefault="00024961" w:rsidP="00024961">
      <w:pPr>
        <w:autoSpaceDE w:val="0"/>
        <w:autoSpaceDN w:val="0"/>
        <w:adjustRightInd w:val="0"/>
        <w:spacing w:after="120"/>
        <w:rPr>
          <w:sz w:val="22"/>
          <w:szCs w:val="22"/>
        </w:rPr>
      </w:pPr>
      <w:r>
        <w:rPr>
          <w:sz w:val="22"/>
          <w:szCs w:val="22"/>
        </w:rPr>
        <w:t>e^β</w:t>
      </w:r>
      <w:r w:rsidRPr="00450462">
        <w:rPr>
          <w:sz w:val="22"/>
          <w:szCs w:val="22"/>
          <w:vertAlign w:val="subscript"/>
        </w:rPr>
        <w:t>0</w:t>
      </w:r>
      <w:r>
        <w:rPr>
          <w:sz w:val="22"/>
          <w:szCs w:val="22"/>
        </w:rPr>
        <w:t xml:space="preserve"> = 0</w:t>
      </w:r>
      <w:r w:rsidRPr="00450462">
        <w:rPr>
          <w:sz w:val="22"/>
          <w:szCs w:val="22"/>
        </w:rPr>
        <w:t>.</w:t>
      </w:r>
      <w:r w:rsidR="00881FE1">
        <w:rPr>
          <w:sz w:val="22"/>
          <w:szCs w:val="22"/>
        </w:rPr>
        <w:t>2093</w:t>
      </w:r>
      <w:r w:rsidRPr="00450462">
        <w:rPr>
          <w:sz w:val="22"/>
          <w:szCs w:val="22"/>
        </w:rPr>
        <w:t xml:space="preserve"> </w:t>
      </w:r>
      <w:r>
        <w:rPr>
          <w:sz w:val="22"/>
          <w:szCs w:val="22"/>
        </w:rPr>
        <w:t xml:space="preserve">is the odds of diabetes when the race is black.  </w:t>
      </w:r>
    </w:p>
    <w:p w:rsidR="00024961" w:rsidRDefault="00024961" w:rsidP="00024961">
      <w:pPr>
        <w:autoSpaceDE w:val="0"/>
        <w:autoSpaceDN w:val="0"/>
        <w:adjustRightInd w:val="0"/>
        <w:spacing w:after="120"/>
        <w:rPr>
          <w:sz w:val="22"/>
          <w:szCs w:val="22"/>
        </w:rPr>
      </w:pPr>
      <w:r>
        <w:rPr>
          <w:sz w:val="22"/>
          <w:szCs w:val="22"/>
        </w:rPr>
        <w:t>β</w:t>
      </w:r>
      <w:r>
        <w:rPr>
          <w:sz w:val="22"/>
          <w:szCs w:val="22"/>
          <w:vertAlign w:val="subscript"/>
        </w:rPr>
        <w:t>1</w:t>
      </w:r>
      <w:r>
        <w:rPr>
          <w:sz w:val="22"/>
          <w:szCs w:val="22"/>
        </w:rPr>
        <w:t xml:space="preserve"> = </w:t>
      </w:r>
      <w:r w:rsidR="00881FE1">
        <w:rPr>
          <w:sz w:val="22"/>
          <w:szCs w:val="22"/>
        </w:rPr>
        <w:t>-</w:t>
      </w:r>
      <w:r>
        <w:rPr>
          <w:sz w:val="22"/>
          <w:szCs w:val="22"/>
        </w:rPr>
        <w:t>0</w:t>
      </w:r>
      <w:r w:rsidRPr="003B0401">
        <w:t xml:space="preserve"> </w:t>
      </w:r>
      <w:r w:rsidRPr="003B0401">
        <w:rPr>
          <w:sz w:val="22"/>
          <w:szCs w:val="22"/>
        </w:rPr>
        <w:t>.656</w:t>
      </w:r>
      <w:r>
        <w:rPr>
          <w:sz w:val="22"/>
          <w:szCs w:val="22"/>
        </w:rPr>
        <w:t>8</w:t>
      </w:r>
      <w:r w:rsidRPr="00450462">
        <w:rPr>
          <w:sz w:val="22"/>
          <w:szCs w:val="22"/>
        </w:rPr>
        <w:t xml:space="preserve"> </w:t>
      </w:r>
      <w:r>
        <w:rPr>
          <w:sz w:val="22"/>
          <w:szCs w:val="22"/>
        </w:rPr>
        <w:t>is the difference in the log</w:t>
      </w:r>
      <w:r w:rsidR="00121253">
        <w:rPr>
          <w:sz w:val="22"/>
          <w:szCs w:val="22"/>
        </w:rPr>
        <w:t xml:space="preserve"> </w:t>
      </w:r>
      <w:r>
        <w:rPr>
          <w:sz w:val="22"/>
          <w:szCs w:val="22"/>
        </w:rPr>
        <w:t>odds of diabetes when the race is white compared to black (</w:t>
      </w:r>
      <w:r w:rsidR="00365FD5">
        <w:rPr>
          <w:sz w:val="22"/>
          <w:szCs w:val="22"/>
        </w:rPr>
        <w:t xml:space="preserve">i.e. log </w:t>
      </w:r>
      <w:r w:rsidR="008270AB">
        <w:rPr>
          <w:sz w:val="22"/>
          <w:szCs w:val="22"/>
        </w:rPr>
        <w:t>odds (</w:t>
      </w:r>
      <w:r w:rsidR="00365FD5">
        <w:rPr>
          <w:sz w:val="22"/>
          <w:szCs w:val="22"/>
        </w:rPr>
        <w:t>DM | white) – log odds (DM | black</w:t>
      </w:r>
      <w:r>
        <w:rPr>
          <w:sz w:val="22"/>
          <w:szCs w:val="22"/>
        </w:rPr>
        <w:t xml:space="preserve">).  </w:t>
      </w:r>
    </w:p>
    <w:p w:rsidR="00024961" w:rsidRDefault="00024961" w:rsidP="00024961">
      <w:pPr>
        <w:autoSpaceDE w:val="0"/>
        <w:autoSpaceDN w:val="0"/>
        <w:adjustRightInd w:val="0"/>
        <w:spacing w:after="120"/>
        <w:rPr>
          <w:sz w:val="22"/>
          <w:szCs w:val="22"/>
        </w:rPr>
      </w:pPr>
      <w:r>
        <w:rPr>
          <w:sz w:val="22"/>
          <w:szCs w:val="22"/>
        </w:rPr>
        <w:t>e^β</w:t>
      </w:r>
      <w:r>
        <w:rPr>
          <w:sz w:val="22"/>
          <w:szCs w:val="22"/>
          <w:vertAlign w:val="subscript"/>
        </w:rPr>
        <w:t>1</w:t>
      </w:r>
      <w:r>
        <w:rPr>
          <w:sz w:val="22"/>
          <w:szCs w:val="22"/>
        </w:rPr>
        <w:t xml:space="preserve"> = </w:t>
      </w:r>
      <w:r w:rsidR="00881FE1">
        <w:rPr>
          <w:sz w:val="22"/>
          <w:szCs w:val="22"/>
        </w:rPr>
        <w:t>0.5185</w:t>
      </w:r>
      <w:r w:rsidRPr="00450462">
        <w:rPr>
          <w:sz w:val="22"/>
          <w:szCs w:val="22"/>
        </w:rPr>
        <w:t xml:space="preserve"> </w:t>
      </w:r>
      <w:r>
        <w:rPr>
          <w:sz w:val="22"/>
          <w:szCs w:val="22"/>
        </w:rPr>
        <w:t xml:space="preserve">is the OR of diabetes when the race is white compared to black (i.e. odds (DM | white) / odds (DM | black).  </w:t>
      </w:r>
    </w:p>
    <w:p w:rsidR="00024961" w:rsidRDefault="00024961" w:rsidP="00024961">
      <w:pPr>
        <w:autoSpaceDE w:val="0"/>
        <w:autoSpaceDN w:val="0"/>
        <w:adjustRightInd w:val="0"/>
        <w:spacing w:after="120"/>
        <w:rPr>
          <w:sz w:val="22"/>
          <w:szCs w:val="22"/>
        </w:rPr>
      </w:pPr>
      <w:r>
        <w:rPr>
          <w:sz w:val="22"/>
          <w:szCs w:val="22"/>
        </w:rPr>
        <w:t>β</w:t>
      </w:r>
      <w:r>
        <w:rPr>
          <w:sz w:val="22"/>
          <w:szCs w:val="22"/>
          <w:vertAlign w:val="subscript"/>
        </w:rPr>
        <w:t>2</w:t>
      </w:r>
      <w:r>
        <w:rPr>
          <w:sz w:val="22"/>
          <w:szCs w:val="22"/>
        </w:rPr>
        <w:t xml:space="preserve"> = -</w:t>
      </w:r>
      <w:r w:rsidR="00881FE1">
        <w:rPr>
          <w:sz w:val="22"/>
          <w:szCs w:val="22"/>
        </w:rPr>
        <w:t>1.122</w:t>
      </w:r>
      <w:r w:rsidRPr="00450462">
        <w:rPr>
          <w:sz w:val="22"/>
          <w:szCs w:val="22"/>
        </w:rPr>
        <w:t xml:space="preserve"> </w:t>
      </w:r>
      <w:r>
        <w:rPr>
          <w:sz w:val="22"/>
          <w:szCs w:val="22"/>
        </w:rPr>
        <w:t>is the difference in the log</w:t>
      </w:r>
      <w:r w:rsidR="00121253">
        <w:rPr>
          <w:sz w:val="22"/>
          <w:szCs w:val="22"/>
        </w:rPr>
        <w:t xml:space="preserve"> </w:t>
      </w:r>
      <w:r>
        <w:rPr>
          <w:sz w:val="22"/>
          <w:szCs w:val="22"/>
        </w:rPr>
        <w:t>odds</w:t>
      </w:r>
      <w:r w:rsidR="00121253">
        <w:rPr>
          <w:sz w:val="22"/>
          <w:szCs w:val="22"/>
        </w:rPr>
        <w:t xml:space="preserve"> </w:t>
      </w:r>
      <w:r>
        <w:rPr>
          <w:sz w:val="22"/>
          <w:szCs w:val="22"/>
        </w:rPr>
        <w:t>of diabetes when the race is Asian compared to black (</w:t>
      </w:r>
      <w:r w:rsidR="00365FD5">
        <w:rPr>
          <w:sz w:val="22"/>
          <w:szCs w:val="22"/>
        </w:rPr>
        <w:t xml:space="preserve">i.e. log </w:t>
      </w:r>
      <w:r w:rsidR="008270AB">
        <w:rPr>
          <w:sz w:val="22"/>
          <w:szCs w:val="22"/>
        </w:rPr>
        <w:t>odds (</w:t>
      </w:r>
      <w:r w:rsidR="00365FD5">
        <w:rPr>
          <w:sz w:val="22"/>
          <w:szCs w:val="22"/>
        </w:rPr>
        <w:t>DM | Asian) – log odds (DM | black</w:t>
      </w:r>
      <w:r>
        <w:rPr>
          <w:sz w:val="22"/>
          <w:szCs w:val="22"/>
        </w:rPr>
        <w:t xml:space="preserve">).  </w:t>
      </w:r>
    </w:p>
    <w:p w:rsidR="00024961" w:rsidRDefault="00024961" w:rsidP="00024961">
      <w:pPr>
        <w:autoSpaceDE w:val="0"/>
        <w:autoSpaceDN w:val="0"/>
        <w:adjustRightInd w:val="0"/>
        <w:spacing w:after="120"/>
        <w:rPr>
          <w:sz w:val="22"/>
          <w:szCs w:val="22"/>
        </w:rPr>
      </w:pPr>
      <w:r>
        <w:rPr>
          <w:sz w:val="22"/>
          <w:szCs w:val="22"/>
        </w:rPr>
        <w:t>e^β</w:t>
      </w:r>
      <w:r>
        <w:rPr>
          <w:sz w:val="22"/>
          <w:szCs w:val="22"/>
          <w:vertAlign w:val="subscript"/>
        </w:rPr>
        <w:t>2</w:t>
      </w:r>
      <w:r>
        <w:rPr>
          <w:sz w:val="22"/>
          <w:szCs w:val="22"/>
        </w:rPr>
        <w:t xml:space="preserve"> = 0</w:t>
      </w:r>
      <w:r w:rsidRPr="003B0401">
        <w:rPr>
          <w:sz w:val="22"/>
          <w:szCs w:val="22"/>
        </w:rPr>
        <w:t>.</w:t>
      </w:r>
      <w:r w:rsidR="00881FE1">
        <w:rPr>
          <w:sz w:val="22"/>
          <w:szCs w:val="22"/>
        </w:rPr>
        <w:t>3258</w:t>
      </w:r>
      <w:r w:rsidRPr="00450462">
        <w:rPr>
          <w:sz w:val="22"/>
          <w:szCs w:val="22"/>
        </w:rPr>
        <w:t xml:space="preserve"> </w:t>
      </w:r>
      <w:r>
        <w:rPr>
          <w:sz w:val="22"/>
          <w:szCs w:val="22"/>
        </w:rPr>
        <w:t xml:space="preserve">is the OR of diabetes when the race is Asian compared to white (i.e. odds (DM | Asian) / odds (DM | black).  </w:t>
      </w:r>
    </w:p>
    <w:p w:rsidR="00024961" w:rsidRDefault="00024961" w:rsidP="00024961">
      <w:pPr>
        <w:autoSpaceDE w:val="0"/>
        <w:autoSpaceDN w:val="0"/>
        <w:adjustRightInd w:val="0"/>
        <w:spacing w:after="120"/>
        <w:rPr>
          <w:sz w:val="22"/>
          <w:szCs w:val="22"/>
        </w:rPr>
      </w:pPr>
      <w:r>
        <w:rPr>
          <w:sz w:val="22"/>
          <w:szCs w:val="22"/>
        </w:rPr>
        <w:t>β</w:t>
      </w:r>
      <w:r>
        <w:rPr>
          <w:sz w:val="22"/>
          <w:szCs w:val="22"/>
          <w:vertAlign w:val="subscript"/>
        </w:rPr>
        <w:t>3</w:t>
      </w:r>
      <w:r>
        <w:rPr>
          <w:sz w:val="22"/>
          <w:szCs w:val="22"/>
        </w:rPr>
        <w:t xml:space="preserve"> = </w:t>
      </w:r>
      <w:r w:rsidR="00881FE1">
        <w:rPr>
          <w:sz w:val="22"/>
          <w:szCs w:val="22"/>
        </w:rPr>
        <w:t>-0.0455</w:t>
      </w:r>
      <w:r w:rsidRPr="00450462">
        <w:rPr>
          <w:sz w:val="22"/>
          <w:szCs w:val="22"/>
        </w:rPr>
        <w:t xml:space="preserve"> </w:t>
      </w:r>
      <w:r>
        <w:rPr>
          <w:sz w:val="22"/>
          <w:szCs w:val="22"/>
        </w:rPr>
        <w:t>is the difference in the log</w:t>
      </w:r>
      <w:r w:rsidR="00121253">
        <w:rPr>
          <w:sz w:val="22"/>
          <w:szCs w:val="22"/>
        </w:rPr>
        <w:t xml:space="preserve"> </w:t>
      </w:r>
      <w:r>
        <w:rPr>
          <w:sz w:val="22"/>
          <w:szCs w:val="22"/>
        </w:rPr>
        <w:t>odds of diabetes when the race is other compared to white (</w:t>
      </w:r>
      <w:r w:rsidR="00365FD5">
        <w:rPr>
          <w:sz w:val="22"/>
          <w:szCs w:val="22"/>
        </w:rPr>
        <w:t xml:space="preserve">i.e. log </w:t>
      </w:r>
      <w:r w:rsidR="008270AB">
        <w:rPr>
          <w:sz w:val="22"/>
          <w:szCs w:val="22"/>
        </w:rPr>
        <w:t>odds (</w:t>
      </w:r>
      <w:r w:rsidR="00365FD5">
        <w:rPr>
          <w:sz w:val="22"/>
          <w:szCs w:val="22"/>
        </w:rPr>
        <w:t>DM | other) – log odds (DM | black</w:t>
      </w:r>
      <w:r>
        <w:rPr>
          <w:sz w:val="22"/>
          <w:szCs w:val="22"/>
        </w:rPr>
        <w:t xml:space="preserve">).  </w:t>
      </w:r>
    </w:p>
    <w:p w:rsidR="00024961" w:rsidRDefault="00024961" w:rsidP="00024961">
      <w:pPr>
        <w:autoSpaceDE w:val="0"/>
        <w:autoSpaceDN w:val="0"/>
        <w:adjustRightInd w:val="0"/>
        <w:spacing w:after="120"/>
        <w:rPr>
          <w:sz w:val="22"/>
          <w:szCs w:val="22"/>
        </w:rPr>
      </w:pPr>
      <w:r>
        <w:rPr>
          <w:sz w:val="22"/>
          <w:szCs w:val="22"/>
        </w:rPr>
        <w:t>e^β</w:t>
      </w:r>
      <w:r>
        <w:rPr>
          <w:sz w:val="22"/>
          <w:szCs w:val="22"/>
          <w:vertAlign w:val="subscript"/>
        </w:rPr>
        <w:t>3</w:t>
      </w:r>
      <w:r>
        <w:rPr>
          <w:sz w:val="22"/>
          <w:szCs w:val="22"/>
        </w:rPr>
        <w:t xml:space="preserve"> = </w:t>
      </w:r>
      <w:r w:rsidR="00881FE1">
        <w:rPr>
          <w:sz w:val="22"/>
          <w:szCs w:val="22"/>
        </w:rPr>
        <w:t>0.9556</w:t>
      </w:r>
      <w:r w:rsidRPr="00450462">
        <w:rPr>
          <w:sz w:val="22"/>
          <w:szCs w:val="22"/>
        </w:rPr>
        <w:t xml:space="preserve"> </w:t>
      </w:r>
      <w:r>
        <w:rPr>
          <w:sz w:val="22"/>
          <w:szCs w:val="22"/>
        </w:rPr>
        <w:t xml:space="preserve">is the OR of diabetes when the race is other compared to white (i.e. odds (DM | other) / odds (DM | black).  </w:t>
      </w:r>
    </w:p>
    <w:p w:rsidR="00BF7EC1" w:rsidRDefault="00BF7EC1" w:rsidP="00BF7EC1">
      <w:pPr>
        <w:numPr>
          <w:ilvl w:val="1"/>
          <w:numId w:val="19"/>
        </w:numPr>
        <w:autoSpaceDE w:val="0"/>
        <w:autoSpaceDN w:val="0"/>
        <w:adjustRightInd w:val="0"/>
        <w:spacing w:after="120"/>
        <w:rPr>
          <w:sz w:val="22"/>
          <w:szCs w:val="22"/>
        </w:rPr>
      </w:pPr>
      <w:commentRangeStart w:id="15"/>
      <w:r>
        <w:rPr>
          <w:sz w:val="22"/>
          <w:szCs w:val="22"/>
        </w:rPr>
        <w:t>If</w:t>
      </w:r>
      <w:commentRangeEnd w:id="15"/>
      <w:r w:rsidR="008D52D7">
        <w:rPr>
          <w:rStyle w:val="CommentReference"/>
        </w:rPr>
        <w:commentReference w:id="15"/>
      </w:r>
      <w:r>
        <w:rPr>
          <w:sz w:val="22"/>
          <w:szCs w:val="22"/>
        </w:rPr>
        <w:t xml:space="preserve"> we were to ignore issue related to multiple comparisons, what conclusions would you reach based on the p values reported in the regression output from part (d) using a 0.05 level of significance.</w:t>
      </w:r>
    </w:p>
    <w:p w:rsidR="00646151" w:rsidRDefault="00881FE1" w:rsidP="009F4D5D">
      <w:pPr>
        <w:autoSpaceDE w:val="0"/>
        <w:autoSpaceDN w:val="0"/>
        <w:adjustRightInd w:val="0"/>
        <w:spacing w:after="120"/>
        <w:rPr>
          <w:sz w:val="22"/>
          <w:szCs w:val="22"/>
        </w:rPr>
      </w:pPr>
      <w:r>
        <w:rPr>
          <w:sz w:val="22"/>
          <w:szCs w:val="22"/>
        </w:rPr>
        <w:t>Ignoring issues related to multiple comparisons, we would conclude that there is a statistically significant association between odds of diabetes and race only for white and black (p=0.026), but not between Asian &amp; black (p=0.085) or those of other race and black (p=0.956).  However, looking at individual p-values introduces multiple comparisons, so is not valid to use these p-values.  Since these dummy variables are actually mutually exclusive categories of a single variable, they can be best compared with a much more simple procedure, such as the chi-squared test, which predicts that we cannot reject the null hypothesis that the distribution of the odds of diabetes across racial groups is the same (p = 0.096).</w:t>
      </w:r>
    </w:p>
    <w:p w:rsidR="00CD25DA" w:rsidRDefault="00BF7EC1" w:rsidP="00BF7EC1">
      <w:pPr>
        <w:numPr>
          <w:ilvl w:val="1"/>
          <w:numId w:val="19"/>
        </w:numPr>
        <w:autoSpaceDE w:val="0"/>
        <w:autoSpaceDN w:val="0"/>
        <w:adjustRightInd w:val="0"/>
        <w:spacing w:after="120"/>
        <w:rPr>
          <w:sz w:val="22"/>
          <w:szCs w:val="22"/>
        </w:rPr>
      </w:pPr>
      <w:commentRangeStart w:id="16"/>
      <w:r>
        <w:rPr>
          <w:sz w:val="22"/>
          <w:szCs w:val="22"/>
        </w:rPr>
        <w:t>What</w:t>
      </w:r>
      <w:commentRangeEnd w:id="16"/>
      <w:r w:rsidR="008D52D7">
        <w:rPr>
          <w:rStyle w:val="CommentReference"/>
        </w:rPr>
        <w:commentReference w:id="16"/>
      </w:r>
      <w:r>
        <w:rPr>
          <w:sz w:val="22"/>
          <w:szCs w:val="22"/>
        </w:rPr>
        <w:t xml:space="preserve">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rsidR="009F4D5D" w:rsidRDefault="00881FE1" w:rsidP="00881FE1">
      <w:pPr>
        <w:autoSpaceDE w:val="0"/>
        <w:autoSpaceDN w:val="0"/>
        <w:adjustRightInd w:val="0"/>
        <w:spacing w:after="120"/>
        <w:rPr>
          <w:sz w:val="22"/>
          <w:szCs w:val="22"/>
        </w:rPr>
      </w:pPr>
      <w:r>
        <w:rPr>
          <w:sz w:val="22"/>
          <w:szCs w:val="22"/>
        </w:rPr>
        <w:t>Since it is a</w:t>
      </w:r>
      <w:r w:rsidR="00646151">
        <w:rPr>
          <w:sz w:val="22"/>
          <w:szCs w:val="22"/>
        </w:rPr>
        <w:t>rbitrary which referent group we choose</w:t>
      </w:r>
      <w:r>
        <w:rPr>
          <w:sz w:val="22"/>
          <w:szCs w:val="22"/>
        </w:rPr>
        <w:t>, c</w:t>
      </w:r>
      <w:r w:rsidR="00627286">
        <w:rPr>
          <w:sz w:val="22"/>
          <w:szCs w:val="22"/>
        </w:rPr>
        <w:t>omparing p-values for individual regression parameters from a dummy variable regression is not appropriate to include or exclude those variables in a multiple regression model (i.e. in a “stepwise model building” procedure)</w:t>
      </w:r>
      <w:r>
        <w:rPr>
          <w:sz w:val="22"/>
          <w:szCs w:val="22"/>
        </w:rPr>
        <w:t xml:space="preserve">.  This is </w:t>
      </w:r>
      <w:r w:rsidR="00627286">
        <w:rPr>
          <w:sz w:val="22"/>
          <w:szCs w:val="22"/>
        </w:rPr>
        <w:t xml:space="preserve">because the dummy variables are mutually exclusive categories of a single </w:t>
      </w:r>
      <w:r w:rsidR="008270AB">
        <w:rPr>
          <w:sz w:val="22"/>
          <w:szCs w:val="22"/>
        </w:rPr>
        <w:t>variable;</w:t>
      </w:r>
      <w:r w:rsidR="00627286">
        <w:rPr>
          <w:sz w:val="22"/>
          <w:szCs w:val="22"/>
        </w:rPr>
        <w:t xml:space="preserve"> they can be best compared with a much more simple procedure, such as the </w:t>
      </w:r>
      <w:commentRangeStart w:id="17"/>
      <w:r w:rsidR="00627286">
        <w:rPr>
          <w:sz w:val="22"/>
          <w:szCs w:val="22"/>
        </w:rPr>
        <w:t>chi</w:t>
      </w:r>
      <w:commentRangeEnd w:id="17"/>
      <w:r w:rsidR="008D52D7">
        <w:rPr>
          <w:rStyle w:val="CommentReference"/>
        </w:rPr>
        <w:commentReference w:id="17"/>
      </w:r>
      <w:r w:rsidR="00627286">
        <w:rPr>
          <w:sz w:val="22"/>
          <w:szCs w:val="22"/>
        </w:rPr>
        <w:t>-squared test</w:t>
      </w:r>
      <w:r>
        <w:rPr>
          <w:sz w:val="22"/>
          <w:szCs w:val="22"/>
        </w:rPr>
        <w:t xml:space="preserve">.  </w:t>
      </w:r>
      <w:r w:rsidR="00627286">
        <w:rPr>
          <w:sz w:val="22"/>
          <w:szCs w:val="22"/>
        </w:rPr>
        <w:t xml:space="preserve">Using the individual p-values from each regression parameter </w:t>
      </w:r>
      <w:r w:rsidR="00627286">
        <w:rPr>
          <w:sz w:val="22"/>
          <w:szCs w:val="22"/>
        </w:rPr>
        <w:lastRenderedPageBreak/>
        <w:t xml:space="preserve">introduces the problem of multiple comparisons where we are more likely to find an association when one does not exist (type I error).  </w:t>
      </w:r>
    </w:p>
    <w:p w:rsidR="00627286" w:rsidRDefault="00627286" w:rsidP="009F4D5D">
      <w:pPr>
        <w:autoSpaceDE w:val="0"/>
        <w:autoSpaceDN w:val="0"/>
        <w:adjustRightInd w:val="0"/>
        <w:spacing w:after="120"/>
        <w:rPr>
          <w:sz w:val="22"/>
          <w:szCs w:val="22"/>
        </w:rPr>
      </w:pPr>
    </w:p>
    <w:p w:rsidR="003205A5" w:rsidRDefault="00C55091" w:rsidP="00BF7EC1">
      <w:pPr>
        <w:numPr>
          <w:ilvl w:val="0"/>
          <w:numId w:val="19"/>
        </w:numPr>
        <w:autoSpaceDE w:val="0"/>
        <w:autoSpaceDN w:val="0"/>
        <w:adjustRightInd w:val="0"/>
        <w:spacing w:after="120"/>
        <w:rPr>
          <w:sz w:val="22"/>
          <w:szCs w:val="22"/>
        </w:rPr>
      </w:pPr>
      <w:commentRangeStart w:id="18"/>
      <w:r w:rsidRPr="009D5804">
        <w:rPr>
          <w:sz w:val="22"/>
          <w:szCs w:val="22"/>
        </w:rPr>
        <w:t>Perform</w:t>
      </w:r>
      <w:commentRangeEnd w:id="18"/>
      <w:r w:rsidR="001B67D3">
        <w:rPr>
          <w:rStyle w:val="CommentReference"/>
        </w:rPr>
        <w:commentReference w:id="18"/>
      </w:r>
      <w:r w:rsidRPr="009D5804">
        <w:rPr>
          <w:sz w:val="22"/>
          <w:szCs w:val="22"/>
        </w:rPr>
        <w:t xml:space="preserve"> a statistical </w:t>
      </w:r>
      <w:r w:rsidR="00115B08">
        <w:rPr>
          <w:sz w:val="22"/>
          <w:szCs w:val="22"/>
        </w:rPr>
        <w:t xml:space="preserve">regression </w:t>
      </w:r>
      <w:r w:rsidRPr="009D5804">
        <w:rPr>
          <w:sz w:val="22"/>
          <w:szCs w:val="22"/>
        </w:rPr>
        <w:t xml:space="preserve">analysis evaluating an association between all-cause mortality </w:t>
      </w:r>
      <w:r w:rsidR="00BF7EC1">
        <w:rPr>
          <w:sz w:val="22"/>
          <w:szCs w:val="22"/>
        </w:rPr>
        <w:t xml:space="preserve">and serum </w:t>
      </w:r>
      <w:r w:rsidRPr="009D5804">
        <w:rPr>
          <w:sz w:val="22"/>
          <w:szCs w:val="22"/>
        </w:rPr>
        <w:t xml:space="preserve">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BF7EC1">
        <w:rPr>
          <w:sz w:val="22"/>
          <w:szCs w:val="22"/>
        </w:rPr>
        <w:t>when fit as d</w:t>
      </w:r>
      <w:r w:rsidR="003205A5">
        <w:rPr>
          <w:sz w:val="22"/>
          <w:szCs w:val="22"/>
        </w:rPr>
        <w:t xml:space="preserve">ummy variables using the categories suggested by the Mayo Clinic as reported on Homework #1. The Stata </w:t>
      </w:r>
      <w:r w:rsidR="003205A5">
        <w:rPr>
          <w:rFonts w:ascii="Courier New" w:hAnsi="Courier New" w:cs="Courier New"/>
          <w:sz w:val="22"/>
          <w:szCs w:val="22"/>
        </w:rPr>
        <w:t>egen</w:t>
      </w:r>
      <w:r w:rsidR="003205A5">
        <w:rPr>
          <w:sz w:val="22"/>
          <w:szCs w:val="22"/>
        </w:rPr>
        <w:t xml:space="preserve"> command can be used to categorize the LDL levels</w:t>
      </w:r>
    </w:p>
    <w:p w:rsidR="00A459C8" w:rsidRDefault="003205A5" w:rsidP="003205A5">
      <w:pPr>
        <w:autoSpaceDE w:val="0"/>
        <w:autoSpaceDN w:val="0"/>
        <w:adjustRightInd w:val="0"/>
        <w:spacing w:after="120"/>
        <w:ind w:left="720"/>
        <w:jc w:val="center"/>
        <w:rPr>
          <w:sz w:val="22"/>
          <w:szCs w:val="22"/>
        </w:rPr>
      </w:pPr>
      <w:r>
        <w:rPr>
          <w:rFonts w:ascii="Courier New" w:hAnsi="Courier New" w:cs="Courier New"/>
          <w:sz w:val="22"/>
          <w:szCs w:val="22"/>
        </w:rPr>
        <w:t>egen ldlCTG = cut(ldl), at(0 70 100 130 160 190 250)</w:t>
      </w:r>
    </w:p>
    <w:p w:rsidR="00613304" w:rsidRPr="00613304" w:rsidRDefault="00F538AE" w:rsidP="00613304">
      <w:pPr>
        <w:numPr>
          <w:ilvl w:val="1"/>
          <w:numId w:val="19"/>
        </w:numPr>
        <w:autoSpaceDE w:val="0"/>
        <w:autoSpaceDN w:val="0"/>
        <w:adjustRightInd w:val="0"/>
        <w:spacing w:after="120"/>
        <w:rPr>
          <w:sz w:val="22"/>
          <w:szCs w:val="22"/>
        </w:rPr>
      </w:pPr>
      <w:commentRangeStart w:id="19"/>
      <w:r>
        <w:rPr>
          <w:sz w:val="22"/>
          <w:szCs w:val="22"/>
        </w:rPr>
        <w:t xml:space="preserve">Include </w:t>
      </w:r>
      <w:commentRangeEnd w:id="19"/>
      <w:r w:rsidR="001B67D3">
        <w:rPr>
          <w:rStyle w:val="CommentReference"/>
        </w:rPr>
        <w:commentReference w:id="19"/>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881FE1">
        <w:rPr>
          <w:sz w:val="22"/>
          <w:szCs w:val="22"/>
        </w:rPr>
        <w:t xml:space="preserve">full report of </w:t>
      </w:r>
      <w:r w:rsidR="00A620A3">
        <w:rPr>
          <w:sz w:val="22"/>
          <w:szCs w:val="22"/>
        </w:rPr>
        <w:t xml:space="preserve">your </w:t>
      </w:r>
      <w:r>
        <w:rPr>
          <w:sz w:val="22"/>
          <w:szCs w:val="22"/>
        </w:rPr>
        <w:t>inferential statistics.</w:t>
      </w:r>
    </w:p>
    <w:p w:rsidR="00BA734B" w:rsidRPr="00627286" w:rsidRDefault="00613304" w:rsidP="00627286">
      <w:pPr>
        <w:autoSpaceDE w:val="0"/>
        <w:autoSpaceDN w:val="0"/>
        <w:adjustRightInd w:val="0"/>
        <w:spacing w:after="120"/>
        <w:rPr>
          <w:bCs/>
          <w:sz w:val="22"/>
          <w:szCs w:val="22"/>
        </w:rPr>
      </w:pPr>
      <w:r w:rsidRPr="00627286">
        <w:rPr>
          <w:bCs/>
          <w:sz w:val="22"/>
          <w:szCs w:val="22"/>
          <w:u w:val="single"/>
        </w:rPr>
        <w:t xml:space="preserve">Statistical </w:t>
      </w:r>
      <w:commentRangeStart w:id="20"/>
      <w:r w:rsidR="00881FE1">
        <w:rPr>
          <w:bCs/>
          <w:sz w:val="22"/>
          <w:szCs w:val="22"/>
          <w:u w:val="single"/>
        </w:rPr>
        <w:t>m</w:t>
      </w:r>
      <w:r w:rsidRPr="00627286">
        <w:rPr>
          <w:bCs/>
          <w:sz w:val="22"/>
          <w:szCs w:val="22"/>
          <w:u w:val="single"/>
        </w:rPr>
        <w:t>ethods</w:t>
      </w:r>
      <w:commentRangeEnd w:id="20"/>
      <w:r w:rsidR="001B67D3">
        <w:rPr>
          <w:rStyle w:val="CommentReference"/>
        </w:rPr>
        <w:commentReference w:id="20"/>
      </w:r>
      <w:r w:rsidRPr="00627286">
        <w:rPr>
          <w:bCs/>
          <w:sz w:val="22"/>
          <w:szCs w:val="22"/>
          <w:u w:val="single"/>
        </w:rPr>
        <w:t xml:space="preserve"> for descriptive statistics</w:t>
      </w:r>
      <w:r w:rsidRPr="00627286">
        <w:rPr>
          <w:bCs/>
          <w:sz w:val="22"/>
          <w:szCs w:val="22"/>
        </w:rPr>
        <w:t xml:space="preserve">: </w:t>
      </w:r>
      <w:r w:rsidR="00077325" w:rsidRPr="00627286">
        <w:rPr>
          <w:bCs/>
          <w:sz w:val="22"/>
          <w:szCs w:val="22"/>
        </w:rPr>
        <w:t>T</w:t>
      </w:r>
      <w:r w:rsidRPr="00627286">
        <w:rPr>
          <w:bCs/>
          <w:sz w:val="22"/>
          <w:szCs w:val="22"/>
        </w:rPr>
        <w:t xml:space="preserve">he censoring distribution </w:t>
      </w:r>
      <w:r w:rsidR="00077325" w:rsidRPr="00627286">
        <w:rPr>
          <w:bCs/>
          <w:sz w:val="22"/>
          <w:szCs w:val="22"/>
        </w:rPr>
        <w:t>was described for the population who had LDL baseline measurement, as well as separately for those with baseline LDL who died or were</w:t>
      </w:r>
      <w:r w:rsidR="004431DD" w:rsidRPr="00627286">
        <w:rPr>
          <w:bCs/>
          <w:sz w:val="22"/>
          <w:szCs w:val="22"/>
        </w:rPr>
        <w:t xml:space="preserve"> otherwise</w:t>
      </w:r>
      <w:r w:rsidR="00077325" w:rsidRPr="00627286">
        <w:rPr>
          <w:bCs/>
          <w:sz w:val="22"/>
          <w:szCs w:val="22"/>
        </w:rPr>
        <w:t xml:space="preserve"> censored using </w:t>
      </w:r>
      <w:r w:rsidRPr="00627286">
        <w:rPr>
          <w:bCs/>
          <w:sz w:val="22"/>
          <w:szCs w:val="22"/>
        </w:rPr>
        <w:t xml:space="preserve">Kaplan-Meier estimates of the </w:t>
      </w:r>
      <w:r w:rsidR="00E3521A" w:rsidRPr="00627286">
        <w:rPr>
          <w:bCs/>
          <w:sz w:val="22"/>
          <w:szCs w:val="22"/>
        </w:rPr>
        <w:t xml:space="preserve">average time to death or censoring, the </w:t>
      </w:r>
      <w:r w:rsidR="00077325" w:rsidRPr="00627286">
        <w:rPr>
          <w:bCs/>
          <w:sz w:val="22"/>
          <w:szCs w:val="22"/>
        </w:rPr>
        <w:t>50</w:t>
      </w:r>
      <w:r w:rsidR="00077325" w:rsidRPr="00627286">
        <w:rPr>
          <w:bCs/>
          <w:sz w:val="22"/>
          <w:szCs w:val="22"/>
          <w:vertAlign w:val="superscript"/>
        </w:rPr>
        <w:t>th</w:t>
      </w:r>
      <w:r w:rsidR="00077325" w:rsidRPr="00627286">
        <w:rPr>
          <w:bCs/>
          <w:sz w:val="22"/>
          <w:szCs w:val="22"/>
        </w:rPr>
        <w:t xml:space="preserve"> (median) percentiles </w:t>
      </w:r>
      <w:r w:rsidR="00E3521A" w:rsidRPr="00627286">
        <w:rPr>
          <w:bCs/>
          <w:sz w:val="22"/>
          <w:szCs w:val="22"/>
        </w:rPr>
        <w:t xml:space="preserve">and </w:t>
      </w:r>
      <w:r w:rsidR="00077325" w:rsidRPr="00627286">
        <w:rPr>
          <w:bCs/>
          <w:sz w:val="22"/>
          <w:szCs w:val="22"/>
        </w:rPr>
        <w:t xml:space="preserve">range.  </w:t>
      </w:r>
      <w:r w:rsidRPr="00627286">
        <w:rPr>
          <w:bCs/>
          <w:sz w:val="22"/>
          <w:szCs w:val="22"/>
        </w:rPr>
        <w:t xml:space="preserve">Descriptive statistics for serum LDL levels included the number of cases with missing data, as well as the </w:t>
      </w:r>
      <w:r w:rsidR="00077325" w:rsidRPr="00627286">
        <w:rPr>
          <w:bCs/>
          <w:sz w:val="22"/>
          <w:szCs w:val="22"/>
        </w:rPr>
        <w:t>range</w:t>
      </w:r>
      <w:r w:rsidRPr="00627286">
        <w:rPr>
          <w:bCs/>
          <w:sz w:val="22"/>
          <w:szCs w:val="22"/>
        </w:rPr>
        <w:t xml:space="preserve">, mean, standard deviation, and the </w:t>
      </w:r>
      <w:r w:rsidR="00485179" w:rsidRPr="00627286">
        <w:rPr>
          <w:bCs/>
          <w:sz w:val="22"/>
          <w:szCs w:val="22"/>
        </w:rPr>
        <w:t>25</w:t>
      </w:r>
      <w:r w:rsidR="00485179" w:rsidRPr="00627286">
        <w:rPr>
          <w:bCs/>
          <w:sz w:val="22"/>
          <w:szCs w:val="22"/>
          <w:vertAlign w:val="superscript"/>
        </w:rPr>
        <w:t>th</w:t>
      </w:r>
      <w:r w:rsidR="00485179" w:rsidRPr="00627286">
        <w:rPr>
          <w:bCs/>
          <w:sz w:val="22"/>
          <w:szCs w:val="22"/>
        </w:rPr>
        <w:t>, 50</w:t>
      </w:r>
      <w:r w:rsidR="00485179" w:rsidRPr="00627286">
        <w:rPr>
          <w:bCs/>
          <w:sz w:val="22"/>
          <w:szCs w:val="22"/>
          <w:vertAlign w:val="superscript"/>
        </w:rPr>
        <w:t>th</w:t>
      </w:r>
      <w:r w:rsidR="00485179" w:rsidRPr="00627286">
        <w:rPr>
          <w:bCs/>
          <w:sz w:val="22"/>
          <w:szCs w:val="22"/>
        </w:rPr>
        <w:t xml:space="preserve"> (median), 75</w:t>
      </w:r>
      <w:r w:rsidR="00485179" w:rsidRPr="00627286">
        <w:rPr>
          <w:bCs/>
          <w:sz w:val="22"/>
          <w:szCs w:val="22"/>
          <w:vertAlign w:val="superscript"/>
        </w:rPr>
        <w:t>th</w:t>
      </w:r>
      <w:r w:rsidR="00485179" w:rsidRPr="00627286">
        <w:rPr>
          <w:bCs/>
          <w:sz w:val="22"/>
          <w:szCs w:val="22"/>
        </w:rPr>
        <w:t xml:space="preserve"> percentiles </w:t>
      </w:r>
      <w:r w:rsidRPr="00627286">
        <w:rPr>
          <w:bCs/>
          <w:sz w:val="22"/>
          <w:szCs w:val="22"/>
        </w:rPr>
        <w:t xml:space="preserve">for the cases with available data. For the purposes of descriptive statistics of the survival probabilities by serum LDL level, serum LDL was categorized according to the Mayo Clinic guidelines: </w:t>
      </w:r>
      <w:r w:rsidR="00077325" w:rsidRPr="00627286">
        <w:rPr>
          <w:bCs/>
          <w:sz w:val="22"/>
          <w:szCs w:val="22"/>
        </w:rPr>
        <w:t xml:space="preserve">&lt; </w:t>
      </w:r>
      <w:r w:rsidRPr="00627286">
        <w:rPr>
          <w:bCs/>
          <w:sz w:val="22"/>
          <w:szCs w:val="22"/>
        </w:rPr>
        <w:t xml:space="preserve">70mg/dL, 70-99 mg/dL, 100-129 mg/dL, 130-159 mg/dL, 160-189 mg/dL, and </w:t>
      </w:r>
      <w:r w:rsidR="00077325" w:rsidRPr="00627286">
        <w:rPr>
          <w:bCs/>
          <w:sz w:val="22"/>
          <w:szCs w:val="22"/>
        </w:rPr>
        <w:t xml:space="preserve">≥ </w:t>
      </w:r>
      <w:r w:rsidRPr="00627286">
        <w:rPr>
          <w:bCs/>
          <w:sz w:val="22"/>
          <w:szCs w:val="22"/>
        </w:rPr>
        <w:t>190mg/dL. Within these categories, Kaplan-Meier estimates of survival were calculated and graphed</w:t>
      </w:r>
      <w:r w:rsidR="00077325" w:rsidRPr="00627286">
        <w:rPr>
          <w:bCs/>
          <w:sz w:val="22"/>
          <w:szCs w:val="22"/>
        </w:rPr>
        <w:t xml:space="preserve">.  Estimates </w:t>
      </w:r>
      <w:r w:rsidR="00485179" w:rsidRPr="00627286">
        <w:rPr>
          <w:bCs/>
          <w:sz w:val="22"/>
          <w:szCs w:val="22"/>
        </w:rPr>
        <w:t xml:space="preserve">by Kaplan Meier </w:t>
      </w:r>
      <w:r w:rsidRPr="00627286">
        <w:rPr>
          <w:bCs/>
          <w:sz w:val="22"/>
          <w:szCs w:val="22"/>
        </w:rPr>
        <w:t>of the 1, 3 and 5 year survival probabilities</w:t>
      </w:r>
      <w:r w:rsidR="00485179" w:rsidRPr="00627286">
        <w:rPr>
          <w:bCs/>
          <w:sz w:val="22"/>
          <w:szCs w:val="22"/>
        </w:rPr>
        <w:t>, and the 10</w:t>
      </w:r>
      <w:r w:rsidR="00485179" w:rsidRPr="00627286">
        <w:rPr>
          <w:bCs/>
          <w:sz w:val="22"/>
          <w:szCs w:val="22"/>
          <w:vertAlign w:val="superscript"/>
        </w:rPr>
        <w:t>th</w:t>
      </w:r>
      <w:r w:rsidR="00485179" w:rsidRPr="00627286">
        <w:rPr>
          <w:bCs/>
          <w:sz w:val="22"/>
          <w:szCs w:val="22"/>
        </w:rPr>
        <w:t xml:space="preserve"> and 20</w:t>
      </w:r>
      <w:r w:rsidR="00485179" w:rsidRPr="00627286">
        <w:rPr>
          <w:bCs/>
          <w:sz w:val="22"/>
          <w:szCs w:val="22"/>
          <w:vertAlign w:val="superscript"/>
        </w:rPr>
        <w:t>th</w:t>
      </w:r>
      <w:r w:rsidR="00485179" w:rsidRPr="00627286">
        <w:rPr>
          <w:bCs/>
          <w:sz w:val="22"/>
          <w:szCs w:val="22"/>
        </w:rPr>
        <w:t xml:space="preserve"> percentiles of survival distribution were given</w:t>
      </w:r>
      <w:r w:rsidR="008C6228">
        <w:rPr>
          <w:bCs/>
          <w:sz w:val="22"/>
          <w:szCs w:val="22"/>
        </w:rPr>
        <w:t xml:space="preserve">. </w:t>
      </w:r>
      <w:r w:rsidR="00BA734B">
        <w:rPr>
          <w:bCs/>
          <w:sz w:val="22"/>
          <w:szCs w:val="22"/>
        </w:rPr>
        <w:t>M</w:t>
      </w:r>
      <w:r w:rsidR="00BA734B" w:rsidRPr="00627286">
        <w:rPr>
          <w:bCs/>
          <w:sz w:val="22"/>
          <w:szCs w:val="22"/>
        </w:rPr>
        <w:t>ean survival as well as restricted mean survival during a period of observation that all survivors were followed (5.0 years)</w:t>
      </w:r>
      <w:r w:rsidR="00BA734B">
        <w:rPr>
          <w:bCs/>
          <w:sz w:val="22"/>
          <w:szCs w:val="22"/>
        </w:rPr>
        <w:t xml:space="preserve"> are also presented</w:t>
      </w:r>
      <w:r w:rsidR="00BA734B" w:rsidRPr="00627286">
        <w:rPr>
          <w:bCs/>
          <w:sz w:val="22"/>
          <w:szCs w:val="22"/>
        </w:rPr>
        <w:t xml:space="preserve">. </w:t>
      </w:r>
    </w:p>
    <w:p w:rsidR="00F1457A" w:rsidRPr="00627286" w:rsidRDefault="004431DD" w:rsidP="00627286">
      <w:pPr>
        <w:autoSpaceDE w:val="0"/>
        <w:autoSpaceDN w:val="0"/>
        <w:adjustRightInd w:val="0"/>
        <w:spacing w:after="120"/>
        <w:rPr>
          <w:bCs/>
          <w:sz w:val="22"/>
          <w:szCs w:val="22"/>
        </w:rPr>
      </w:pPr>
      <w:commentRangeStart w:id="21"/>
      <w:r w:rsidRPr="00627286">
        <w:rPr>
          <w:bCs/>
          <w:sz w:val="22"/>
          <w:szCs w:val="22"/>
          <w:u w:val="single"/>
        </w:rPr>
        <w:t>Descriptive</w:t>
      </w:r>
      <w:commentRangeEnd w:id="21"/>
      <w:r w:rsidR="001B67D3">
        <w:rPr>
          <w:rStyle w:val="CommentReference"/>
        </w:rPr>
        <w:commentReference w:id="21"/>
      </w:r>
      <w:r w:rsidRPr="00627286">
        <w:rPr>
          <w:bCs/>
          <w:sz w:val="22"/>
          <w:szCs w:val="22"/>
          <w:u w:val="single"/>
        </w:rPr>
        <w:t xml:space="preserve"> statistics</w:t>
      </w:r>
      <w:r w:rsidRPr="00627286">
        <w:rPr>
          <w:bCs/>
          <w:sz w:val="22"/>
          <w:szCs w:val="22"/>
        </w:rPr>
        <w:t>: The study consisted of 735 subjects who were followed for death from any cause</w:t>
      </w:r>
      <w:r w:rsidR="00627286">
        <w:rPr>
          <w:bCs/>
          <w:sz w:val="22"/>
          <w:szCs w:val="22"/>
        </w:rPr>
        <w:t xml:space="preserve">.  </w:t>
      </w:r>
      <w:r w:rsidRPr="00627286">
        <w:rPr>
          <w:bCs/>
          <w:sz w:val="22"/>
          <w:szCs w:val="22"/>
        </w:rPr>
        <w:t>Serum LDL measurements at the time of study</w:t>
      </w:r>
      <w:r w:rsidR="00D35999" w:rsidRPr="00627286">
        <w:rPr>
          <w:bCs/>
          <w:sz w:val="22"/>
          <w:szCs w:val="22"/>
        </w:rPr>
        <w:t xml:space="preserve"> </w:t>
      </w:r>
      <w:r w:rsidRPr="00627286">
        <w:rPr>
          <w:bCs/>
          <w:sz w:val="22"/>
          <w:szCs w:val="22"/>
        </w:rPr>
        <w:t>enrollment were not available on 10 subjects, two of whom were observed to die after 0.189 and 0.657</w:t>
      </w:r>
      <w:r w:rsidR="00D35999" w:rsidRPr="00627286">
        <w:rPr>
          <w:bCs/>
          <w:sz w:val="22"/>
          <w:szCs w:val="22"/>
        </w:rPr>
        <w:t xml:space="preserve"> </w:t>
      </w:r>
      <w:r w:rsidRPr="00627286">
        <w:rPr>
          <w:bCs/>
          <w:sz w:val="22"/>
          <w:szCs w:val="22"/>
        </w:rPr>
        <w:t>years of observation</w:t>
      </w:r>
      <w:r w:rsidR="00D35999" w:rsidRPr="00627286">
        <w:rPr>
          <w:bCs/>
          <w:sz w:val="22"/>
          <w:szCs w:val="22"/>
        </w:rPr>
        <w:t xml:space="preserve">, the other 8 were censored after 5 years.  </w:t>
      </w:r>
      <w:r w:rsidR="004F3162" w:rsidRPr="00627286">
        <w:rPr>
          <w:bCs/>
          <w:sz w:val="22"/>
          <w:szCs w:val="22"/>
        </w:rPr>
        <w:t xml:space="preserve">No patient was followed up for less than 5 years unless that patient died.  </w:t>
      </w:r>
      <w:r w:rsidR="00D35999" w:rsidRPr="00627286">
        <w:rPr>
          <w:bCs/>
          <w:sz w:val="22"/>
          <w:szCs w:val="22"/>
        </w:rPr>
        <w:t xml:space="preserve">Of the 725 subjects with baseline serum LDL measurement, </w:t>
      </w:r>
      <w:r w:rsidR="004F3162" w:rsidRPr="00627286">
        <w:rPr>
          <w:bCs/>
          <w:sz w:val="22"/>
          <w:szCs w:val="22"/>
        </w:rPr>
        <w:t>t</w:t>
      </w:r>
      <w:r w:rsidR="00D35999" w:rsidRPr="00627286">
        <w:rPr>
          <w:bCs/>
          <w:sz w:val="22"/>
          <w:szCs w:val="22"/>
        </w:rPr>
        <w:t xml:space="preserve">he Kaplan-Meier </w:t>
      </w:r>
      <w:r w:rsidR="004F3162" w:rsidRPr="00627286">
        <w:rPr>
          <w:bCs/>
          <w:sz w:val="22"/>
          <w:szCs w:val="22"/>
        </w:rPr>
        <w:t xml:space="preserve">(K-M) </w:t>
      </w:r>
      <w:r w:rsidR="00D35999" w:rsidRPr="00627286">
        <w:rPr>
          <w:bCs/>
          <w:sz w:val="22"/>
          <w:szCs w:val="22"/>
        </w:rPr>
        <w:t>estimated average time of follow-up for death from any cause was 4.94 years (median 5.14 years</w:t>
      </w:r>
      <w:r w:rsidR="004F3162" w:rsidRPr="00627286">
        <w:rPr>
          <w:bCs/>
          <w:sz w:val="22"/>
          <w:szCs w:val="22"/>
        </w:rPr>
        <w:t>, range: 0.19 – 5.91 years</w:t>
      </w:r>
      <w:r w:rsidR="00D35999" w:rsidRPr="00627286">
        <w:rPr>
          <w:bCs/>
          <w:sz w:val="22"/>
          <w:szCs w:val="22"/>
        </w:rPr>
        <w:t>), during which time 131 deaths were observed.</w:t>
      </w:r>
      <w:r w:rsidR="004F3162" w:rsidRPr="00627286">
        <w:rPr>
          <w:bCs/>
          <w:sz w:val="22"/>
          <w:szCs w:val="22"/>
        </w:rPr>
        <w:t xml:space="preserve">  Of these 131 deaths, the K-M average time of follow-up was </w:t>
      </w:r>
      <w:r w:rsidR="00B73C93" w:rsidRPr="00627286">
        <w:rPr>
          <w:bCs/>
          <w:sz w:val="22"/>
          <w:szCs w:val="22"/>
        </w:rPr>
        <w:t xml:space="preserve">3.23 years (median 3.47 years, range: 0.19 – 5.54 years).  Of the 594 study survivors, the K-M average time of follow-up was 5.32 years (median 5.18 years, range: 5.00 – 5.91 years).  In </w:t>
      </w:r>
      <w:r w:rsidR="00D35999" w:rsidRPr="00627286">
        <w:rPr>
          <w:bCs/>
          <w:sz w:val="22"/>
          <w:szCs w:val="22"/>
        </w:rPr>
        <w:t>the 725 subjects with available serum LDL measurements at enrollment, the mean LDL was 126</w:t>
      </w:r>
      <w:r w:rsidR="00B73C93" w:rsidRPr="00627286">
        <w:rPr>
          <w:bCs/>
          <w:sz w:val="22"/>
          <w:szCs w:val="22"/>
        </w:rPr>
        <w:t xml:space="preserve"> </w:t>
      </w:r>
      <w:r w:rsidR="00D35999" w:rsidRPr="00627286">
        <w:rPr>
          <w:bCs/>
          <w:sz w:val="22"/>
          <w:szCs w:val="22"/>
        </w:rPr>
        <w:t>mg/dL (SD 33.6 mg/dL, range 11 to 247 mg/dL).</w:t>
      </w:r>
      <w:r w:rsidR="00B73C93" w:rsidRPr="00627286">
        <w:rPr>
          <w:bCs/>
          <w:sz w:val="22"/>
          <w:szCs w:val="22"/>
        </w:rPr>
        <w:t xml:space="preserve">  The mean LDL was 127.4 mg/dL in the 594 survivors and 118.6 in the 131 persons who died during the study. </w:t>
      </w:r>
      <w:r w:rsidR="00D35999" w:rsidRPr="00627286">
        <w:rPr>
          <w:bCs/>
          <w:sz w:val="22"/>
          <w:szCs w:val="22"/>
        </w:rPr>
        <w:t>Table 1 presents estimates of the survival distribution within strata defined by serum LDL</w:t>
      </w:r>
      <w:r w:rsidR="008C6228">
        <w:rPr>
          <w:bCs/>
          <w:sz w:val="22"/>
          <w:szCs w:val="22"/>
        </w:rPr>
        <w:t xml:space="preserve"> (by the Mayo Clinic cutoffs)</w:t>
      </w:r>
      <w:r w:rsidR="00B73C93" w:rsidRPr="00627286">
        <w:rPr>
          <w:bCs/>
          <w:sz w:val="22"/>
          <w:szCs w:val="22"/>
        </w:rPr>
        <w:t>,</w:t>
      </w:r>
      <w:r w:rsidR="00D35999" w:rsidRPr="00627286">
        <w:rPr>
          <w:bCs/>
          <w:sz w:val="22"/>
          <w:szCs w:val="22"/>
        </w:rPr>
        <w:t xml:space="preserve"> in the</w:t>
      </w:r>
      <w:r w:rsidR="00B73C93" w:rsidRPr="00627286">
        <w:rPr>
          <w:bCs/>
          <w:sz w:val="22"/>
          <w:szCs w:val="22"/>
        </w:rPr>
        <w:t xml:space="preserve"> </w:t>
      </w:r>
      <w:r w:rsidR="00D35999" w:rsidRPr="00627286">
        <w:rPr>
          <w:bCs/>
          <w:sz w:val="22"/>
          <w:szCs w:val="22"/>
        </w:rPr>
        <w:t>combined sample from the 725 subjects with available LDL measurements</w:t>
      </w:r>
      <w:r w:rsidR="00B73C93" w:rsidRPr="00627286">
        <w:rPr>
          <w:bCs/>
          <w:sz w:val="22"/>
          <w:szCs w:val="22"/>
        </w:rPr>
        <w:t xml:space="preserve"> and in the 10 subjects without baseline measurement of LDL</w:t>
      </w:r>
      <w:r w:rsidR="00D35999" w:rsidRPr="00627286">
        <w:rPr>
          <w:bCs/>
          <w:sz w:val="22"/>
          <w:szCs w:val="22"/>
        </w:rPr>
        <w:t>. The greatest difference in</w:t>
      </w:r>
      <w:r w:rsidR="00B73C93" w:rsidRPr="00627286">
        <w:rPr>
          <w:bCs/>
          <w:sz w:val="22"/>
          <w:szCs w:val="22"/>
        </w:rPr>
        <w:t xml:space="preserve"> </w:t>
      </w:r>
      <w:r w:rsidR="00D35999" w:rsidRPr="00627286">
        <w:rPr>
          <w:bCs/>
          <w:sz w:val="22"/>
          <w:szCs w:val="22"/>
        </w:rPr>
        <w:t>survival distributions is apparent when comparing those individuals having the lowest serum LDL</w:t>
      </w:r>
      <w:r w:rsidR="00B73C93" w:rsidRPr="00627286">
        <w:rPr>
          <w:bCs/>
          <w:sz w:val="22"/>
          <w:szCs w:val="22"/>
        </w:rPr>
        <w:t xml:space="preserve"> </w:t>
      </w:r>
      <w:r w:rsidR="00D35999" w:rsidRPr="00627286">
        <w:rPr>
          <w:bCs/>
          <w:sz w:val="22"/>
          <w:szCs w:val="22"/>
        </w:rPr>
        <w:t>levels (less than 70 mg/dL) at times after 2 years of follow-up. The 5 year survival probability is lowest</w:t>
      </w:r>
      <w:r w:rsidR="00B73C93" w:rsidRPr="00627286">
        <w:rPr>
          <w:bCs/>
          <w:sz w:val="22"/>
          <w:szCs w:val="22"/>
        </w:rPr>
        <w:t xml:space="preserve"> </w:t>
      </w:r>
      <w:r w:rsidR="00D35999" w:rsidRPr="00627286">
        <w:rPr>
          <w:bCs/>
          <w:sz w:val="22"/>
          <w:szCs w:val="22"/>
        </w:rPr>
        <w:t>in that group (59.1%) and is observed highest in the subjects having serum LDL between 160 and 189</w:t>
      </w:r>
      <w:r w:rsidR="00B73C93" w:rsidRPr="00627286">
        <w:rPr>
          <w:bCs/>
          <w:sz w:val="22"/>
          <w:szCs w:val="22"/>
        </w:rPr>
        <w:t xml:space="preserve"> </w:t>
      </w:r>
      <w:r w:rsidR="00D35999" w:rsidRPr="00627286">
        <w:rPr>
          <w:bCs/>
          <w:sz w:val="22"/>
          <w:szCs w:val="22"/>
        </w:rPr>
        <w:t>mg/dL (88.0%). On average, the subjects in the lowest LDL stratum were estimated to</w:t>
      </w:r>
      <w:r w:rsidR="00B73C93" w:rsidRPr="00627286">
        <w:rPr>
          <w:bCs/>
          <w:sz w:val="22"/>
          <w:szCs w:val="22"/>
        </w:rPr>
        <w:t xml:space="preserve"> </w:t>
      </w:r>
      <w:r w:rsidR="00D35999" w:rsidRPr="00627286">
        <w:rPr>
          <w:bCs/>
          <w:sz w:val="22"/>
          <w:szCs w:val="22"/>
        </w:rPr>
        <w:t>average 4.91 years of life while the other strata</w:t>
      </w:r>
      <w:r w:rsidR="00B73C93" w:rsidRPr="00627286">
        <w:rPr>
          <w:bCs/>
          <w:sz w:val="22"/>
          <w:szCs w:val="22"/>
        </w:rPr>
        <w:t xml:space="preserve"> </w:t>
      </w:r>
      <w:r w:rsidR="00D35999" w:rsidRPr="00627286">
        <w:rPr>
          <w:bCs/>
          <w:sz w:val="22"/>
          <w:szCs w:val="22"/>
        </w:rPr>
        <w:t>averaged from 5.</w:t>
      </w:r>
      <w:r w:rsidR="00F1457A" w:rsidRPr="00627286">
        <w:rPr>
          <w:bCs/>
          <w:sz w:val="22"/>
          <w:szCs w:val="22"/>
        </w:rPr>
        <w:t>33 to 5.58</w:t>
      </w:r>
      <w:r w:rsidR="00D35999" w:rsidRPr="00627286">
        <w:rPr>
          <w:bCs/>
          <w:sz w:val="22"/>
          <w:szCs w:val="22"/>
        </w:rPr>
        <w:t xml:space="preserve"> years. </w:t>
      </w:r>
      <w:r w:rsidR="00F1457A" w:rsidRPr="00627286">
        <w:rPr>
          <w:bCs/>
          <w:sz w:val="22"/>
          <w:szCs w:val="22"/>
        </w:rPr>
        <w:t>When restricting the analysis to those who survived for at least 5 years, the subjects with the lowest LDL stratum were estimated to average 4.95 years of life while the other strata averaged from 5.33 to 5.60 years.</w:t>
      </w:r>
    </w:p>
    <w:p w:rsidR="00AF748A" w:rsidRDefault="00AF748A" w:rsidP="008C6228">
      <w:pPr>
        <w:autoSpaceDE w:val="0"/>
        <w:autoSpaceDN w:val="0"/>
        <w:adjustRightInd w:val="0"/>
        <w:rPr>
          <w:b/>
          <w:bCs/>
          <w:sz w:val="22"/>
          <w:szCs w:val="22"/>
          <w:u w:val="single"/>
        </w:rPr>
      </w:pPr>
    </w:p>
    <w:p w:rsidR="00AF748A" w:rsidRDefault="00AF748A" w:rsidP="008C6228">
      <w:pPr>
        <w:autoSpaceDE w:val="0"/>
        <w:autoSpaceDN w:val="0"/>
        <w:adjustRightInd w:val="0"/>
        <w:rPr>
          <w:b/>
          <w:bCs/>
          <w:sz w:val="22"/>
          <w:szCs w:val="22"/>
          <w:u w:val="single"/>
        </w:rPr>
      </w:pPr>
    </w:p>
    <w:p w:rsidR="00AF748A" w:rsidRDefault="00AF748A" w:rsidP="008C6228">
      <w:pPr>
        <w:autoSpaceDE w:val="0"/>
        <w:autoSpaceDN w:val="0"/>
        <w:adjustRightInd w:val="0"/>
        <w:rPr>
          <w:b/>
          <w:bCs/>
          <w:sz w:val="22"/>
          <w:szCs w:val="22"/>
          <w:u w:val="single"/>
        </w:rPr>
      </w:pPr>
    </w:p>
    <w:p w:rsidR="00AF748A" w:rsidRDefault="00AF748A" w:rsidP="008C6228">
      <w:pPr>
        <w:autoSpaceDE w:val="0"/>
        <w:autoSpaceDN w:val="0"/>
        <w:adjustRightInd w:val="0"/>
        <w:rPr>
          <w:b/>
          <w:bCs/>
          <w:sz w:val="22"/>
          <w:szCs w:val="22"/>
          <w:u w:val="single"/>
        </w:rPr>
      </w:pPr>
    </w:p>
    <w:p w:rsidR="003752A3" w:rsidRPr="00AF748A" w:rsidRDefault="00613304" w:rsidP="008C6228">
      <w:pPr>
        <w:autoSpaceDE w:val="0"/>
        <w:autoSpaceDN w:val="0"/>
        <w:adjustRightInd w:val="0"/>
        <w:rPr>
          <w:b/>
          <w:sz w:val="22"/>
          <w:szCs w:val="22"/>
        </w:rPr>
      </w:pPr>
      <w:r w:rsidRPr="00AF748A">
        <w:rPr>
          <w:b/>
          <w:bCs/>
          <w:sz w:val="22"/>
          <w:szCs w:val="22"/>
          <w:u w:val="single"/>
        </w:rPr>
        <w:lastRenderedPageBreak/>
        <w:t>Table 1</w:t>
      </w:r>
      <w:r w:rsidRPr="00AF748A">
        <w:rPr>
          <w:b/>
          <w:bCs/>
          <w:sz w:val="22"/>
          <w:szCs w:val="22"/>
        </w:rPr>
        <w:t xml:space="preserve">: Kaplan-Meier based estimates of </w:t>
      </w:r>
      <w:r w:rsidR="00C06A37" w:rsidRPr="00AF748A">
        <w:rPr>
          <w:b/>
          <w:bCs/>
          <w:sz w:val="22"/>
          <w:szCs w:val="22"/>
        </w:rPr>
        <w:t xml:space="preserve">survival probability and distribution of time from study enrollment to death from any cause, by categories of baseline </w:t>
      </w:r>
      <w:r w:rsidR="00E8111C" w:rsidRPr="00AF748A">
        <w:rPr>
          <w:b/>
          <w:bCs/>
          <w:sz w:val="22"/>
          <w:szCs w:val="22"/>
        </w:rPr>
        <w:t xml:space="preserve">serum </w:t>
      </w:r>
      <w:r w:rsidR="00C06A37" w:rsidRPr="00AF748A">
        <w:rPr>
          <w:b/>
          <w:bCs/>
          <w:sz w:val="22"/>
          <w:szCs w:val="22"/>
        </w:rPr>
        <w:t>LDL level</w:t>
      </w:r>
      <w:r w:rsidR="008C6228" w:rsidRPr="00AF748A">
        <w:rPr>
          <w:b/>
          <w:bCs/>
          <w:sz w:val="22"/>
          <w:szCs w:val="22"/>
        </w:rPr>
        <w:t xml:space="preserve">, </w:t>
      </w:r>
      <w:r w:rsidR="00C06A37" w:rsidRPr="00AF748A">
        <w:rPr>
          <w:b/>
          <w:bCs/>
          <w:sz w:val="22"/>
          <w:szCs w:val="22"/>
        </w:rPr>
        <w:t xml:space="preserve">given by </w:t>
      </w:r>
      <w:r w:rsidR="005757F4" w:rsidRPr="00AF748A">
        <w:rPr>
          <w:b/>
          <w:bCs/>
          <w:sz w:val="22"/>
          <w:szCs w:val="22"/>
        </w:rPr>
        <w:t>Mayo Clinic cutoffs</w:t>
      </w:r>
      <w:r w:rsidR="00C06A37" w:rsidRPr="00AF748A">
        <w:rPr>
          <w:b/>
          <w:bCs/>
          <w:sz w:val="22"/>
          <w:szCs w:val="22"/>
        </w:rPr>
        <w:t xml:space="preserve"> for LDL.  </w:t>
      </w:r>
    </w:p>
    <w:p w:rsidR="00BA734B" w:rsidRPr="008C6228" w:rsidRDefault="00BA734B" w:rsidP="008C6228">
      <w:pPr>
        <w:autoSpaceDE w:val="0"/>
        <w:autoSpaceDN w:val="0"/>
        <w:adjustRightInd w:val="0"/>
        <w:rPr>
          <w:sz w:val="22"/>
          <w:szCs w:val="22"/>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170"/>
        <w:gridCol w:w="803"/>
        <w:gridCol w:w="803"/>
        <w:gridCol w:w="1157"/>
        <w:gridCol w:w="803"/>
        <w:gridCol w:w="803"/>
        <w:gridCol w:w="1072"/>
        <w:gridCol w:w="1279"/>
      </w:tblGrid>
      <w:tr w:rsidR="00BA734B" w:rsidRPr="00485179" w:rsidTr="00BA734B">
        <w:tc>
          <w:tcPr>
            <w:tcW w:w="1440" w:type="dxa"/>
            <w:vMerge w:val="restart"/>
            <w:shd w:val="clear" w:color="auto" w:fill="auto"/>
          </w:tcPr>
          <w:p w:rsidR="00BA734B" w:rsidRDefault="00BA734B" w:rsidP="009A1F9E">
            <w:pPr>
              <w:autoSpaceDE w:val="0"/>
              <w:autoSpaceDN w:val="0"/>
              <w:adjustRightInd w:val="0"/>
              <w:rPr>
                <w:sz w:val="22"/>
                <w:szCs w:val="22"/>
              </w:rPr>
            </w:pPr>
          </w:p>
        </w:tc>
        <w:tc>
          <w:tcPr>
            <w:tcW w:w="5539" w:type="dxa"/>
            <w:gridSpan w:val="6"/>
            <w:shd w:val="clear" w:color="auto" w:fill="auto"/>
          </w:tcPr>
          <w:p w:rsidR="00BA734B" w:rsidRDefault="00BA734B" w:rsidP="00BA734B">
            <w:pPr>
              <w:autoSpaceDE w:val="0"/>
              <w:autoSpaceDN w:val="0"/>
              <w:adjustRightInd w:val="0"/>
              <w:jc w:val="center"/>
              <w:rPr>
                <w:bCs/>
                <w:sz w:val="22"/>
                <w:szCs w:val="22"/>
              </w:rPr>
            </w:pPr>
            <w:r>
              <w:rPr>
                <w:bCs/>
                <w:sz w:val="22"/>
                <w:szCs w:val="22"/>
              </w:rPr>
              <w:t>Serum LDL at Study enrollment (by Mayo Clinic cutoffs):</w:t>
            </w:r>
          </w:p>
        </w:tc>
        <w:tc>
          <w:tcPr>
            <w:tcW w:w="1072" w:type="dxa"/>
            <w:vMerge w:val="restart"/>
            <w:shd w:val="clear" w:color="auto" w:fill="auto"/>
          </w:tcPr>
          <w:p w:rsidR="00BA734B" w:rsidRPr="00485179" w:rsidRDefault="00BA734B" w:rsidP="009A1F9E">
            <w:pPr>
              <w:autoSpaceDE w:val="0"/>
              <w:autoSpaceDN w:val="0"/>
              <w:adjustRightInd w:val="0"/>
              <w:rPr>
                <w:bCs/>
                <w:sz w:val="22"/>
                <w:szCs w:val="22"/>
              </w:rPr>
            </w:pPr>
            <w:r w:rsidRPr="00485179">
              <w:rPr>
                <w:bCs/>
                <w:sz w:val="22"/>
                <w:szCs w:val="22"/>
              </w:rPr>
              <w:t>Subjects</w:t>
            </w:r>
          </w:p>
          <w:p w:rsidR="00BA734B" w:rsidRPr="00485179" w:rsidRDefault="00BA734B" w:rsidP="009A1F9E">
            <w:pPr>
              <w:autoSpaceDE w:val="0"/>
              <w:autoSpaceDN w:val="0"/>
              <w:adjustRightInd w:val="0"/>
              <w:rPr>
                <w:bCs/>
                <w:sz w:val="22"/>
                <w:szCs w:val="22"/>
              </w:rPr>
            </w:pPr>
            <w:r w:rsidRPr="00485179">
              <w:rPr>
                <w:bCs/>
                <w:sz w:val="22"/>
                <w:szCs w:val="22"/>
              </w:rPr>
              <w:t>with LDL</w:t>
            </w:r>
          </w:p>
          <w:p w:rsidR="00BA734B" w:rsidRPr="00485179" w:rsidRDefault="00BA734B" w:rsidP="009A1F9E">
            <w:pPr>
              <w:autoSpaceDE w:val="0"/>
              <w:autoSpaceDN w:val="0"/>
              <w:adjustRightInd w:val="0"/>
              <w:rPr>
                <w:bCs/>
                <w:sz w:val="22"/>
                <w:szCs w:val="22"/>
              </w:rPr>
            </w:pPr>
            <w:r w:rsidRPr="00485179">
              <w:rPr>
                <w:bCs/>
                <w:sz w:val="22"/>
                <w:szCs w:val="22"/>
              </w:rPr>
              <w:t>Available</w:t>
            </w:r>
          </w:p>
        </w:tc>
        <w:tc>
          <w:tcPr>
            <w:tcW w:w="1279" w:type="dxa"/>
            <w:vMerge w:val="restart"/>
            <w:shd w:val="clear" w:color="auto" w:fill="auto"/>
          </w:tcPr>
          <w:p w:rsidR="00BA734B" w:rsidRPr="00485179" w:rsidRDefault="00BA734B" w:rsidP="009A1F9E">
            <w:pPr>
              <w:autoSpaceDE w:val="0"/>
              <w:autoSpaceDN w:val="0"/>
              <w:adjustRightInd w:val="0"/>
              <w:rPr>
                <w:sz w:val="22"/>
                <w:szCs w:val="22"/>
              </w:rPr>
            </w:pPr>
            <w:r w:rsidRPr="00485179">
              <w:rPr>
                <w:sz w:val="22"/>
                <w:szCs w:val="22"/>
              </w:rPr>
              <w:t xml:space="preserve">Subjects with LDL </w:t>
            </w:r>
            <w:r>
              <w:rPr>
                <w:sz w:val="22"/>
                <w:szCs w:val="22"/>
              </w:rPr>
              <w:t>U</w:t>
            </w:r>
            <w:r w:rsidRPr="00485179">
              <w:rPr>
                <w:sz w:val="22"/>
                <w:szCs w:val="22"/>
              </w:rPr>
              <w:t>navailable</w:t>
            </w:r>
          </w:p>
        </w:tc>
      </w:tr>
      <w:tr w:rsidR="00BA734B" w:rsidRPr="00485179" w:rsidTr="00BA734B">
        <w:tc>
          <w:tcPr>
            <w:tcW w:w="1440" w:type="dxa"/>
            <w:vMerge/>
            <w:shd w:val="clear" w:color="auto" w:fill="auto"/>
          </w:tcPr>
          <w:p w:rsidR="00BA734B" w:rsidRPr="00485179" w:rsidRDefault="00BA734B" w:rsidP="009A1F9E">
            <w:pPr>
              <w:autoSpaceDE w:val="0"/>
              <w:autoSpaceDN w:val="0"/>
              <w:adjustRightInd w:val="0"/>
              <w:rPr>
                <w:sz w:val="22"/>
                <w:szCs w:val="22"/>
              </w:rPr>
            </w:pPr>
          </w:p>
        </w:tc>
        <w:tc>
          <w:tcPr>
            <w:tcW w:w="1170" w:type="dxa"/>
            <w:shd w:val="clear" w:color="auto" w:fill="auto"/>
          </w:tcPr>
          <w:p w:rsidR="00BA734B" w:rsidRDefault="00BA734B" w:rsidP="009A1F9E">
            <w:pPr>
              <w:autoSpaceDE w:val="0"/>
              <w:autoSpaceDN w:val="0"/>
              <w:adjustRightInd w:val="0"/>
              <w:rPr>
                <w:bCs/>
                <w:sz w:val="22"/>
                <w:szCs w:val="22"/>
              </w:rPr>
            </w:pPr>
            <w:r>
              <w:rPr>
                <w:bCs/>
                <w:sz w:val="22"/>
                <w:szCs w:val="22"/>
              </w:rPr>
              <w:t xml:space="preserve">Ideal if high risk*: </w:t>
            </w:r>
          </w:p>
          <w:p w:rsidR="00BA734B" w:rsidRPr="00485179" w:rsidRDefault="00BA734B" w:rsidP="009A1F9E">
            <w:pPr>
              <w:autoSpaceDE w:val="0"/>
              <w:autoSpaceDN w:val="0"/>
              <w:adjustRightInd w:val="0"/>
              <w:rPr>
                <w:bCs/>
                <w:sz w:val="22"/>
                <w:szCs w:val="22"/>
              </w:rPr>
            </w:pPr>
            <w:r w:rsidRPr="00485179">
              <w:rPr>
                <w:bCs/>
                <w:sz w:val="22"/>
                <w:szCs w:val="22"/>
              </w:rPr>
              <w:t>11-69 mg/dL</w:t>
            </w:r>
          </w:p>
        </w:tc>
        <w:tc>
          <w:tcPr>
            <w:tcW w:w="803" w:type="dxa"/>
            <w:shd w:val="clear" w:color="auto" w:fill="auto"/>
          </w:tcPr>
          <w:p w:rsidR="00BA734B" w:rsidRDefault="00BA734B" w:rsidP="00E22626">
            <w:pPr>
              <w:autoSpaceDE w:val="0"/>
              <w:autoSpaceDN w:val="0"/>
              <w:adjustRightInd w:val="0"/>
              <w:rPr>
                <w:bCs/>
                <w:sz w:val="22"/>
                <w:szCs w:val="22"/>
              </w:rPr>
            </w:pPr>
            <w:r>
              <w:rPr>
                <w:bCs/>
                <w:sz w:val="22"/>
                <w:szCs w:val="22"/>
              </w:rPr>
              <w:t xml:space="preserve">Ideal if at risk*: </w:t>
            </w:r>
          </w:p>
          <w:p w:rsidR="00BA734B" w:rsidRPr="00485179" w:rsidRDefault="00BA734B" w:rsidP="009A1F9E">
            <w:pPr>
              <w:autoSpaceDE w:val="0"/>
              <w:autoSpaceDN w:val="0"/>
              <w:adjustRightInd w:val="0"/>
              <w:rPr>
                <w:bCs/>
                <w:sz w:val="22"/>
                <w:szCs w:val="22"/>
              </w:rPr>
            </w:pPr>
            <w:r w:rsidRPr="00485179">
              <w:rPr>
                <w:bCs/>
                <w:sz w:val="22"/>
                <w:szCs w:val="22"/>
              </w:rPr>
              <w:t>70 – 99</w:t>
            </w:r>
          </w:p>
          <w:p w:rsidR="00BA734B" w:rsidRPr="00485179" w:rsidRDefault="00BA734B" w:rsidP="009A1F9E">
            <w:pPr>
              <w:autoSpaceDE w:val="0"/>
              <w:autoSpaceDN w:val="0"/>
              <w:adjustRightInd w:val="0"/>
              <w:rPr>
                <w:bCs/>
                <w:sz w:val="22"/>
                <w:szCs w:val="22"/>
              </w:rPr>
            </w:pPr>
            <w:r w:rsidRPr="00485179">
              <w:rPr>
                <w:bCs/>
                <w:sz w:val="22"/>
                <w:szCs w:val="22"/>
              </w:rPr>
              <w:t>mg/dL</w:t>
            </w:r>
          </w:p>
          <w:p w:rsidR="00BA734B" w:rsidRPr="00485179" w:rsidRDefault="00BA734B" w:rsidP="009A1F9E">
            <w:pPr>
              <w:autoSpaceDE w:val="0"/>
              <w:autoSpaceDN w:val="0"/>
              <w:adjustRightInd w:val="0"/>
              <w:rPr>
                <w:sz w:val="22"/>
                <w:szCs w:val="22"/>
              </w:rPr>
            </w:pPr>
          </w:p>
        </w:tc>
        <w:tc>
          <w:tcPr>
            <w:tcW w:w="803" w:type="dxa"/>
            <w:shd w:val="clear" w:color="auto" w:fill="auto"/>
          </w:tcPr>
          <w:p w:rsidR="00BA734B" w:rsidRDefault="00BA734B" w:rsidP="009A1F9E">
            <w:pPr>
              <w:autoSpaceDE w:val="0"/>
              <w:autoSpaceDN w:val="0"/>
              <w:adjustRightInd w:val="0"/>
              <w:rPr>
                <w:bCs/>
                <w:sz w:val="22"/>
                <w:szCs w:val="22"/>
              </w:rPr>
            </w:pPr>
            <w:r>
              <w:rPr>
                <w:bCs/>
                <w:sz w:val="22"/>
                <w:szCs w:val="22"/>
              </w:rPr>
              <w:t xml:space="preserve">Near ideal: </w:t>
            </w:r>
          </w:p>
          <w:p w:rsidR="00BA734B" w:rsidRPr="00485179" w:rsidRDefault="00BA734B" w:rsidP="009A1F9E">
            <w:pPr>
              <w:autoSpaceDE w:val="0"/>
              <w:autoSpaceDN w:val="0"/>
              <w:adjustRightInd w:val="0"/>
              <w:rPr>
                <w:bCs/>
                <w:sz w:val="22"/>
                <w:szCs w:val="22"/>
              </w:rPr>
            </w:pPr>
            <w:r w:rsidRPr="00485179">
              <w:rPr>
                <w:bCs/>
                <w:sz w:val="22"/>
                <w:szCs w:val="22"/>
              </w:rPr>
              <w:t>100 – 129</w:t>
            </w:r>
          </w:p>
          <w:p w:rsidR="00BA734B" w:rsidRPr="00BA734B" w:rsidRDefault="00BA734B" w:rsidP="009A1F9E">
            <w:pPr>
              <w:autoSpaceDE w:val="0"/>
              <w:autoSpaceDN w:val="0"/>
              <w:adjustRightInd w:val="0"/>
              <w:rPr>
                <w:bCs/>
                <w:sz w:val="22"/>
                <w:szCs w:val="22"/>
              </w:rPr>
            </w:pPr>
            <w:r w:rsidRPr="00485179">
              <w:rPr>
                <w:bCs/>
                <w:sz w:val="22"/>
                <w:szCs w:val="22"/>
              </w:rPr>
              <w:t>mg/dL</w:t>
            </w:r>
          </w:p>
        </w:tc>
        <w:tc>
          <w:tcPr>
            <w:tcW w:w="1157" w:type="dxa"/>
            <w:shd w:val="clear" w:color="auto" w:fill="auto"/>
          </w:tcPr>
          <w:p w:rsidR="00BA734B" w:rsidRDefault="00BA734B" w:rsidP="009A1F9E">
            <w:pPr>
              <w:autoSpaceDE w:val="0"/>
              <w:autoSpaceDN w:val="0"/>
              <w:adjustRightInd w:val="0"/>
              <w:rPr>
                <w:bCs/>
                <w:sz w:val="22"/>
                <w:szCs w:val="22"/>
              </w:rPr>
            </w:pPr>
            <w:r>
              <w:rPr>
                <w:bCs/>
                <w:sz w:val="22"/>
                <w:szCs w:val="22"/>
              </w:rPr>
              <w:t xml:space="preserve">Borderline high: </w:t>
            </w:r>
          </w:p>
          <w:p w:rsidR="00BA734B" w:rsidRPr="00485179" w:rsidRDefault="00BA734B" w:rsidP="009A1F9E">
            <w:pPr>
              <w:autoSpaceDE w:val="0"/>
              <w:autoSpaceDN w:val="0"/>
              <w:adjustRightInd w:val="0"/>
              <w:rPr>
                <w:bCs/>
                <w:sz w:val="22"/>
                <w:szCs w:val="22"/>
              </w:rPr>
            </w:pPr>
            <w:r w:rsidRPr="00485179">
              <w:rPr>
                <w:bCs/>
                <w:sz w:val="22"/>
                <w:szCs w:val="22"/>
              </w:rPr>
              <w:t>130 – 159</w:t>
            </w:r>
          </w:p>
          <w:p w:rsidR="00BA734B" w:rsidRPr="00BA734B" w:rsidRDefault="00BA734B" w:rsidP="009A1F9E">
            <w:pPr>
              <w:autoSpaceDE w:val="0"/>
              <w:autoSpaceDN w:val="0"/>
              <w:adjustRightInd w:val="0"/>
              <w:rPr>
                <w:bCs/>
                <w:sz w:val="22"/>
                <w:szCs w:val="22"/>
              </w:rPr>
            </w:pPr>
            <w:r w:rsidRPr="00485179">
              <w:rPr>
                <w:bCs/>
                <w:sz w:val="22"/>
                <w:szCs w:val="22"/>
              </w:rPr>
              <w:t>mg/dL</w:t>
            </w:r>
          </w:p>
        </w:tc>
        <w:tc>
          <w:tcPr>
            <w:tcW w:w="803" w:type="dxa"/>
            <w:shd w:val="clear" w:color="auto" w:fill="auto"/>
          </w:tcPr>
          <w:p w:rsidR="00BA734B" w:rsidRDefault="00BA734B" w:rsidP="009A1F9E">
            <w:pPr>
              <w:autoSpaceDE w:val="0"/>
              <w:autoSpaceDN w:val="0"/>
              <w:adjustRightInd w:val="0"/>
              <w:rPr>
                <w:bCs/>
                <w:sz w:val="22"/>
                <w:szCs w:val="22"/>
              </w:rPr>
            </w:pPr>
            <w:r>
              <w:rPr>
                <w:bCs/>
                <w:sz w:val="22"/>
                <w:szCs w:val="22"/>
              </w:rPr>
              <w:t xml:space="preserve">High: </w:t>
            </w:r>
          </w:p>
          <w:p w:rsidR="00BA734B" w:rsidRDefault="00BA734B" w:rsidP="009A1F9E">
            <w:pPr>
              <w:autoSpaceDE w:val="0"/>
              <w:autoSpaceDN w:val="0"/>
              <w:adjustRightInd w:val="0"/>
              <w:rPr>
                <w:bCs/>
                <w:sz w:val="22"/>
                <w:szCs w:val="22"/>
              </w:rPr>
            </w:pPr>
          </w:p>
          <w:p w:rsidR="00BA734B" w:rsidRPr="00485179" w:rsidRDefault="00BA734B" w:rsidP="009A1F9E">
            <w:pPr>
              <w:autoSpaceDE w:val="0"/>
              <w:autoSpaceDN w:val="0"/>
              <w:adjustRightInd w:val="0"/>
              <w:rPr>
                <w:bCs/>
                <w:sz w:val="22"/>
                <w:szCs w:val="22"/>
              </w:rPr>
            </w:pPr>
            <w:r w:rsidRPr="00485179">
              <w:rPr>
                <w:bCs/>
                <w:sz w:val="22"/>
                <w:szCs w:val="22"/>
              </w:rPr>
              <w:t>160 – 189</w:t>
            </w:r>
          </w:p>
          <w:p w:rsidR="00BA734B" w:rsidRPr="00BA734B" w:rsidRDefault="00BA734B" w:rsidP="009A1F9E">
            <w:pPr>
              <w:autoSpaceDE w:val="0"/>
              <w:autoSpaceDN w:val="0"/>
              <w:adjustRightInd w:val="0"/>
              <w:rPr>
                <w:bCs/>
                <w:sz w:val="22"/>
                <w:szCs w:val="22"/>
              </w:rPr>
            </w:pPr>
            <w:r w:rsidRPr="00485179">
              <w:rPr>
                <w:bCs/>
                <w:sz w:val="22"/>
                <w:szCs w:val="22"/>
              </w:rPr>
              <w:t>mg/dL</w:t>
            </w:r>
          </w:p>
        </w:tc>
        <w:tc>
          <w:tcPr>
            <w:tcW w:w="803" w:type="dxa"/>
            <w:shd w:val="clear" w:color="auto" w:fill="auto"/>
          </w:tcPr>
          <w:p w:rsidR="00BA734B" w:rsidRDefault="00BA734B" w:rsidP="009A1F9E">
            <w:pPr>
              <w:autoSpaceDE w:val="0"/>
              <w:autoSpaceDN w:val="0"/>
              <w:adjustRightInd w:val="0"/>
              <w:rPr>
                <w:bCs/>
                <w:sz w:val="22"/>
                <w:szCs w:val="22"/>
              </w:rPr>
            </w:pPr>
            <w:r>
              <w:rPr>
                <w:bCs/>
                <w:sz w:val="22"/>
                <w:szCs w:val="22"/>
              </w:rPr>
              <w:t>Very high:</w:t>
            </w:r>
          </w:p>
          <w:p w:rsidR="00BA734B" w:rsidRPr="00485179" w:rsidRDefault="00BA734B" w:rsidP="009A1F9E">
            <w:pPr>
              <w:autoSpaceDE w:val="0"/>
              <w:autoSpaceDN w:val="0"/>
              <w:adjustRightInd w:val="0"/>
              <w:rPr>
                <w:bCs/>
                <w:sz w:val="22"/>
                <w:szCs w:val="22"/>
              </w:rPr>
            </w:pPr>
            <w:r w:rsidRPr="00485179">
              <w:rPr>
                <w:bCs/>
                <w:sz w:val="22"/>
                <w:szCs w:val="22"/>
              </w:rPr>
              <w:t>190 – 247</w:t>
            </w:r>
          </w:p>
          <w:p w:rsidR="00BA734B" w:rsidRPr="00485179" w:rsidRDefault="00BA734B" w:rsidP="009A1F9E">
            <w:pPr>
              <w:autoSpaceDE w:val="0"/>
              <w:autoSpaceDN w:val="0"/>
              <w:adjustRightInd w:val="0"/>
              <w:rPr>
                <w:sz w:val="22"/>
                <w:szCs w:val="22"/>
              </w:rPr>
            </w:pPr>
            <w:r w:rsidRPr="00485179">
              <w:rPr>
                <w:bCs/>
                <w:sz w:val="22"/>
                <w:szCs w:val="22"/>
              </w:rPr>
              <w:t>mg/dL</w:t>
            </w:r>
          </w:p>
        </w:tc>
        <w:tc>
          <w:tcPr>
            <w:tcW w:w="1072" w:type="dxa"/>
            <w:vMerge/>
            <w:shd w:val="clear" w:color="auto" w:fill="auto"/>
          </w:tcPr>
          <w:p w:rsidR="00BA734B" w:rsidRPr="00485179" w:rsidRDefault="00BA734B" w:rsidP="009A1F9E">
            <w:pPr>
              <w:autoSpaceDE w:val="0"/>
              <w:autoSpaceDN w:val="0"/>
              <w:adjustRightInd w:val="0"/>
              <w:rPr>
                <w:sz w:val="22"/>
                <w:szCs w:val="22"/>
              </w:rPr>
            </w:pPr>
          </w:p>
        </w:tc>
        <w:tc>
          <w:tcPr>
            <w:tcW w:w="1279" w:type="dxa"/>
            <w:vMerge/>
            <w:shd w:val="clear" w:color="auto" w:fill="auto"/>
          </w:tcPr>
          <w:p w:rsidR="00BA734B" w:rsidRPr="00485179" w:rsidRDefault="00BA734B" w:rsidP="009A1F9E">
            <w:pPr>
              <w:autoSpaceDE w:val="0"/>
              <w:autoSpaceDN w:val="0"/>
              <w:adjustRightInd w:val="0"/>
              <w:rPr>
                <w:sz w:val="22"/>
                <w:szCs w:val="22"/>
              </w:rPr>
            </w:pPr>
          </w:p>
        </w:tc>
      </w:tr>
      <w:tr w:rsidR="00BA734B" w:rsidRPr="00485179" w:rsidTr="00BA734B">
        <w:tc>
          <w:tcPr>
            <w:tcW w:w="1440" w:type="dxa"/>
            <w:shd w:val="clear" w:color="auto" w:fill="auto"/>
          </w:tcPr>
          <w:p w:rsidR="00613304" w:rsidRPr="00485179" w:rsidRDefault="00613304" w:rsidP="009A1F9E">
            <w:pPr>
              <w:autoSpaceDE w:val="0"/>
              <w:autoSpaceDN w:val="0"/>
              <w:adjustRightInd w:val="0"/>
              <w:rPr>
                <w:sz w:val="22"/>
                <w:szCs w:val="22"/>
              </w:rPr>
            </w:pPr>
            <w:r w:rsidRPr="00485179">
              <w:rPr>
                <w:sz w:val="22"/>
                <w:szCs w:val="22"/>
              </w:rPr>
              <w:t>Subjects, n</w:t>
            </w:r>
          </w:p>
        </w:tc>
        <w:tc>
          <w:tcPr>
            <w:tcW w:w="1170" w:type="dxa"/>
            <w:shd w:val="clear" w:color="auto" w:fill="auto"/>
          </w:tcPr>
          <w:p w:rsidR="00613304" w:rsidRPr="00485179" w:rsidRDefault="00613304" w:rsidP="009A1F9E">
            <w:pPr>
              <w:autoSpaceDE w:val="0"/>
              <w:autoSpaceDN w:val="0"/>
              <w:adjustRightInd w:val="0"/>
              <w:rPr>
                <w:sz w:val="22"/>
                <w:szCs w:val="22"/>
              </w:rPr>
            </w:pPr>
            <w:r w:rsidRPr="00485179">
              <w:rPr>
                <w:sz w:val="22"/>
                <w:szCs w:val="22"/>
              </w:rPr>
              <w:t>22</w:t>
            </w:r>
          </w:p>
        </w:tc>
        <w:tc>
          <w:tcPr>
            <w:tcW w:w="803" w:type="dxa"/>
            <w:shd w:val="clear" w:color="auto" w:fill="auto"/>
          </w:tcPr>
          <w:p w:rsidR="00613304" w:rsidRPr="00485179" w:rsidRDefault="00613304" w:rsidP="009A1F9E">
            <w:pPr>
              <w:autoSpaceDE w:val="0"/>
              <w:autoSpaceDN w:val="0"/>
              <w:adjustRightInd w:val="0"/>
              <w:rPr>
                <w:sz w:val="22"/>
                <w:szCs w:val="22"/>
              </w:rPr>
            </w:pPr>
            <w:r w:rsidRPr="00485179">
              <w:rPr>
                <w:sz w:val="22"/>
                <w:szCs w:val="22"/>
              </w:rPr>
              <w:t>143</w:t>
            </w:r>
          </w:p>
        </w:tc>
        <w:tc>
          <w:tcPr>
            <w:tcW w:w="803" w:type="dxa"/>
            <w:shd w:val="clear" w:color="auto" w:fill="auto"/>
          </w:tcPr>
          <w:p w:rsidR="00613304" w:rsidRPr="00485179" w:rsidRDefault="00613304" w:rsidP="009A1F9E">
            <w:pPr>
              <w:autoSpaceDE w:val="0"/>
              <w:autoSpaceDN w:val="0"/>
              <w:adjustRightInd w:val="0"/>
              <w:rPr>
                <w:sz w:val="22"/>
                <w:szCs w:val="22"/>
              </w:rPr>
            </w:pPr>
            <w:r w:rsidRPr="00485179">
              <w:rPr>
                <w:sz w:val="22"/>
                <w:szCs w:val="22"/>
              </w:rPr>
              <w:t>228</w:t>
            </w:r>
          </w:p>
        </w:tc>
        <w:tc>
          <w:tcPr>
            <w:tcW w:w="1157" w:type="dxa"/>
            <w:shd w:val="clear" w:color="auto" w:fill="auto"/>
          </w:tcPr>
          <w:p w:rsidR="00613304" w:rsidRPr="00485179" w:rsidRDefault="00613304" w:rsidP="009A1F9E">
            <w:pPr>
              <w:autoSpaceDE w:val="0"/>
              <w:autoSpaceDN w:val="0"/>
              <w:adjustRightInd w:val="0"/>
              <w:rPr>
                <w:sz w:val="22"/>
                <w:szCs w:val="22"/>
              </w:rPr>
            </w:pPr>
            <w:r w:rsidRPr="00485179">
              <w:rPr>
                <w:bCs/>
                <w:sz w:val="22"/>
                <w:szCs w:val="22"/>
              </w:rPr>
              <w:t xml:space="preserve">225 </w:t>
            </w:r>
          </w:p>
        </w:tc>
        <w:tc>
          <w:tcPr>
            <w:tcW w:w="803" w:type="dxa"/>
            <w:shd w:val="clear" w:color="auto" w:fill="auto"/>
          </w:tcPr>
          <w:p w:rsidR="00613304" w:rsidRPr="00485179" w:rsidRDefault="00613304" w:rsidP="009A1F9E">
            <w:pPr>
              <w:autoSpaceDE w:val="0"/>
              <w:autoSpaceDN w:val="0"/>
              <w:adjustRightInd w:val="0"/>
              <w:rPr>
                <w:sz w:val="22"/>
                <w:szCs w:val="22"/>
              </w:rPr>
            </w:pPr>
            <w:r w:rsidRPr="00485179">
              <w:rPr>
                <w:bCs/>
                <w:sz w:val="22"/>
                <w:szCs w:val="22"/>
              </w:rPr>
              <w:t xml:space="preserve">83 </w:t>
            </w:r>
          </w:p>
        </w:tc>
        <w:tc>
          <w:tcPr>
            <w:tcW w:w="803" w:type="dxa"/>
            <w:shd w:val="clear" w:color="auto" w:fill="auto"/>
          </w:tcPr>
          <w:p w:rsidR="00613304" w:rsidRPr="00485179" w:rsidRDefault="00613304" w:rsidP="009A1F9E">
            <w:pPr>
              <w:autoSpaceDE w:val="0"/>
              <w:autoSpaceDN w:val="0"/>
              <w:adjustRightInd w:val="0"/>
              <w:rPr>
                <w:sz w:val="22"/>
                <w:szCs w:val="22"/>
              </w:rPr>
            </w:pPr>
            <w:r w:rsidRPr="00485179">
              <w:rPr>
                <w:bCs/>
                <w:sz w:val="22"/>
                <w:szCs w:val="22"/>
              </w:rPr>
              <w:t xml:space="preserve">24 </w:t>
            </w:r>
          </w:p>
        </w:tc>
        <w:tc>
          <w:tcPr>
            <w:tcW w:w="1072" w:type="dxa"/>
            <w:shd w:val="clear" w:color="auto" w:fill="auto"/>
          </w:tcPr>
          <w:p w:rsidR="00613304" w:rsidRPr="00485179" w:rsidRDefault="00613304" w:rsidP="009A1F9E">
            <w:pPr>
              <w:autoSpaceDE w:val="0"/>
              <w:autoSpaceDN w:val="0"/>
              <w:adjustRightInd w:val="0"/>
              <w:rPr>
                <w:sz w:val="22"/>
                <w:szCs w:val="22"/>
              </w:rPr>
            </w:pPr>
            <w:r w:rsidRPr="00485179">
              <w:rPr>
                <w:bCs/>
                <w:sz w:val="22"/>
                <w:szCs w:val="22"/>
              </w:rPr>
              <w:t>725</w:t>
            </w:r>
          </w:p>
        </w:tc>
        <w:tc>
          <w:tcPr>
            <w:tcW w:w="1279" w:type="dxa"/>
            <w:shd w:val="clear" w:color="auto" w:fill="auto"/>
          </w:tcPr>
          <w:p w:rsidR="00613304" w:rsidRPr="00485179" w:rsidRDefault="00613304" w:rsidP="009A1F9E">
            <w:pPr>
              <w:autoSpaceDE w:val="0"/>
              <w:autoSpaceDN w:val="0"/>
              <w:adjustRightInd w:val="0"/>
              <w:rPr>
                <w:sz w:val="22"/>
                <w:szCs w:val="22"/>
              </w:rPr>
            </w:pPr>
            <w:r w:rsidRPr="00485179">
              <w:rPr>
                <w:sz w:val="22"/>
                <w:szCs w:val="22"/>
              </w:rPr>
              <w:t>10</w:t>
            </w:r>
          </w:p>
        </w:tc>
      </w:tr>
      <w:tr w:rsidR="00BA734B" w:rsidRPr="00485179" w:rsidTr="00BA734B">
        <w:tc>
          <w:tcPr>
            <w:tcW w:w="1440" w:type="dxa"/>
            <w:shd w:val="clear" w:color="auto" w:fill="auto"/>
          </w:tcPr>
          <w:p w:rsidR="00613304" w:rsidRPr="00485179" w:rsidRDefault="00613304" w:rsidP="009A1F9E">
            <w:pPr>
              <w:autoSpaceDE w:val="0"/>
              <w:autoSpaceDN w:val="0"/>
              <w:adjustRightInd w:val="0"/>
              <w:rPr>
                <w:sz w:val="22"/>
                <w:szCs w:val="22"/>
              </w:rPr>
            </w:pPr>
            <w:r w:rsidRPr="00485179">
              <w:rPr>
                <w:sz w:val="22"/>
                <w:szCs w:val="22"/>
              </w:rPr>
              <w:t>Deaths, n</w:t>
            </w:r>
          </w:p>
        </w:tc>
        <w:tc>
          <w:tcPr>
            <w:tcW w:w="1170" w:type="dxa"/>
            <w:shd w:val="clear" w:color="auto" w:fill="auto"/>
          </w:tcPr>
          <w:p w:rsidR="00613304" w:rsidRPr="00485179" w:rsidRDefault="00613304" w:rsidP="009A1F9E">
            <w:pPr>
              <w:autoSpaceDE w:val="0"/>
              <w:autoSpaceDN w:val="0"/>
              <w:adjustRightInd w:val="0"/>
              <w:rPr>
                <w:sz w:val="22"/>
                <w:szCs w:val="22"/>
              </w:rPr>
            </w:pPr>
            <w:r w:rsidRPr="00485179">
              <w:rPr>
                <w:bCs/>
                <w:sz w:val="22"/>
                <w:szCs w:val="22"/>
              </w:rPr>
              <w:t xml:space="preserve">10 </w:t>
            </w:r>
          </w:p>
        </w:tc>
        <w:tc>
          <w:tcPr>
            <w:tcW w:w="803" w:type="dxa"/>
            <w:shd w:val="clear" w:color="auto" w:fill="auto"/>
          </w:tcPr>
          <w:p w:rsidR="00613304" w:rsidRPr="00485179" w:rsidRDefault="00613304" w:rsidP="009A1F9E">
            <w:pPr>
              <w:autoSpaceDE w:val="0"/>
              <w:autoSpaceDN w:val="0"/>
              <w:adjustRightInd w:val="0"/>
              <w:rPr>
                <w:sz w:val="22"/>
                <w:szCs w:val="22"/>
              </w:rPr>
            </w:pPr>
            <w:r w:rsidRPr="00485179">
              <w:rPr>
                <w:bCs/>
                <w:sz w:val="22"/>
                <w:szCs w:val="22"/>
              </w:rPr>
              <w:t xml:space="preserve">28 </w:t>
            </w:r>
          </w:p>
        </w:tc>
        <w:tc>
          <w:tcPr>
            <w:tcW w:w="803" w:type="dxa"/>
            <w:shd w:val="clear" w:color="auto" w:fill="auto"/>
          </w:tcPr>
          <w:p w:rsidR="00613304" w:rsidRPr="00485179" w:rsidRDefault="00613304" w:rsidP="009A1F9E">
            <w:pPr>
              <w:autoSpaceDE w:val="0"/>
              <w:autoSpaceDN w:val="0"/>
              <w:adjustRightInd w:val="0"/>
              <w:rPr>
                <w:sz w:val="22"/>
                <w:szCs w:val="22"/>
              </w:rPr>
            </w:pPr>
            <w:r w:rsidRPr="00485179">
              <w:rPr>
                <w:bCs/>
                <w:sz w:val="22"/>
                <w:szCs w:val="22"/>
              </w:rPr>
              <w:t xml:space="preserve">44 </w:t>
            </w:r>
          </w:p>
        </w:tc>
        <w:tc>
          <w:tcPr>
            <w:tcW w:w="1157" w:type="dxa"/>
            <w:shd w:val="clear" w:color="auto" w:fill="auto"/>
          </w:tcPr>
          <w:p w:rsidR="00613304" w:rsidRPr="00485179" w:rsidRDefault="00613304" w:rsidP="009A1F9E">
            <w:pPr>
              <w:autoSpaceDE w:val="0"/>
              <w:autoSpaceDN w:val="0"/>
              <w:adjustRightInd w:val="0"/>
              <w:rPr>
                <w:sz w:val="22"/>
                <w:szCs w:val="22"/>
              </w:rPr>
            </w:pPr>
            <w:r w:rsidRPr="00485179">
              <w:rPr>
                <w:bCs/>
                <w:sz w:val="22"/>
                <w:szCs w:val="22"/>
              </w:rPr>
              <w:t xml:space="preserve">34 </w:t>
            </w:r>
          </w:p>
        </w:tc>
        <w:tc>
          <w:tcPr>
            <w:tcW w:w="803" w:type="dxa"/>
            <w:shd w:val="clear" w:color="auto" w:fill="auto"/>
          </w:tcPr>
          <w:p w:rsidR="00613304" w:rsidRPr="00485179" w:rsidRDefault="00613304" w:rsidP="009A1F9E">
            <w:pPr>
              <w:autoSpaceDE w:val="0"/>
              <w:autoSpaceDN w:val="0"/>
              <w:adjustRightInd w:val="0"/>
              <w:rPr>
                <w:sz w:val="22"/>
                <w:szCs w:val="22"/>
              </w:rPr>
            </w:pPr>
            <w:r w:rsidRPr="00485179">
              <w:rPr>
                <w:bCs/>
                <w:sz w:val="22"/>
                <w:szCs w:val="22"/>
              </w:rPr>
              <w:t xml:space="preserve">11 </w:t>
            </w:r>
          </w:p>
        </w:tc>
        <w:tc>
          <w:tcPr>
            <w:tcW w:w="803" w:type="dxa"/>
            <w:shd w:val="clear" w:color="auto" w:fill="auto"/>
          </w:tcPr>
          <w:p w:rsidR="00613304" w:rsidRPr="00485179" w:rsidRDefault="00613304" w:rsidP="009A1F9E">
            <w:pPr>
              <w:autoSpaceDE w:val="0"/>
              <w:autoSpaceDN w:val="0"/>
              <w:adjustRightInd w:val="0"/>
              <w:rPr>
                <w:sz w:val="22"/>
                <w:szCs w:val="22"/>
              </w:rPr>
            </w:pPr>
            <w:r w:rsidRPr="00485179">
              <w:rPr>
                <w:bCs/>
                <w:sz w:val="22"/>
                <w:szCs w:val="22"/>
              </w:rPr>
              <w:t xml:space="preserve">4 </w:t>
            </w:r>
          </w:p>
        </w:tc>
        <w:tc>
          <w:tcPr>
            <w:tcW w:w="1072" w:type="dxa"/>
            <w:shd w:val="clear" w:color="auto" w:fill="auto"/>
          </w:tcPr>
          <w:p w:rsidR="00613304" w:rsidRPr="00485179" w:rsidRDefault="00613304" w:rsidP="009A1F9E">
            <w:pPr>
              <w:autoSpaceDE w:val="0"/>
              <w:autoSpaceDN w:val="0"/>
              <w:adjustRightInd w:val="0"/>
              <w:rPr>
                <w:sz w:val="22"/>
                <w:szCs w:val="22"/>
              </w:rPr>
            </w:pPr>
            <w:r w:rsidRPr="00485179">
              <w:rPr>
                <w:bCs/>
                <w:sz w:val="22"/>
                <w:szCs w:val="22"/>
              </w:rPr>
              <w:t>131</w:t>
            </w:r>
          </w:p>
        </w:tc>
        <w:tc>
          <w:tcPr>
            <w:tcW w:w="1279" w:type="dxa"/>
            <w:shd w:val="clear" w:color="auto" w:fill="auto"/>
          </w:tcPr>
          <w:p w:rsidR="00613304" w:rsidRPr="00485179" w:rsidRDefault="00613304" w:rsidP="009A1F9E">
            <w:pPr>
              <w:autoSpaceDE w:val="0"/>
              <w:autoSpaceDN w:val="0"/>
              <w:adjustRightInd w:val="0"/>
              <w:rPr>
                <w:sz w:val="22"/>
                <w:szCs w:val="22"/>
              </w:rPr>
            </w:pPr>
            <w:r w:rsidRPr="00485179">
              <w:rPr>
                <w:sz w:val="22"/>
                <w:szCs w:val="22"/>
              </w:rPr>
              <w:t>2</w:t>
            </w:r>
          </w:p>
        </w:tc>
      </w:tr>
      <w:tr w:rsidR="00BA734B" w:rsidRPr="00485179" w:rsidTr="00BA734B">
        <w:tc>
          <w:tcPr>
            <w:tcW w:w="1440" w:type="dxa"/>
            <w:shd w:val="clear" w:color="auto" w:fill="auto"/>
          </w:tcPr>
          <w:p w:rsidR="00613304" w:rsidRPr="00485179" w:rsidRDefault="00613304" w:rsidP="009A1F9E">
            <w:pPr>
              <w:autoSpaceDE w:val="0"/>
              <w:autoSpaceDN w:val="0"/>
              <w:adjustRightInd w:val="0"/>
              <w:rPr>
                <w:bCs/>
                <w:sz w:val="22"/>
                <w:szCs w:val="22"/>
              </w:rPr>
            </w:pPr>
            <w:r w:rsidRPr="00485179">
              <w:rPr>
                <w:bCs/>
                <w:sz w:val="22"/>
                <w:szCs w:val="22"/>
              </w:rPr>
              <w:t>Survival</w:t>
            </w:r>
          </w:p>
          <w:p w:rsidR="00613304" w:rsidRDefault="00613304" w:rsidP="009A1F9E">
            <w:pPr>
              <w:autoSpaceDE w:val="0"/>
              <w:autoSpaceDN w:val="0"/>
              <w:adjustRightInd w:val="0"/>
              <w:rPr>
                <w:bCs/>
                <w:sz w:val="22"/>
                <w:szCs w:val="22"/>
              </w:rPr>
            </w:pPr>
            <w:r w:rsidRPr="00485179">
              <w:rPr>
                <w:bCs/>
                <w:sz w:val="22"/>
                <w:szCs w:val="22"/>
              </w:rPr>
              <w:t>Probability</w:t>
            </w:r>
            <w:r w:rsidR="009A1F9E">
              <w:rPr>
                <w:bCs/>
                <w:sz w:val="22"/>
                <w:szCs w:val="22"/>
              </w:rPr>
              <w:t>, - 1 year</w:t>
            </w:r>
          </w:p>
          <w:p w:rsidR="009A1F9E" w:rsidRDefault="009A1F9E" w:rsidP="009A1F9E">
            <w:pPr>
              <w:autoSpaceDE w:val="0"/>
              <w:autoSpaceDN w:val="0"/>
              <w:adjustRightInd w:val="0"/>
              <w:rPr>
                <w:bCs/>
                <w:sz w:val="22"/>
                <w:szCs w:val="22"/>
              </w:rPr>
            </w:pPr>
            <w:r>
              <w:rPr>
                <w:bCs/>
                <w:sz w:val="22"/>
                <w:szCs w:val="22"/>
              </w:rPr>
              <w:t>- 3 year</w:t>
            </w:r>
          </w:p>
          <w:p w:rsidR="009A1F9E" w:rsidRPr="00485179" w:rsidRDefault="009A1F9E" w:rsidP="009A1F9E">
            <w:pPr>
              <w:autoSpaceDE w:val="0"/>
              <w:autoSpaceDN w:val="0"/>
              <w:adjustRightInd w:val="0"/>
              <w:rPr>
                <w:sz w:val="22"/>
                <w:szCs w:val="22"/>
              </w:rPr>
            </w:pPr>
            <w:r>
              <w:rPr>
                <w:bCs/>
                <w:sz w:val="22"/>
                <w:szCs w:val="22"/>
              </w:rPr>
              <w:t>- 5 year</w:t>
            </w:r>
          </w:p>
        </w:tc>
        <w:tc>
          <w:tcPr>
            <w:tcW w:w="1170" w:type="dxa"/>
            <w:shd w:val="clear" w:color="auto" w:fill="auto"/>
          </w:tcPr>
          <w:p w:rsidR="009A1F9E" w:rsidRDefault="009A1F9E" w:rsidP="009A1F9E">
            <w:pPr>
              <w:autoSpaceDE w:val="0"/>
              <w:autoSpaceDN w:val="0"/>
              <w:adjustRightInd w:val="0"/>
              <w:rPr>
                <w:bCs/>
                <w:sz w:val="22"/>
                <w:szCs w:val="22"/>
              </w:rPr>
            </w:pPr>
          </w:p>
          <w:p w:rsidR="009A1F9E" w:rsidRDefault="009A1F9E" w:rsidP="009A1F9E">
            <w:pPr>
              <w:autoSpaceDE w:val="0"/>
              <w:autoSpaceDN w:val="0"/>
              <w:adjustRightInd w:val="0"/>
              <w:rPr>
                <w:bCs/>
                <w:sz w:val="22"/>
                <w:szCs w:val="22"/>
              </w:rPr>
            </w:pPr>
          </w:p>
          <w:p w:rsidR="00613304" w:rsidRDefault="003752A3" w:rsidP="009A1F9E">
            <w:pPr>
              <w:autoSpaceDE w:val="0"/>
              <w:autoSpaceDN w:val="0"/>
              <w:adjustRightInd w:val="0"/>
              <w:rPr>
                <w:bCs/>
                <w:sz w:val="22"/>
                <w:szCs w:val="22"/>
              </w:rPr>
            </w:pPr>
            <w:r w:rsidRPr="00485179">
              <w:rPr>
                <w:bCs/>
                <w:sz w:val="22"/>
                <w:szCs w:val="22"/>
              </w:rPr>
              <w:t>1.00</w:t>
            </w:r>
          </w:p>
          <w:p w:rsidR="009A1F9E" w:rsidRDefault="009A1F9E" w:rsidP="009A1F9E">
            <w:pPr>
              <w:autoSpaceDE w:val="0"/>
              <w:autoSpaceDN w:val="0"/>
              <w:adjustRightInd w:val="0"/>
              <w:rPr>
                <w:bCs/>
                <w:sz w:val="22"/>
                <w:szCs w:val="22"/>
              </w:rPr>
            </w:pPr>
            <w:r w:rsidRPr="00485179">
              <w:rPr>
                <w:bCs/>
                <w:sz w:val="22"/>
                <w:szCs w:val="22"/>
              </w:rPr>
              <w:t>0.909</w:t>
            </w:r>
          </w:p>
          <w:p w:rsidR="009A1F9E" w:rsidRPr="00485179" w:rsidRDefault="009A1F9E" w:rsidP="009A1F9E">
            <w:pPr>
              <w:autoSpaceDE w:val="0"/>
              <w:autoSpaceDN w:val="0"/>
              <w:adjustRightInd w:val="0"/>
              <w:rPr>
                <w:bCs/>
                <w:sz w:val="22"/>
                <w:szCs w:val="22"/>
              </w:rPr>
            </w:pPr>
            <w:r w:rsidRPr="00485179">
              <w:rPr>
                <w:bCs/>
                <w:sz w:val="22"/>
                <w:szCs w:val="22"/>
              </w:rPr>
              <w:t>0.591</w:t>
            </w:r>
          </w:p>
        </w:tc>
        <w:tc>
          <w:tcPr>
            <w:tcW w:w="803" w:type="dxa"/>
            <w:shd w:val="clear" w:color="auto" w:fill="auto"/>
          </w:tcPr>
          <w:p w:rsidR="009A1F9E" w:rsidRDefault="009A1F9E" w:rsidP="009A1F9E">
            <w:pPr>
              <w:autoSpaceDE w:val="0"/>
              <w:autoSpaceDN w:val="0"/>
              <w:adjustRightInd w:val="0"/>
              <w:rPr>
                <w:bCs/>
                <w:sz w:val="22"/>
                <w:szCs w:val="22"/>
              </w:rPr>
            </w:pPr>
          </w:p>
          <w:p w:rsidR="009A1F9E" w:rsidRDefault="009A1F9E" w:rsidP="009A1F9E">
            <w:pPr>
              <w:autoSpaceDE w:val="0"/>
              <w:autoSpaceDN w:val="0"/>
              <w:adjustRightInd w:val="0"/>
              <w:rPr>
                <w:bCs/>
                <w:sz w:val="22"/>
                <w:szCs w:val="22"/>
              </w:rPr>
            </w:pPr>
          </w:p>
          <w:p w:rsidR="00613304" w:rsidRDefault="003752A3" w:rsidP="009A1F9E">
            <w:pPr>
              <w:autoSpaceDE w:val="0"/>
              <w:autoSpaceDN w:val="0"/>
              <w:adjustRightInd w:val="0"/>
              <w:rPr>
                <w:bCs/>
                <w:sz w:val="22"/>
                <w:szCs w:val="22"/>
              </w:rPr>
            </w:pPr>
            <w:r w:rsidRPr="00485179">
              <w:rPr>
                <w:bCs/>
                <w:sz w:val="22"/>
                <w:szCs w:val="22"/>
              </w:rPr>
              <w:t>0.979</w:t>
            </w:r>
          </w:p>
          <w:p w:rsidR="009A1F9E" w:rsidRDefault="009A1F9E" w:rsidP="009A1F9E">
            <w:pPr>
              <w:autoSpaceDE w:val="0"/>
              <w:autoSpaceDN w:val="0"/>
              <w:adjustRightInd w:val="0"/>
              <w:rPr>
                <w:bCs/>
                <w:sz w:val="22"/>
                <w:szCs w:val="22"/>
              </w:rPr>
            </w:pPr>
            <w:r w:rsidRPr="00485179">
              <w:rPr>
                <w:bCs/>
                <w:sz w:val="22"/>
                <w:szCs w:val="22"/>
              </w:rPr>
              <w:t>0.909</w:t>
            </w:r>
          </w:p>
          <w:p w:rsidR="009A1F9E" w:rsidRPr="00485179" w:rsidRDefault="009A1F9E" w:rsidP="009A1F9E">
            <w:pPr>
              <w:autoSpaceDE w:val="0"/>
              <w:autoSpaceDN w:val="0"/>
              <w:adjustRightInd w:val="0"/>
              <w:rPr>
                <w:bCs/>
                <w:sz w:val="22"/>
                <w:szCs w:val="22"/>
              </w:rPr>
            </w:pPr>
            <w:r w:rsidRPr="00485179">
              <w:rPr>
                <w:bCs/>
                <w:sz w:val="22"/>
                <w:szCs w:val="22"/>
              </w:rPr>
              <w:t>0.832</w:t>
            </w:r>
          </w:p>
        </w:tc>
        <w:tc>
          <w:tcPr>
            <w:tcW w:w="803" w:type="dxa"/>
            <w:shd w:val="clear" w:color="auto" w:fill="auto"/>
          </w:tcPr>
          <w:p w:rsidR="009A1F9E" w:rsidRDefault="009A1F9E" w:rsidP="009A1F9E">
            <w:pPr>
              <w:autoSpaceDE w:val="0"/>
              <w:autoSpaceDN w:val="0"/>
              <w:adjustRightInd w:val="0"/>
              <w:rPr>
                <w:bCs/>
                <w:sz w:val="22"/>
                <w:szCs w:val="22"/>
              </w:rPr>
            </w:pPr>
          </w:p>
          <w:p w:rsidR="009A1F9E" w:rsidRDefault="009A1F9E" w:rsidP="009A1F9E">
            <w:pPr>
              <w:autoSpaceDE w:val="0"/>
              <w:autoSpaceDN w:val="0"/>
              <w:adjustRightInd w:val="0"/>
              <w:rPr>
                <w:bCs/>
                <w:sz w:val="22"/>
                <w:szCs w:val="22"/>
              </w:rPr>
            </w:pPr>
          </w:p>
          <w:p w:rsidR="00613304" w:rsidRDefault="003752A3" w:rsidP="009A1F9E">
            <w:pPr>
              <w:autoSpaceDE w:val="0"/>
              <w:autoSpaceDN w:val="0"/>
              <w:adjustRightInd w:val="0"/>
              <w:rPr>
                <w:bCs/>
                <w:sz w:val="22"/>
                <w:szCs w:val="22"/>
              </w:rPr>
            </w:pPr>
            <w:r w:rsidRPr="00485179">
              <w:rPr>
                <w:bCs/>
                <w:sz w:val="22"/>
                <w:szCs w:val="22"/>
              </w:rPr>
              <w:t>0.983</w:t>
            </w:r>
          </w:p>
          <w:p w:rsidR="009A1F9E" w:rsidRDefault="009A1F9E" w:rsidP="009A1F9E">
            <w:pPr>
              <w:autoSpaceDE w:val="0"/>
              <w:autoSpaceDN w:val="0"/>
              <w:adjustRightInd w:val="0"/>
              <w:rPr>
                <w:bCs/>
                <w:sz w:val="22"/>
                <w:szCs w:val="22"/>
              </w:rPr>
            </w:pPr>
            <w:r w:rsidRPr="00485179">
              <w:rPr>
                <w:bCs/>
                <w:sz w:val="22"/>
                <w:szCs w:val="22"/>
              </w:rPr>
              <w:t>0.912</w:t>
            </w:r>
          </w:p>
          <w:p w:rsidR="009A1F9E" w:rsidRPr="00485179" w:rsidRDefault="009A1F9E" w:rsidP="009A1F9E">
            <w:pPr>
              <w:autoSpaceDE w:val="0"/>
              <w:autoSpaceDN w:val="0"/>
              <w:adjustRightInd w:val="0"/>
              <w:rPr>
                <w:bCs/>
                <w:sz w:val="22"/>
                <w:szCs w:val="22"/>
              </w:rPr>
            </w:pPr>
            <w:r w:rsidRPr="00485179">
              <w:rPr>
                <w:bCs/>
                <w:sz w:val="22"/>
                <w:szCs w:val="22"/>
              </w:rPr>
              <w:t>0.811</w:t>
            </w:r>
          </w:p>
        </w:tc>
        <w:tc>
          <w:tcPr>
            <w:tcW w:w="1157" w:type="dxa"/>
            <w:shd w:val="clear" w:color="auto" w:fill="auto"/>
          </w:tcPr>
          <w:p w:rsidR="009A1F9E" w:rsidRDefault="009A1F9E" w:rsidP="009A1F9E">
            <w:pPr>
              <w:autoSpaceDE w:val="0"/>
              <w:autoSpaceDN w:val="0"/>
              <w:adjustRightInd w:val="0"/>
              <w:rPr>
                <w:bCs/>
                <w:sz w:val="22"/>
                <w:szCs w:val="22"/>
              </w:rPr>
            </w:pPr>
          </w:p>
          <w:p w:rsidR="009A1F9E" w:rsidRDefault="009A1F9E" w:rsidP="009A1F9E">
            <w:pPr>
              <w:autoSpaceDE w:val="0"/>
              <w:autoSpaceDN w:val="0"/>
              <w:adjustRightInd w:val="0"/>
              <w:rPr>
                <w:bCs/>
                <w:sz w:val="22"/>
                <w:szCs w:val="22"/>
              </w:rPr>
            </w:pPr>
          </w:p>
          <w:p w:rsidR="00613304" w:rsidRDefault="003752A3" w:rsidP="009A1F9E">
            <w:pPr>
              <w:autoSpaceDE w:val="0"/>
              <w:autoSpaceDN w:val="0"/>
              <w:adjustRightInd w:val="0"/>
              <w:rPr>
                <w:bCs/>
                <w:sz w:val="22"/>
                <w:szCs w:val="22"/>
              </w:rPr>
            </w:pPr>
            <w:r w:rsidRPr="00485179">
              <w:rPr>
                <w:bCs/>
                <w:sz w:val="22"/>
                <w:szCs w:val="22"/>
              </w:rPr>
              <w:t>0.978</w:t>
            </w:r>
          </w:p>
          <w:p w:rsidR="009A1F9E" w:rsidRDefault="009A1F9E" w:rsidP="009A1F9E">
            <w:pPr>
              <w:autoSpaceDE w:val="0"/>
              <w:autoSpaceDN w:val="0"/>
              <w:adjustRightInd w:val="0"/>
              <w:rPr>
                <w:bCs/>
                <w:sz w:val="22"/>
                <w:szCs w:val="22"/>
              </w:rPr>
            </w:pPr>
            <w:r w:rsidRPr="00485179">
              <w:rPr>
                <w:bCs/>
                <w:sz w:val="22"/>
                <w:szCs w:val="22"/>
              </w:rPr>
              <w:t>0.929</w:t>
            </w:r>
          </w:p>
          <w:p w:rsidR="009A1F9E" w:rsidRPr="00485179" w:rsidRDefault="009A1F9E" w:rsidP="009A1F9E">
            <w:pPr>
              <w:autoSpaceDE w:val="0"/>
              <w:autoSpaceDN w:val="0"/>
              <w:adjustRightInd w:val="0"/>
              <w:rPr>
                <w:bCs/>
                <w:sz w:val="22"/>
                <w:szCs w:val="22"/>
              </w:rPr>
            </w:pPr>
            <w:r w:rsidRPr="00485179">
              <w:rPr>
                <w:bCs/>
                <w:sz w:val="22"/>
                <w:szCs w:val="22"/>
              </w:rPr>
              <w:t>0.871</w:t>
            </w:r>
          </w:p>
        </w:tc>
        <w:tc>
          <w:tcPr>
            <w:tcW w:w="803" w:type="dxa"/>
            <w:shd w:val="clear" w:color="auto" w:fill="auto"/>
          </w:tcPr>
          <w:p w:rsidR="009A1F9E" w:rsidRDefault="009A1F9E" w:rsidP="009A1F9E">
            <w:pPr>
              <w:autoSpaceDE w:val="0"/>
              <w:autoSpaceDN w:val="0"/>
              <w:adjustRightInd w:val="0"/>
              <w:rPr>
                <w:bCs/>
                <w:sz w:val="22"/>
                <w:szCs w:val="22"/>
              </w:rPr>
            </w:pPr>
          </w:p>
          <w:p w:rsidR="009A1F9E" w:rsidRDefault="009A1F9E" w:rsidP="009A1F9E">
            <w:pPr>
              <w:autoSpaceDE w:val="0"/>
              <w:autoSpaceDN w:val="0"/>
              <w:adjustRightInd w:val="0"/>
              <w:rPr>
                <w:bCs/>
                <w:sz w:val="22"/>
                <w:szCs w:val="22"/>
              </w:rPr>
            </w:pPr>
          </w:p>
          <w:p w:rsidR="00613304" w:rsidRDefault="003752A3" w:rsidP="009A1F9E">
            <w:pPr>
              <w:autoSpaceDE w:val="0"/>
              <w:autoSpaceDN w:val="0"/>
              <w:adjustRightInd w:val="0"/>
              <w:rPr>
                <w:bCs/>
                <w:sz w:val="22"/>
                <w:szCs w:val="22"/>
              </w:rPr>
            </w:pPr>
            <w:r w:rsidRPr="00485179">
              <w:rPr>
                <w:bCs/>
                <w:sz w:val="22"/>
                <w:szCs w:val="22"/>
              </w:rPr>
              <w:t>1.00</w:t>
            </w:r>
          </w:p>
          <w:p w:rsidR="009A1F9E" w:rsidRDefault="009A1F9E" w:rsidP="009A1F9E">
            <w:pPr>
              <w:autoSpaceDE w:val="0"/>
              <w:autoSpaceDN w:val="0"/>
              <w:adjustRightInd w:val="0"/>
              <w:rPr>
                <w:bCs/>
                <w:sz w:val="22"/>
                <w:szCs w:val="22"/>
              </w:rPr>
            </w:pPr>
            <w:r w:rsidRPr="00485179">
              <w:rPr>
                <w:bCs/>
                <w:sz w:val="22"/>
                <w:szCs w:val="22"/>
              </w:rPr>
              <w:t>0.964</w:t>
            </w:r>
          </w:p>
          <w:p w:rsidR="009A1F9E" w:rsidRPr="00485179" w:rsidRDefault="009A1F9E" w:rsidP="009A1F9E">
            <w:pPr>
              <w:autoSpaceDE w:val="0"/>
              <w:autoSpaceDN w:val="0"/>
              <w:adjustRightInd w:val="0"/>
              <w:rPr>
                <w:bCs/>
                <w:sz w:val="22"/>
                <w:szCs w:val="22"/>
              </w:rPr>
            </w:pPr>
            <w:r w:rsidRPr="00485179">
              <w:rPr>
                <w:bCs/>
                <w:sz w:val="22"/>
                <w:szCs w:val="22"/>
              </w:rPr>
              <w:t>0.880</w:t>
            </w:r>
          </w:p>
        </w:tc>
        <w:tc>
          <w:tcPr>
            <w:tcW w:w="803" w:type="dxa"/>
            <w:shd w:val="clear" w:color="auto" w:fill="auto"/>
          </w:tcPr>
          <w:p w:rsidR="009A1F9E" w:rsidRDefault="009A1F9E" w:rsidP="009A1F9E">
            <w:pPr>
              <w:autoSpaceDE w:val="0"/>
              <w:autoSpaceDN w:val="0"/>
              <w:adjustRightInd w:val="0"/>
              <w:rPr>
                <w:bCs/>
                <w:sz w:val="22"/>
                <w:szCs w:val="22"/>
              </w:rPr>
            </w:pPr>
          </w:p>
          <w:p w:rsidR="009A1F9E" w:rsidRDefault="009A1F9E" w:rsidP="009A1F9E">
            <w:pPr>
              <w:autoSpaceDE w:val="0"/>
              <w:autoSpaceDN w:val="0"/>
              <w:adjustRightInd w:val="0"/>
              <w:rPr>
                <w:bCs/>
                <w:sz w:val="22"/>
                <w:szCs w:val="22"/>
              </w:rPr>
            </w:pPr>
          </w:p>
          <w:p w:rsidR="00613304" w:rsidRDefault="003752A3" w:rsidP="009A1F9E">
            <w:pPr>
              <w:autoSpaceDE w:val="0"/>
              <w:autoSpaceDN w:val="0"/>
              <w:adjustRightInd w:val="0"/>
              <w:rPr>
                <w:bCs/>
                <w:sz w:val="22"/>
                <w:szCs w:val="22"/>
              </w:rPr>
            </w:pPr>
            <w:r w:rsidRPr="00485179">
              <w:rPr>
                <w:bCs/>
                <w:sz w:val="22"/>
                <w:szCs w:val="22"/>
              </w:rPr>
              <w:t>1.00</w:t>
            </w:r>
          </w:p>
          <w:p w:rsidR="009A1F9E" w:rsidRDefault="009A1F9E" w:rsidP="009A1F9E">
            <w:pPr>
              <w:autoSpaceDE w:val="0"/>
              <w:autoSpaceDN w:val="0"/>
              <w:adjustRightInd w:val="0"/>
              <w:rPr>
                <w:bCs/>
                <w:sz w:val="22"/>
                <w:szCs w:val="22"/>
              </w:rPr>
            </w:pPr>
            <w:r w:rsidRPr="00485179">
              <w:rPr>
                <w:bCs/>
                <w:sz w:val="22"/>
                <w:szCs w:val="22"/>
              </w:rPr>
              <w:t>0.917</w:t>
            </w:r>
          </w:p>
          <w:p w:rsidR="009A1F9E" w:rsidRPr="00485179" w:rsidRDefault="009A1F9E" w:rsidP="009A1F9E">
            <w:pPr>
              <w:autoSpaceDE w:val="0"/>
              <w:autoSpaceDN w:val="0"/>
              <w:adjustRightInd w:val="0"/>
              <w:rPr>
                <w:bCs/>
                <w:sz w:val="22"/>
                <w:szCs w:val="22"/>
              </w:rPr>
            </w:pPr>
            <w:r w:rsidRPr="00485179">
              <w:rPr>
                <w:bCs/>
                <w:sz w:val="22"/>
                <w:szCs w:val="22"/>
              </w:rPr>
              <w:t>0.833</w:t>
            </w:r>
          </w:p>
        </w:tc>
        <w:tc>
          <w:tcPr>
            <w:tcW w:w="1072" w:type="dxa"/>
            <w:shd w:val="clear" w:color="auto" w:fill="auto"/>
          </w:tcPr>
          <w:p w:rsidR="009A1F9E" w:rsidRDefault="009A1F9E" w:rsidP="009A1F9E">
            <w:pPr>
              <w:autoSpaceDE w:val="0"/>
              <w:autoSpaceDN w:val="0"/>
              <w:adjustRightInd w:val="0"/>
              <w:rPr>
                <w:bCs/>
                <w:sz w:val="22"/>
                <w:szCs w:val="22"/>
              </w:rPr>
            </w:pPr>
            <w:r>
              <w:rPr>
                <w:bCs/>
                <w:sz w:val="22"/>
                <w:szCs w:val="22"/>
              </w:rPr>
              <w:br/>
            </w:r>
          </w:p>
          <w:p w:rsidR="00613304" w:rsidRDefault="003752A3" w:rsidP="009A1F9E">
            <w:pPr>
              <w:autoSpaceDE w:val="0"/>
              <w:autoSpaceDN w:val="0"/>
              <w:adjustRightInd w:val="0"/>
              <w:rPr>
                <w:bCs/>
                <w:sz w:val="22"/>
                <w:szCs w:val="22"/>
              </w:rPr>
            </w:pPr>
            <w:r w:rsidRPr="00485179">
              <w:rPr>
                <w:bCs/>
                <w:sz w:val="22"/>
                <w:szCs w:val="22"/>
              </w:rPr>
              <w:t>0.98</w:t>
            </w:r>
            <w:r w:rsidR="00C81C21" w:rsidRPr="00485179">
              <w:rPr>
                <w:bCs/>
                <w:sz w:val="22"/>
                <w:szCs w:val="22"/>
              </w:rPr>
              <w:t>3</w:t>
            </w:r>
          </w:p>
          <w:p w:rsidR="009A1F9E" w:rsidRDefault="009A1F9E" w:rsidP="009A1F9E">
            <w:pPr>
              <w:autoSpaceDE w:val="0"/>
              <w:autoSpaceDN w:val="0"/>
              <w:adjustRightInd w:val="0"/>
              <w:rPr>
                <w:bCs/>
                <w:sz w:val="22"/>
                <w:szCs w:val="22"/>
              </w:rPr>
            </w:pPr>
            <w:r w:rsidRPr="00485179">
              <w:rPr>
                <w:bCs/>
                <w:sz w:val="22"/>
                <w:szCs w:val="22"/>
              </w:rPr>
              <w:t>0.923</w:t>
            </w:r>
          </w:p>
          <w:p w:rsidR="009A1F9E" w:rsidRPr="00485179" w:rsidRDefault="009A1F9E" w:rsidP="009A1F9E">
            <w:pPr>
              <w:autoSpaceDE w:val="0"/>
              <w:autoSpaceDN w:val="0"/>
              <w:adjustRightInd w:val="0"/>
              <w:rPr>
                <w:bCs/>
                <w:sz w:val="22"/>
                <w:szCs w:val="22"/>
              </w:rPr>
            </w:pPr>
            <w:r w:rsidRPr="00485179">
              <w:rPr>
                <w:bCs/>
                <w:sz w:val="22"/>
                <w:szCs w:val="22"/>
              </w:rPr>
              <w:t>0.836</w:t>
            </w:r>
          </w:p>
        </w:tc>
        <w:tc>
          <w:tcPr>
            <w:tcW w:w="1279" w:type="dxa"/>
            <w:shd w:val="clear" w:color="auto" w:fill="auto"/>
          </w:tcPr>
          <w:p w:rsidR="009A1F9E" w:rsidRDefault="009A1F9E" w:rsidP="009A1F9E">
            <w:pPr>
              <w:autoSpaceDE w:val="0"/>
              <w:autoSpaceDN w:val="0"/>
              <w:adjustRightInd w:val="0"/>
              <w:rPr>
                <w:sz w:val="22"/>
                <w:szCs w:val="22"/>
              </w:rPr>
            </w:pPr>
          </w:p>
          <w:p w:rsidR="009A1F9E" w:rsidRDefault="009A1F9E" w:rsidP="009A1F9E">
            <w:pPr>
              <w:autoSpaceDE w:val="0"/>
              <w:autoSpaceDN w:val="0"/>
              <w:adjustRightInd w:val="0"/>
              <w:rPr>
                <w:sz w:val="22"/>
                <w:szCs w:val="22"/>
              </w:rPr>
            </w:pPr>
          </w:p>
          <w:p w:rsidR="00613304" w:rsidRDefault="00C81C21" w:rsidP="009A1F9E">
            <w:pPr>
              <w:autoSpaceDE w:val="0"/>
              <w:autoSpaceDN w:val="0"/>
              <w:adjustRightInd w:val="0"/>
              <w:rPr>
                <w:sz w:val="22"/>
                <w:szCs w:val="22"/>
              </w:rPr>
            </w:pPr>
            <w:r w:rsidRPr="00485179">
              <w:rPr>
                <w:sz w:val="22"/>
                <w:szCs w:val="22"/>
              </w:rPr>
              <w:t>0.800</w:t>
            </w:r>
          </w:p>
          <w:p w:rsidR="009A1F9E" w:rsidRDefault="009A1F9E" w:rsidP="009A1F9E">
            <w:pPr>
              <w:autoSpaceDE w:val="0"/>
              <w:autoSpaceDN w:val="0"/>
              <w:adjustRightInd w:val="0"/>
              <w:rPr>
                <w:sz w:val="22"/>
                <w:szCs w:val="22"/>
              </w:rPr>
            </w:pPr>
            <w:r w:rsidRPr="00485179">
              <w:rPr>
                <w:sz w:val="22"/>
                <w:szCs w:val="22"/>
              </w:rPr>
              <w:t>0.800</w:t>
            </w:r>
          </w:p>
          <w:p w:rsidR="009A1F9E" w:rsidRPr="00485179" w:rsidRDefault="009A1F9E" w:rsidP="009A1F9E">
            <w:pPr>
              <w:autoSpaceDE w:val="0"/>
              <w:autoSpaceDN w:val="0"/>
              <w:adjustRightInd w:val="0"/>
              <w:rPr>
                <w:sz w:val="22"/>
                <w:szCs w:val="22"/>
              </w:rPr>
            </w:pPr>
            <w:r w:rsidRPr="00485179">
              <w:rPr>
                <w:sz w:val="22"/>
                <w:szCs w:val="22"/>
              </w:rPr>
              <w:t>0.800</w:t>
            </w:r>
          </w:p>
        </w:tc>
      </w:tr>
      <w:tr w:rsidR="00BA734B" w:rsidRPr="00485179" w:rsidTr="00BA734B">
        <w:tc>
          <w:tcPr>
            <w:tcW w:w="1440" w:type="dxa"/>
            <w:shd w:val="clear" w:color="auto" w:fill="auto"/>
          </w:tcPr>
          <w:p w:rsidR="00613304" w:rsidRDefault="009A1F9E" w:rsidP="009A1F9E">
            <w:pPr>
              <w:autoSpaceDE w:val="0"/>
              <w:autoSpaceDN w:val="0"/>
              <w:adjustRightInd w:val="0"/>
              <w:rPr>
                <w:sz w:val="22"/>
                <w:szCs w:val="22"/>
              </w:rPr>
            </w:pPr>
            <w:r>
              <w:rPr>
                <w:sz w:val="22"/>
                <w:szCs w:val="22"/>
              </w:rPr>
              <w:t>Percentile of Survival</w:t>
            </w:r>
            <w:r w:rsidR="00BA734B">
              <w:rPr>
                <w:sz w:val="22"/>
                <w:szCs w:val="22"/>
              </w:rPr>
              <w:t xml:space="preserve"> (y</w:t>
            </w:r>
            <w:r w:rsidR="00C06A37">
              <w:rPr>
                <w:sz w:val="22"/>
                <w:szCs w:val="22"/>
              </w:rPr>
              <w:t>rs)</w:t>
            </w:r>
          </w:p>
          <w:p w:rsidR="009A1F9E" w:rsidRDefault="009A1F9E" w:rsidP="009A1F9E">
            <w:pPr>
              <w:autoSpaceDE w:val="0"/>
              <w:autoSpaceDN w:val="0"/>
              <w:adjustRightInd w:val="0"/>
              <w:rPr>
                <w:sz w:val="22"/>
                <w:szCs w:val="22"/>
              </w:rPr>
            </w:pPr>
            <w:r>
              <w:rPr>
                <w:sz w:val="22"/>
                <w:szCs w:val="22"/>
              </w:rPr>
              <w:t xml:space="preserve">- </w:t>
            </w:r>
            <w:commentRangeStart w:id="22"/>
            <w:r w:rsidR="00AF748A">
              <w:rPr>
                <w:sz w:val="22"/>
                <w:szCs w:val="22"/>
              </w:rPr>
              <w:t>9</w:t>
            </w:r>
            <w:r>
              <w:rPr>
                <w:sz w:val="22"/>
                <w:szCs w:val="22"/>
              </w:rPr>
              <w:t>0</w:t>
            </w:r>
            <w:r w:rsidRPr="009A1F9E">
              <w:rPr>
                <w:sz w:val="22"/>
                <w:szCs w:val="22"/>
                <w:vertAlign w:val="superscript"/>
              </w:rPr>
              <w:t>th</w:t>
            </w:r>
            <w:r>
              <w:rPr>
                <w:sz w:val="22"/>
                <w:szCs w:val="22"/>
              </w:rPr>
              <w:t xml:space="preserve"> </w:t>
            </w:r>
          </w:p>
          <w:p w:rsidR="009A1F9E" w:rsidRPr="00485179" w:rsidRDefault="009A1F9E" w:rsidP="00AF748A">
            <w:pPr>
              <w:autoSpaceDE w:val="0"/>
              <w:autoSpaceDN w:val="0"/>
              <w:adjustRightInd w:val="0"/>
              <w:rPr>
                <w:sz w:val="22"/>
                <w:szCs w:val="22"/>
              </w:rPr>
            </w:pPr>
            <w:r>
              <w:rPr>
                <w:sz w:val="22"/>
                <w:szCs w:val="22"/>
              </w:rPr>
              <w:t xml:space="preserve">- </w:t>
            </w:r>
            <w:r w:rsidR="00AF748A">
              <w:rPr>
                <w:sz w:val="22"/>
                <w:szCs w:val="22"/>
              </w:rPr>
              <w:t>8</w:t>
            </w:r>
            <w:r>
              <w:rPr>
                <w:sz w:val="22"/>
                <w:szCs w:val="22"/>
              </w:rPr>
              <w:t>0</w:t>
            </w:r>
            <w:r w:rsidRPr="009A1F9E">
              <w:rPr>
                <w:sz w:val="22"/>
                <w:szCs w:val="22"/>
                <w:vertAlign w:val="superscript"/>
              </w:rPr>
              <w:t>th</w:t>
            </w:r>
            <w:r>
              <w:rPr>
                <w:sz w:val="22"/>
                <w:szCs w:val="22"/>
              </w:rPr>
              <w:t xml:space="preserve"> </w:t>
            </w:r>
            <w:commentRangeEnd w:id="22"/>
            <w:r w:rsidR="00A91332">
              <w:rPr>
                <w:rStyle w:val="CommentReference"/>
              </w:rPr>
              <w:commentReference w:id="22"/>
            </w:r>
          </w:p>
        </w:tc>
        <w:tc>
          <w:tcPr>
            <w:tcW w:w="1170" w:type="dxa"/>
            <w:shd w:val="clear" w:color="auto" w:fill="auto"/>
          </w:tcPr>
          <w:p w:rsidR="00613304" w:rsidRDefault="00613304" w:rsidP="009A1F9E">
            <w:pPr>
              <w:autoSpaceDE w:val="0"/>
              <w:autoSpaceDN w:val="0"/>
              <w:adjustRightInd w:val="0"/>
              <w:rPr>
                <w:bCs/>
                <w:sz w:val="22"/>
                <w:szCs w:val="22"/>
              </w:rPr>
            </w:pPr>
          </w:p>
          <w:p w:rsidR="00C06A37" w:rsidRDefault="00C06A37" w:rsidP="009A1F9E">
            <w:pPr>
              <w:autoSpaceDE w:val="0"/>
              <w:autoSpaceDN w:val="0"/>
              <w:adjustRightInd w:val="0"/>
              <w:rPr>
                <w:bCs/>
                <w:sz w:val="22"/>
                <w:szCs w:val="22"/>
              </w:rPr>
            </w:pPr>
          </w:p>
          <w:p w:rsidR="009A1F9E" w:rsidRDefault="009A1F9E" w:rsidP="009A1F9E">
            <w:pPr>
              <w:autoSpaceDE w:val="0"/>
              <w:autoSpaceDN w:val="0"/>
              <w:adjustRightInd w:val="0"/>
              <w:rPr>
                <w:bCs/>
                <w:sz w:val="22"/>
                <w:szCs w:val="22"/>
              </w:rPr>
            </w:pPr>
            <w:r>
              <w:rPr>
                <w:bCs/>
                <w:sz w:val="22"/>
                <w:szCs w:val="22"/>
              </w:rPr>
              <w:t>3.46</w:t>
            </w:r>
          </w:p>
          <w:p w:rsidR="009A1F9E" w:rsidRPr="00485179" w:rsidRDefault="00C06A37" w:rsidP="009A1F9E">
            <w:pPr>
              <w:autoSpaceDE w:val="0"/>
              <w:autoSpaceDN w:val="0"/>
              <w:adjustRightInd w:val="0"/>
              <w:rPr>
                <w:bCs/>
                <w:sz w:val="22"/>
                <w:szCs w:val="22"/>
              </w:rPr>
            </w:pPr>
            <w:r>
              <w:rPr>
                <w:bCs/>
                <w:sz w:val="22"/>
                <w:szCs w:val="22"/>
              </w:rPr>
              <w:t>3.55</w:t>
            </w:r>
          </w:p>
        </w:tc>
        <w:tc>
          <w:tcPr>
            <w:tcW w:w="803" w:type="dxa"/>
            <w:shd w:val="clear" w:color="auto" w:fill="auto"/>
          </w:tcPr>
          <w:p w:rsidR="00C06A37" w:rsidRDefault="00C06A37" w:rsidP="009A1F9E">
            <w:pPr>
              <w:autoSpaceDE w:val="0"/>
              <w:autoSpaceDN w:val="0"/>
              <w:adjustRightInd w:val="0"/>
              <w:rPr>
                <w:bCs/>
                <w:sz w:val="22"/>
                <w:szCs w:val="22"/>
              </w:rPr>
            </w:pPr>
          </w:p>
          <w:p w:rsidR="009A1F9E" w:rsidRDefault="009A1F9E" w:rsidP="009A1F9E">
            <w:pPr>
              <w:autoSpaceDE w:val="0"/>
              <w:autoSpaceDN w:val="0"/>
              <w:adjustRightInd w:val="0"/>
              <w:rPr>
                <w:bCs/>
                <w:sz w:val="22"/>
                <w:szCs w:val="22"/>
              </w:rPr>
            </w:pPr>
          </w:p>
          <w:p w:rsidR="009A1F9E" w:rsidRDefault="009A1F9E" w:rsidP="009A1F9E">
            <w:pPr>
              <w:autoSpaceDE w:val="0"/>
              <w:autoSpaceDN w:val="0"/>
              <w:adjustRightInd w:val="0"/>
              <w:rPr>
                <w:bCs/>
                <w:sz w:val="22"/>
                <w:szCs w:val="22"/>
              </w:rPr>
            </w:pPr>
            <w:r>
              <w:rPr>
                <w:bCs/>
                <w:sz w:val="22"/>
                <w:szCs w:val="22"/>
              </w:rPr>
              <w:t>3.80</w:t>
            </w:r>
          </w:p>
          <w:p w:rsidR="00613304" w:rsidRPr="00485179" w:rsidRDefault="00C06A37" w:rsidP="009A1F9E">
            <w:pPr>
              <w:autoSpaceDE w:val="0"/>
              <w:autoSpaceDN w:val="0"/>
              <w:adjustRightInd w:val="0"/>
              <w:rPr>
                <w:bCs/>
                <w:sz w:val="22"/>
                <w:szCs w:val="22"/>
              </w:rPr>
            </w:pPr>
            <w:r>
              <w:rPr>
                <w:bCs/>
                <w:sz w:val="22"/>
                <w:szCs w:val="22"/>
              </w:rPr>
              <w:t>5.44</w:t>
            </w:r>
          </w:p>
        </w:tc>
        <w:tc>
          <w:tcPr>
            <w:tcW w:w="803" w:type="dxa"/>
            <w:shd w:val="clear" w:color="auto" w:fill="auto"/>
          </w:tcPr>
          <w:p w:rsidR="009A1F9E" w:rsidRDefault="009A1F9E" w:rsidP="009A1F9E">
            <w:pPr>
              <w:autoSpaceDE w:val="0"/>
              <w:autoSpaceDN w:val="0"/>
              <w:adjustRightInd w:val="0"/>
              <w:rPr>
                <w:bCs/>
                <w:sz w:val="22"/>
                <w:szCs w:val="22"/>
              </w:rPr>
            </w:pPr>
          </w:p>
          <w:p w:rsidR="009A1F9E" w:rsidRDefault="009A1F9E" w:rsidP="009A1F9E">
            <w:pPr>
              <w:autoSpaceDE w:val="0"/>
              <w:autoSpaceDN w:val="0"/>
              <w:adjustRightInd w:val="0"/>
              <w:rPr>
                <w:bCs/>
                <w:sz w:val="22"/>
                <w:szCs w:val="22"/>
              </w:rPr>
            </w:pPr>
          </w:p>
          <w:p w:rsidR="009A1F9E" w:rsidRDefault="009A1F9E" w:rsidP="009A1F9E">
            <w:pPr>
              <w:autoSpaceDE w:val="0"/>
              <w:autoSpaceDN w:val="0"/>
              <w:adjustRightInd w:val="0"/>
              <w:rPr>
                <w:bCs/>
                <w:sz w:val="22"/>
                <w:szCs w:val="22"/>
              </w:rPr>
            </w:pPr>
            <w:r>
              <w:rPr>
                <w:bCs/>
                <w:sz w:val="22"/>
                <w:szCs w:val="22"/>
              </w:rPr>
              <w:t>3.41</w:t>
            </w:r>
          </w:p>
          <w:p w:rsidR="00613304" w:rsidRPr="00485179" w:rsidRDefault="00C06A37" w:rsidP="009A1F9E">
            <w:pPr>
              <w:autoSpaceDE w:val="0"/>
              <w:autoSpaceDN w:val="0"/>
              <w:adjustRightInd w:val="0"/>
              <w:rPr>
                <w:bCs/>
                <w:sz w:val="22"/>
                <w:szCs w:val="22"/>
              </w:rPr>
            </w:pPr>
            <w:r>
              <w:rPr>
                <w:bCs/>
                <w:sz w:val="22"/>
                <w:szCs w:val="22"/>
              </w:rPr>
              <w:t>5.36</w:t>
            </w:r>
          </w:p>
        </w:tc>
        <w:tc>
          <w:tcPr>
            <w:tcW w:w="1157" w:type="dxa"/>
            <w:shd w:val="clear" w:color="auto" w:fill="auto"/>
          </w:tcPr>
          <w:p w:rsidR="009A1F9E" w:rsidRDefault="009A1F9E" w:rsidP="009A1F9E">
            <w:pPr>
              <w:autoSpaceDE w:val="0"/>
              <w:autoSpaceDN w:val="0"/>
              <w:adjustRightInd w:val="0"/>
              <w:rPr>
                <w:bCs/>
                <w:sz w:val="22"/>
                <w:szCs w:val="22"/>
              </w:rPr>
            </w:pPr>
          </w:p>
          <w:p w:rsidR="00C06A37" w:rsidRDefault="00C06A37" w:rsidP="009A1F9E">
            <w:pPr>
              <w:autoSpaceDE w:val="0"/>
              <w:autoSpaceDN w:val="0"/>
              <w:adjustRightInd w:val="0"/>
              <w:rPr>
                <w:bCs/>
                <w:sz w:val="22"/>
                <w:szCs w:val="22"/>
              </w:rPr>
            </w:pPr>
          </w:p>
          <w:p w:rsidR="009A1F9E" w:rsidRDefault="009A1F9E" w:rsidP="009A1F9E">
            <w:pPr>
              <w:autoSpaceDE w:val="0"/>
              <w:autoSpaceDN w:val="0"/>
              <w:adjustRightInd w:val="0"/>
              <w:rPr>
                <w:bCs/>
                <w:sz w:val="22"/>
                <w:szCs w:val="22"/>
              </w:rPr>
            </w:pPr>
            <w:r>
              <w:rPr>
                <w:bCs/>
                <w:sz w:val="22"/>
                <w:szCs w:val="22"/>
              </w:rPr>
              <w:t>4.29</w:t>
            </w:r>
          </w:p>
          <w:p w:rsidR="00613304" w:rsidRPr="00485179" w:rsidRDefault="00C06A37" w:rsidP="009A1F9E">
            <w:pPr>
              <w:autoSpaceDE w:val="0"/>
              <w:autoSpaceDN w:val="0"/>
              <w:adjustRightInd w:val="0"/>
              <w:rPr>
                <w:bCs/>
                <w:sz w:val="22"/>
                <w:szCs w:val="22"/>
              </w:rPr>
            </w:pPr>
            <w:r>
              <w:rPr>
                <w:bCs/>
                <w:sz w:val="22"/>
                <w:szCs w:val="22"/>
              </w:rPr>
              <w:t>N/A</w:t>
            </w:r>
          </w:p>
        </w:tc>
        <w:tc>
          <w:tcPr>
            <w:tcW w:w="803" w:type="dxa"/>
            <w:shd w:val="clear" w:color="auto" w:fill="auto"/>
          </w:tcPr>
          <w:p w:rsidR="009A1F9E" w:rsidRDefault="009A1F9E" w:rsidP="009A1F9E">
            <w:pPr>
              <w:autoSpaceDE w:val="0"/>
              <w:autoSpaceDN w:val="0"/>
              <w:adjustRightInd w:val="0"/>
              <w:rPr>
                <w:bCs/>
                <w:sz w:val="22"/>
                <w:szCs w:val="22"/>
              </w:rPr>
            </w:pPr>
          </w:p>
          <w:p w:rsidR="00C06A37" w:rsidRDefault="00C06A37" w:rsidP="009A1F9E">
            <w:pPr>
              <w:autoSpaceDE w:val="0"/>
              <w:autoSpaceDN w:val="0"/>
              <w:adjustRightInd w:val="0"/>
              <w:rPr>
                <w:bCs/>
                <w:sz w:val="22"/>
                <w:szCs w:val="22"/>
              </w:rPr>
            </w:pPr>
          </w:p>
          <w:p w:rsidR="009A1F9E" w:rsidRDefault="00C06A37" w:rsidP="009A1F9E">
            <w:pPr>
              <w:autoSpaceDE w:val="0"/>
              <w:autoSpaceDN w:val="0"/>
              <w:adjustRightInd w:val="0"/>
              <w:rPr>
                <w:bCs/>
                <w:sz w:val="22"/>
                <w:szCs w:val="22"/>
              </w:rPr>
            </w:pPr>
            <w:r>
              <w:rPr>
                <w:bCs/>
                <w:sz w:val="22"/>
                <w:szCs w:val="22"/>
              </w:rPr>
              <w:t>4.53</w:t>
            </w:r>
          </w:p>
          <w:p w:rsidR="00613304" w:rsidRPr="00485179" w:rsidRDefault="00C06A37" w:rsidP="009A1F9E">
            <w:pPr>
              <w:autoSpaceDE w:val="0"/>
              <w:autoSpaceDN w:val="0"/>
              <w:adjustRightInd w:val="0"/>
              <w:rPr>
                <w:bCs/>
                <w:sz w:val="22"/>
                <w:szCs w:val="22"/>
              </w:rPr>
            </w:pPr>
            <w:r>
              <w:rPr>
                <w:bCs/>
                <w:sz w:val="22"/>
                <w:szCs w:val="22"/>
              </w:rPr>
              <w:t>N/A</w:t>
            </w:r>
          </w:p>
        </w:tc>
        <w:tc>
          <w:tcPr>
            <w:tcW w:w="803" w:type="dxa"/>
            <w:shd w:val="clear" w:color="auto" w:fill="auto"/>
          </w:tcPr>
          <w:p w:rsidR="009A1F9E" w:rsidRDefault="009A1F9E" w:rsidP="009A1F9E">
            <w:pPr>
              <w:autoSpaceDE w:val="0"/>
              <w:autoSpaceDN w:val="0"/>
              <w:adjustRightInd w:val="0"/>
              <w:rPr>
                <w:bCs/>
                <w:sz w:val="22"/>
                <w:szCs w:val="22"/>
              </w:rPr>
            </w:pPr>
          </w:p>
          <w:p w:rsidR="00C06A37" w:rsidRDefault="00C06A37" w:rsidP="009A1F9E">
            <w:pPr>
              <w:autoSpaceDE w:val="0"/>
              <w:autoSpaceDN w:val="0"/>
              <w:adjustRightInd w:val="0"/>
              <w:rPr>
                <w:bCs/>
                <w:sz w:val="22"/>
                <w:szCs w:val="22"/>
              </w:rPr>
            </w:pPr>
          </w:p>
          <w:p w:rsidR="009A1F9E" w:rsidRDefault="00C06A37" w:rsidP="009A1F9E">
            <w:pPr>
              <w:autoSpaceDE w:val="0"/>
              <w:autoSpaceDN w:val="0"/>
              <w:adjustRightInd w:val="0"/>
              <w:rPr>
                <w:bCs/>
                <w:sz w:val="22"/>
                <w:szCs w:val="22"/>
              </w:rPr>
            </w:pPr>
            <w:r>
              <w:rPr>
                <w:bCs/>
                <w:sz w:val="22"/>
                <w:szCs w:val="22"/>
              </w:rPr>
              <w:t>4.12</w:t>
            </w:r>
          </w:p>
          <w:p w:rsidR="00613304" w:rsidRPr="00485179" w:rsidRDefault="00C06A37" w:rsidP="009A1F9E">
            <w:pPr>
              <w:autoSpaceDE w:val="0"/>
              <w:autoSpaceDN w:val="0"/>
              <w:adjustRightInd w:val="0"/>
              <w:rPr>
                <w:bCs/>
                <w:sz w:val="22"/>
                <w:szCs w:val="22"/>
              </w:rPr>
            </w:pPr>
            <w:r>
              <w:rPr>
                <w:bCs/>
                <w:sz w:val="22"/>
                <w:szCs w:val="22"/>
              </w:rPr>
              <w:t>N/A</w:t>
            </w:r>
          </w:p>
        </w:tc>
        <w:tc>
          <w:tcPr>
            <w:tcW w:w="1072" w:type="dxa"/>
            <w:shd w:val="clear" w:color="auto" w:fill="auto"/>
          </w:tcPr>
          <w:p w:rsidR="009A1F9E" w:rsidRDefault="009A1F9E" w:rsidP="009A1F9E">
            <w:pPr>
              <w:autoSpaceDE w:val="0"/>
              <w:autoSpaceDN w:val="0"/>
              <w:adjustRightInd w:val="0"/>
              <w:rPr>
                <w:bCs/>
                <w:sz w:val="22"/>
                <w:szCs w:val="22"/>
              </w:rPr>
            </w:pPr>
          </w:p>
          <w:p w:rsidR="009A1F9E" w:rsidRDefault="009A1F9E" w:rsidP="009A1F9E">
            <w:pPr>
              <w:autoSpaceDE w:val="0"/>
              <w:autoSpaceDN w:val="0"/>
              <w:adjustRightInd w:val="0"/>
              <w:rPr>
                <w:bCs/>
                <w:sz w:val="22"/>
                <w:szCs w:val="22"/>
              </w:rPr>
            </w:pPr>
          </w:p>
          <w:p w:rsidR="009A1F9E" w:rsidRDefault="00C06A37" w:rsidP="009A1F9E">
            <w:pPr>
              <w:autoSpaceDE w:val="0"/>
              <w:autoSpaceDN w:val="0"/>
              <w:adjustRightInd w:val="0"/>
              <w:rPr>
                <w:bCs/>
                <w:sz w:val="22"/>
                <w:szCs w:val="22"/>
              </w:rPr>
            </w:pPr>
            <w:r>
              <w:rPr>
                <w:bCs/>
                <w:sz w:val="22"/>
                <w:szCs w:val="22"/>
              </w:rPr>
              <w:t>3.66</w:t>
            </w:r>
          </w:p>
          <w:p w:rsidR="00613304" w:rsidRPr="00485179" w:rsidRDefault="00C06A37" w:rsidP="009A1F9E">
            <w:pPr>
              <w:autoSpaceDE w:val="0"/>
              <w:autoSpaceDN w:val="0"/>
              <w:adjustRightInd w:val="0"/>
              <w:rPr>
                <w:bCs/>
                <w:sz w:val="22"/>
                <w:szCs w:val="22"/>
              </w:rPr>
            </w:pPr>
            <w:r>
              <w:rPr>
                <w:bCs/>
                <w:sz w:val="22"/>
                <w:szCs w:val="22"/>
              </w:rPr>
              <w:t>5.54</w:t>
            </w:r>
          </w:p>
        </w:tc>
        <w:tc>
          <w:tcPr>
            <w:tcW w:w="1279" w:type="dxa"/>
            <w:shd w:val="clear" w:color="auto" w:fill="auto"/>
          </w:tcPr>
          <w:p w:rsidR="009A1F9E" w:rsidRDefault="009A1F9E" w:rsidP="009A1F9E">
            <w:pPr>
              <w:autoSpaceDE w:val="0"/>
              <w:autoSpaceDN w:val="0"/>
              <w:adjustRightInd w:val="0"/>
              <w:rPr>
                <w:bCs/>
                <w:sz w:val="22"/>
                <w:szCs w:val="22"/>
              </w:rPr>
            </w:pPr>
          </w:p>
          <w:p w:rsidR="00C06A37" w:rsidRDefault="00C06A37" w:rsidP="009A1F9E">
            <w:pPr>
              <w:autoSpaceDE w:val="0"/>
              <w:autoSpaceDN w:val="0"/>
              <w:adjustRightInd w:val="0"/>
              <w:rPr>
                <w:bCs/>
                <w:sz w:val="22"/>
                <w:szCs w:val="22"/>
              </w:rPr>
            </w:pPr>
          </w:p>
          <w:p w:rsidR="009A1F9E" w:rsidRDefault="00C06A37" w:rsidP="009A1F9E">
            <w:pPr>
              <w:autoSpaceDE w:val="0"/>
              <w:autoSpaceDN w:val="0"/>
              <w:adjustRightInd w:val="0"/>
              <w:rPr>
                <w:bCs/>
                <w:sz w:val="22"/>
                <w:szCs w:val="22"/>
              </w:rPr>
            </w:pPr>
            <w:r>
              <w:rPr>
                <w:bCs/>
                <w:sz w:val="22"/>
                <w:szCs w:val="22"/>
              </w:rPr>
              <w:t>1.89</w:t>
            </w:r>
          </w:p>
          <w:p w:rsidR="00613304" w:rsidRPr="00485179" w:rsidRDefault="00C06A37" w:rsidP="009A1F9E">
            <w:pPr>
              <w:autoSpaceDE w:val="0"/>
              <w:autoSpaceDN w:val="0"/>
              <w:adjustRightInd w:val="0"/>
              <w:rPr>
                <w:sz w:val="22"/>
                <w:szCs w:val="22"/>
              </w:rPr>
            </w:pPr>
            <w:r>
              <w:rPr>
                <w:sz w:val="22"/>
                <w:szCs w:val="22"/>
              </w:rPr>
              <w:t>0.66</w:t>
            </w:r>
          </w:p>
        </w:tc>
      </w:tr>
    </w:tbl>
    <w:p w:rsidR="00613304" w:rsidRDefault="00613304" w:rsidP="00613304">
      <w:pPr>
        <w:autoSpaceDE w:val="0"/>
        <w:autoSpaceDN w:val="0"/>
        <w:adjustRightInd w:val="0"/>
        <w:spacing w:after="120"/>
        <w:rPr>
          <w:sz w:val="22"/>
          <w:szCs w:val="22"/>
        </w:rPr>
      </w:pPr>
    </w:p>
    <w:p w:rsidR="00F1457A" w:rsidRDefault="00F1457A" w:rsidP="00F1457A">
      <w:pPr>
        <w:autoSpaceDE w:val="0"/>
        <w:autoSpaceDN w:val="0"/>
        <w:adjustRightInd w:val="0"/>
        <w:rPr>
          <w:b/>
          <w:bCs/>
          <w:sz w:val="22"/>
          <w:szCs w:val="22"/>
        </w:rPr>
      </w:pPr>
      <w:r w:rsidRPr="00AF748A">
        <w:rPr>
          <w:b/>
          <w:bCs/>
          <w:sz w:val="22"/>
          <w:szCs w:val="22"/>
          <w:u w:val="single"/>
        </w:rPr>
        <w:t>Figure 1</w:t>
      </w:r>
      <w:r>
        <w:rPr>
          <w:b/>
          <w:bCs/>
          <w:sz w:val="22"/>
          <w:szCs w:val="22"/>
        </w:rPr>
        <w:t>: Kaplan-Meier survival probability</w:t>
      </w:r>
      <w:r w:rsidR="005757F4">
        <w:rPr>
          <w:b/>
          <w:bCs/>
          <w:sz w:val="22"/>
          <w:szCs w:val="22"/>
        </w:rPr>
        <w:t xml:space="preserve">, by </w:t>
      </w:r>
      <w:r w:rsidR="005757F4" w:rsidRPr="00C06A37">
        <w:rPr>
          <w:b/>
          <w:bCs/>
          <w:sz w:val="22"/>
          <w:szCs w:val="22"/>
        </w:rPr>
        <w:t xml:space="preserve">categories </w:t>
      </w:r>
      <w:r w:rsidR="005757F4">
        <w:rPr>
          <w:b/>
          <w:bCs/>
          <w:sz w:val="22"/>
          <w:szCs w:val="22"/>
        </w:rPr>
        <w:t>of baseline serum LDL level as given by the Mayo Clinic cutoffs for LDL.</w:t>
      </w:r>
    </w:p>
    <w:p w:rsidR="005757F4" w:rsidRPr="00C06A37" w:rsidRDefault="00492CF9" w:rsidP="00F1457A">
      <w:pPr>
        <w:autoSpaceDE w:val="0"/>
        <w:autoSpaceDN w:val="0"/>
        <w:adjustRightInd w:val="0"/>
        <w:rPr>
          <w:bCs/>
          <w:sz w:val="22"/>
          <w:szCs w:val="22"/>
        </w:rPr>
      </w:pPr>
      <w:r>
        <w:rPr>
          <w:b/>
          <w:bCs/>
          <w:noProof/>
          <w:sz w:val="22"/>
          <w:szCs w:val="22"/>
        </w:rPr>
        <w:drawing>
          <wp:inline distT="0" distB="0" distL="0" distR="0">
            <wp:extent cx="5419725" cy="3943350"/>
            <wp:effectExtent l="0" t="0" r="9525" b="0"/>
            <wp:docPr id="1" name="Picture 1" descr="K-M Mayo cutof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 Mayo cutoff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9725" cy="3943350"/>
                    </a:xfrm>
                    <a:prstGeom prst="rect">
                      <a:avLst/>
                    </a:prstGeom>
                    <a:noFill/>
                    <a:ln>
                      <a:noFill/>
                    </a:ln>
                  </pic:spPr>
                </pic:pic>
              </a:graphicData>
            </a:graphic>
          </wp:inline>
        </w:drawing>
      </w:r>
    </w:p>
    <w:p w:rsidR="00613304" w:rsidRDefault="00613304" w:rsidP="00613304">
      <w:pPr>
        <w:autoSpaceDE w:val="0"/>
        <w:autoSpaceDN w:val="0"/>
        <w:adjustRightInd w:val="0"/>
        <w:rPr>
          <w:bCs/>
          <w:sz w:val="22"/>
          <w:szCs w:val="22"/>
        </w:rPr>
      </w:pPr>
    </w:p>
    <w:p w:rsidR="00627286" w:rsidRDefault="00627286" w:rsidP="00613304">
      <w:pPr>
        <w:autoSpaceDE w:val="0"/>
        <w:autoSpaceDN w:val="0"/>
        <w:adjustRightInd w:val="0"/>
        <w:rPr>
          <w:bCs/>
          <w:sz w:val="22"/>
          <w:szCs w:val="22"/>
        </w:rPr>
      </w:pPr>
    </w:p>
    <w:p w:rsidR="00615D3A" w:rsidRDefault="00627286" w:rsidP="00615D3A">
      <w:pPr>
        <w:autoSpaceDE w:val="0"/>
        <w:autoSpaceDN w:val="0"/>
        <w:adjustRightInd w:val="0"/>
        <w:rPr>
          <w:bCs/>
          <w:sz w:val="22"/>
          <w:szCs w:val="22"/>
        </w:rPr>
      </w:pPr>
      <w:r w:rsidRPr="00881FE1">
        <w:rPr>
          <w:bCs/>
          <w:sz w:val="22"/>
          <w:szCs w:val="22"/>
          <w:u w:val="single"/>
        </w:rPr>
        <w:t xml:space="preserve">Statistical </w:t>
      </w:r>
      <w:commentRangeStart w:id="23"/>
      <w:r w:rsidRPr="00881FE1">
        <w:rPr>
          <w:bCs/>
          <w:sz w:val="22"/>
          <w:szCs w:val="22"/>
          <w:u w:val="single"/>
        </w:rPr>
        <w:t>methods</w:t>
      </w:r>
      <w:commentRangeEnd w:id="23"/>
      <w:r w:rsidR="00A91332">
        <w:rPr>
          <w:rStyle w:val="CommentReference"/>
        </w:rPr>
        <w:commentReference w:id="23"/>
      </w:r>
      <w:r w:rsidRPr="00881FE1">
        <w:rPr>
          <w:bCs/>
          <w:sz w:val="22"/>
          <w:szCs w:val="22"/>
          <w:u w:val="single"/>
        </w:rPr>
        <w:t xml:space="preserve"> for inferential statistics</w:t>
      </w:r>
      <w:r w:rsidRPr="00615D3A">
        <w:rPr>
          <w:bCs/>
          <w:sz w:val="22"/>
          <w:szCs w:val="22"/>
        </w:rPr>
        <w:t xml:space="preserve">: </w:t>
      </w:r>
      <w:r w:rsidR="00462139" w:rsidRPr="00F76D7D">
        <w:rPr>
          <w:sz w:val="22"/>
          <w:szCs w:val="22"/>
        </w:rPr>
        <w:t xml:space="preserve">To examine the association between </w:t>
      </w:r>
      <w:r w:rsidR="00462139">
        <w:rPr>
          <w:sz w:val="22"/>
          <w:szCs w:val="22"/>
        </w:rPr>
        <w:t xml:space="preserve">all-cause mortality and serum LDL, </w:t>
      </w:r>
      <w:r w:rsidR="00462139">
        <w:rPr>
          <w:bCs/>
          <w:sz w:val="22"/>
          <w:szCs w:val="22"/>
        </w:rPr>
        <w:t>the d</w:t>
      </w:r>
      <w:r w:rsidR="00615D3A" w:rsidRPr="00615D3A">
        <w:rPr>
          <w:bCs/>
          <w:sz w:val="22"/>
          <w:szCs w:val="22"/>
        </w:rPr>
        <w:t>istributions of time to death from any cause was</w:t>
      </w:r>
      <w:r w:rsidR="00615D3A">
        <w:rPr>
          <w:bCs/>
          <w:sz w:val="22"/>
          <w:szCs w:val="22"/>
        </w:rPr>
        <w:t xml:space="preserve"> </w:t>
      </w:r>
      <w:r w:rsidR="00615D3A" w:rsidRPr="00615D3A">
        <w:rPr>
          <w:bCs/>
          <w:sz w:val="22"/>
          <w:szCs w:val="22"/>
        </w:rPr>
        <w:t>compared across groups defined by serum LDL at baseline using proportional hazards regression</w:t>
      </w:r>
      <w:r w:rsidR="00615D3A">
        <w:rPr>
          <w:bCs/>
          <w:sz w:val="22"/>
          <w:szCs w:val="22"/>
        </w:rPr>
        <w:t xml:space="preserve"> </w:t>
      </w:r>
      <w:r w:rsidR="00615D3A" w:rsidRPr="00615D3A">
        <w:rPr>
          <w:bCs/>
          <w:sz w:val="22"/>
          <w:szCs w:val="22"/>
        </w:rPr>
        <w:t xml:space="preserve">modeling serum LDL </w:t>
      </w:r>
      <w:r w:rsidR="00615D3A">
        <w:rPr>
          <w:sz w:val="22"/>
          <w:szCs w:val="22"/>
        </w:rPr>
        <w:t>when fit as dummy variables using the categories suggested by the Mayo Clinic</w:t>
      </w:r>
      <w:r w:rsidR="00462139">
        <w:rPr>
          <w:sz w:val="22"/>
          <w:szCs w:val="22"/>
        </w:rPr>
        <w:t xml:space="preserve"> (as above)</w:t>
      </w:r>
      <w:r w:rsidR="00615D3A" w:rsidRPr="00615D3A">
        <w:rPr>
          <w:bCs/>
          <w:sz w:val="22"/>
          <w:szCs w:val="22"/>
        </w:rPr>
        <w:t>. Quantification of association</w:t>
      </w:r>
      <w:r w:rsidR="00615D3A">
        <w:rPr>
          <w:bCs/>
          <w:sz w:val="22"/>
          <w:szCs w:val="22"/>
        </w:rPr>
        <w:t xml:space="preserve"> </w:t>
      </w:r>
      <w:r w:rsidR="00615D3A" w:rsidRPr="00615D3A">
        <w:rPr>
          <w:bCs/>
          <w:sz w:val="22"/>
          <w:szCs w:val="22"/>
        </w:rPr>
        <w:t>between all</w:t>
      </w:r>
      <w:r w:rsidR="00DE578B">
        <w:rPr>
          <w:bCs/>
          <w:sz w:val="22"/>
          <w:szCs w:val="22"/>
        </w:rPr>
        <w:t>-</w:t>
      </w:r>
      <w:r w:rsidR="00615D3A" w:rsidRPr="00615D3A">
        <w:rPr>
          <w:bCs/>
          <w:sz w:val="22"/>
          <w:szCs w:val="22"/>
        </w:rPr>
        <w:t>cause mortality was summarized by the hazards ratio computed from the regression</w:t>
      </w:r>
      <w:r w:rsidR="00615D3A">
        <w:rPr>
          <w:bCs/>
          <w:sz w:val="22"/>
          <w:szCs w:val="22"/>
        </w:rPr>
        <w:t xml:space="preserve"> </w:t>
      </w:r>
      <w:r w:rsidR="00615D3A" w:rsidRPr="00615D3A">
        <w:rPr>
          <w:bCs/>
          <w:sz w:val="22"/>
          <w:szCs w:val="22"/>
        </w:rPr>
        <w:t xml:space="preserve">model, with two-sided p values computed using </w:t>
      </w:r>
      <w:commentRangeStart w:id="24"/>
      <w:r w:rsidR="00615D3A" w:rsidRPr="00615D3A">
        <w:rPr>
          <w:bCs/>
          <w:sz w:val="22"/>
          <w:szCs w:val="22"/>
        </w:rPr>
        <w:t xml:space="preserve">Wald </w:t>
      </w:r>
      <w:commentRangeEnd w:id="24"/>
      <w:r w:rsidR="00A91332">
        <w:rPr>
          <w:rStyle w:val="CommentReference"/>
        </w:rPr>
        <w:commentReference w:id="24"/>
      </w:r>
      <w:r w:rsidR="00DE578B">
        <w:rPr>
          <w:bCs/>
          <w:sz w:val="22"/>
          <w:szCs w:val="22"/>
        </w:rPr>
        <w:t xml:space="preserve">Chi-squared </w:t>
      </w:r>
      <w:r w:rsidR="00615D3A" w:rsidRPr="00615D3A">
        <w:rPr>
          <w:bCs/>
          <w:sz w:val="22"/>
          <w:szCs w:val="22"/>
        </w:rPr>
        <w:t>statistic. Subjects missing data for serum LDL at the time of study accrual</w:t>
      </w:r>
      <w:r w:rsidR="00615D3A">
        <w:rPr>
          <w:bCs/>
          <w:sz w:val="22"/>
          <w:szCs w:val="22"/>
        </w:rPr>
        <w:t xml:space="preserve"> </w:t>
      </w:r>
      <w:r w:rsidR="00615D3A" w:rsidRPr="00615D3A">
        <w:rPr>
          <w:bCs/>
          <w:sz w:val="22"/>
          <w:szCs w:val="22"/>
        </w:rPr>
        <w:t>were omitted from the analysis.</w:t>
      </w:r>
      <w:r w:rsidR="00615D3A">
        <w:rPr>
          <w:bCs/>
          <w:sz w:val="22"/>
          <w:szCs w:val="22"/>
        </w:rPr>
        <w:t xml:space="preserve"> </w:t>
      </w:r>
    </w:p>
    <w:p w:rsidR="00462139" w:rsidRDefault="00462139" w:rsidP="00615D3A">
      <w:pPr>
        <w:autoSpaceDE w:val="0"/>
        <w:autoSpaceDN w:val="0"/>
        <w:adjustRightInd w:val="0"/>
        <w:rPr>
          <w:bCs/>
          <w:sz w:val="22"/>
          <w:szCs w:val="22"/>
        </w:rPr>
      </w:pPr>
    </w:p>
    <w:p w:rsidR="00613304" w:rsidRDefault="00462139" w:rsidP="00613304">
      <w:pPr>
        <w:autoSpaceDE w:val="0"/>
        <w:autoSpaceDN w:val="0"/>
        <w:adjustRightInd w:val="0"/>
        <w:spacing w:after="120"/>
        <w:rPr>
          <w:sz w:val="22"/>
          <w:szCs w:val="22"/>
        </w:rPr>
      </w:pPr>
      <w:r>
        <w:rPr>
          <w:sz w:val="22"/>
          <w:szCs w:val="22"/>
          <w:u w:val="single"/>
        </w:rPr>
        <w:t xml:space="preserve">Statistical </w:t>
      </w:r>
      <w:commentRangeStart w:id="25"/>
      <w:r w:rsidR="00881FE1" w:rsidRPr="00F917CB">
        <w:rPr>
          <w:sz w:val="22"/>
          <w:szCs w:val="22"/>
          <w:u w:val="single"/>
        </w:rPr>
        <w:t>Inference</w:t>
      </w:r>
      <w:commentRangeEnd w:id="25"/>
      <w:r w:rsidR="00A91332">
        <w:rPr>
          <w:rStyle w:val="CommentReference"/>
        </w:rPr>
        <w:commentReference w:id="25"/>
      </w:r>
      <w:r w:rsidR="00881FE1">
        <w:rPr>
          <w:sz w:val="22"/>
          <w:szCs w:val="22"/>
        </w:rPr>
        <w:t>:</w:t>
      </w:r>
      <w:r w:rsidR="00881FE1" w:rsidRPr="00A849D2">
        <w:rPr>
          <w:sz w:val="22"/>
          <w:szCs w:val="22"/>
        </w:rPr>
        <w:t xml:space="preserve"> </w:t>
      </w:r>
      <w:r>
        <w:rPr>
          <w:sz w:val="22"/>
          <w:szCs w:val="22"/>
        </w:rPr>
        <w:t xml:space="preserve">Descriptive </w:t>
      </w:r>
      <w:commentRangeStart w:id="26"/>
      <w:r>
        <w:rPr>
          <w:sz w:val="22"/>
          <w:szCs w:val="22"/>
        </w:rPr>
        <w:t xml:space="preserve">statistics </w:t>
      </w:r>
      <w:commentRangeEnd w:id="26"/>
      <w:r w:rsidR="00A91332">
        <w:rPr>
          <w:rStyle w:val="CommentReference"/>
        </w:rPr>
        <w:commentReference w:id="26"/>
      </w:r>
      <w:r>
        <w:rPr>
          <w:sz w:val="22"/>
          <w:szCs w:val="22"/>
        </w:rPr>
        <w:t xml:space="preserve">are given above.  </w:t>
      </w:r>
      <w:r w:rsidR="00881FE1">
        <w:rPr>
          <w:sz w:val="22"/>
          <w:szCs w:val="22"/>
        </w:rPr>
        <w:t xml:space="preserve">Using </w:t>
      </w:r>
      <w:r>
        <w:rPr>
          <w:sz w:val="22"/>
          <w:szCs w:val="22"/>
        </w:rPr>
        <w:t xml:space="preserve">proportional hazards </w:t>
      </w:r>
      <w:r w:rsidR="00881FE1">
        <w:rPr>
          <w:sz w:val="22"/>
          <w:szCs w:val="22"/>
        </w:rPr>
        <w:t xml:space="preserve">regression </w:t>
      </w:r>
      <w:r>
        <w:rPr>
          <w:sz w:val="22"/>
          <w:szCs w:val="22"/>
        </w:rPr>
        <w:t>model, the HR for death</w:t>
      </w:r>
      <w:r w:rsidR="00881FE1">
        <w:rPr>
          <w:sz w:val="22"/>
          <w:szCs w:val="22"/>
        </w:rPr>
        <w:t xml:space="preserve"> in </w:t>
      </w:r>
      <w:r>
        <w:rPr>
          <w:sz w:val="22"/>
          <w:szCs w:val="22"/>
        </w:rPr>
        <w:t>those subject with baseline LDL from 70 – 99 mg/dL was 0.3980</w:t>
      </w:r>
      <w:r w:rsidR="00DE578B">
        <w:rPr>
          <w:sz w:val="22"/>
          <w:szCs w:val="22"/>
        </w:rPr>
        <w:t xml:space="preserve"> when compare</w:t>
      </w:r>
      <w:r>
        <w:rPr>
          <w:sz w:val="22"/>
          <w:szCs w:val="22"/>
        </w:rPr>
        <w:t>d to the group with serum LDL ≤ 70</w:t>
      </w:r>
      <w:r w:rsidR="00DE578B">
        <w:rPr>
          <w:sz w:val="22"/>
          <w:szCs w:val="22"/>
        </w:rPr>
        <w:t xml:space="preserve">.  The HR for death in those subjects with </w:t>
      </w:r>
      <w:r>
        <w:rPr>
          <w:sz w:val="22"/>
          <w:szCs w:val="22"/>
        </w:rPr>
        <w:t xml:space="preserve">baseline LDL from </w:t>
      </w:r>
      <w:r w:rsidR="00DE578B">
        <w:rPr>
          <w:sz w:val="22"/>
          <w:szCs w:val="22"/>
        </w:rPr>
        <w:t>10</w:t>
      </w:r>
      <w:r>
        <w:rPr>
          <w:sz w:val="22"/>
          <w:szCs w:val="22"/>
        </w:rPr>
        <w:t xml:space="preserve">0 – </w:t>
      </w:r>
      <w:r w:rsidR="00DE578B">
        <w:rPr>
          <w:sz w:val="22"/>
          <w:szCs w:val="22"/>
        </w:rPr>
        <w:t>12</w:t>
      </w:r>
      <w:r>
        <w:rPr>
          <w:sz w:val="22"/>
          <w:szCs w:val="22"/>
        </w:rPr>
        <w:t>9 mg/dL was 0.39</w:t>
      </w:r>
      <w:r w:rsidR="00DE578B">
        <w:rPr>
          <w:sz w:val="22"/>
          <w:szCs w:val="22"/>
        </w:rPr>
        <w:t xml:space="preserve">26 when compared to the group with serum LDL ≤ 70.  The HR for death in those subjects with baseline LDL from 130 – 159 mg/dL was 0.2939 when compared to the group with serum LDL ≤ 70.  The HR for death in those subjects with baseline LDL from 160 – 189 mg/dL was 0.2565 when compared to the group with serum LDL ≤ 70.  The HR for death in those subjects with baseline LDL ≥ 190 mg/dL was 0.3167 when compared to the group with serum LDL ≤ 70.  We will not assess statistical significance or confidence intervals between individual groups, but rather by assessing the overall Chi-squared statistic, we see that with high statistical significance (p = 0.0087) we can reject the null hypothesis that the survival experience was the same between groups, in favor of a worse survival for those in the lowest serum LDL category (LDL ≤ 70 mg/dL). </w:t>
      </w:r>
    </w:p>
    <w:p w:rsidR="003205A5" w:rsidRDefault="003205A5" w:rsidP="009A4A1E">
      <w:pPr>
        <w:numPr>
          <w:ilvl w:val="1"/>
          <w:numId w:val="19"/>
        </w:numPr>
        <w:autoSpaceDE w:val="0"/>
        <w:autoSpaceDN w:val="0"/>
        <w:adjustRightInd w:val="0"/>
        <w:spacing w:after="120"/>
        <w:rPr>
          <w:sz w:val="22"/>
          <w:szCs w:val="22"/>
        </w:rPr>
      </w:pPr>
      <w:commentRangeStart w:id="27"/>
      <w:r>
        <w:rPr>
          <w:sz w:val="22"/>
          <w:szCs w:val="22"/>
        </w:rPr>
        <w:t>Provide</w:t>
      </w:r>
      <w:commentRangeEnd w:id="27"/>
      <w:r w:rsidR="00DA01FA">
        <w:rPr>
          <w:rStyle w:val="CommentReference"/>
        </w:rPr>
        <w:commentReference w:id="27"/>
      </w:r>
      <w:r>
        <w:rPr>
          <w:sz w:val="22"/>
          <w:szCs w:val="22"/>
        </w:rPr>
        <w:t xml:space="preserve"> an interpretation for each parameter in your regression model, including the intercept.</w:t>
      </w:r>
    </w:p>
    <w:p w:rsidR="005B6E9E" w:rsidRDefault="005B6E9E" w:rsidP="005B6E9E">
      <w:pPr>
        <w:autoSpaceDE w:val="0"/>
        <w:autoSpaceDN w:val="0"/>
        <w:adjustRightInd w:val="0"/>
        <w:spacing w:after="120"/>
        <w:rPr>
          <w:sz w:val="22"/>
          <w:szCs w:val="22"/>
        </w:rPr>
      </w:pPr>
      <w:r>
        <w:rPr>
          <w:sz w:val="22"/>
          <w:szCs w:val="22"/>
        </w:rPr>
        <w:t>β</w:t>
      </w:r>
      <w:r w:rsidRPr="00450462">
        <w:rPr>
          <w:sz w:val="22"/>
          <w:szCs w:val="22"/>
          <w:vertAlign w:val="subscript"/>
        </w:rPr>
        <w:t>0</w:t>
      </w:r>
      <w:r>
        <w:rPr>
          <w:sz w:val="22"/>
          <w:szCs w:val="22"/>
        </w:rPr>
        <w:t xml:space="preserve"> (</w:t>
      </w:r>
      <w:commentRangeStart w:id="28"/>
      <w:r>
        <w:rPr>
          <w:sz w:val="22"/>
          <w:szCs w:val="22"/>
        </w:rPr>
        <w:t>intercept</w:t>
      </w:r>
      <w:commentRangeEnd w:id="28"/>
      <w:r w:rsidR="00DA01FA">
        <w:rPr>
          <w:rStyle w:val="CommentReference"/>
        </w:rPr>
        <w:commentReference w:id="28"/>
      </w:r>
      <w:r>
        <w:rPr>
          <w:sz w:val="22"/>
          <w:szCs w:val="22"/>
        </w:rPr>
        <w:t>)</w:t>
      </w:r>
      <w:r w:rsidR="008270AB">
        <w:rPr>
          <w:sz w:val="22"/>
          <w:szCs w:val="22"/>
        </w:rPr>
        <w:t xml:space="preserve"> is the log </w:t>
      </w:r>
      <w:r>
        <w:rPr>
          <w:sz w:val="22"/>
          <w:szCs w:val="22"/>
        </w:rPr>
        <w:t xml:space="preserve">hazard of death when the LDL &lt; 70 mg/dL [not given in the regression output].  </w:t>
      </w:r>
    </w:p>
    <w:p w:rsidR="005B6E9E" w:rsidRDefault="005B6E9E" w:rsidP="005B6E9E">
      <w:pPr>
        <w:autoSpaceDE w:val="0"/>
        <w:autoSpaceDN w:val="0"/>
        <w:adjustRightInd w:val="0"/>
        <w:spacing w:after="120"/>
        <w:rPr>
          <w:sz w:val="22"/>
          <w:szCs w:val="22"/>
        </w:rPr>
      </w:pPr>
      <w:r>
        <w:rPr>
          <w:sz w:val="22"/>
          <w:szCs w:val="22"/>
        </w:rPr>
        <w:t>e^β</w:t>
      </w:r>
      <w:r w:rsidRPr="00450462">
        <w:rPr>
          <w:sz w:val="22"/>
          <w:szCs w:val="22"/>
          <w:vertAlign w:val="subscript"/>
        </w:rPr>
        <w:t>0</w:t>
      </w:r>
      <w:r w:rsidRPr="00450462">
        <w:rPr>
          <w:sz w:val="22"/>
          <w:szCs w:val="22"/>
        </w:rPr>
        <w:t xml:space="preserve"> </w:t>
      </w:r>
      <w:r>
        <w:rPr>
          <w:sz w:val="22"/>
          <w:szCs w:val="22"/>
        </w:rPr>
        <w:t xml:space="preserve">is the hazard of death when the LDL &lt; 70 mg/dL [not given in the regression output].  </w:t>
      </w:r>
    </w:p>
    <w:p w:rsidR="005B6E9E" w:rsidRDefault="005B6E9E" w:rsidP="005B6E9E">
      <w:pPr>
        <w:autoSpaceDE w:val="0"/>
        <w:autoSpaceDN w:val="0"/>
        <w:adjustRightInd w:val="0"/>
        <w:spacing w:after="120"/>
        <w:rPr>
          <w:sz w:val="22"/>
          <w:szCs w:val="22"/>
        </w:rPr>
      </w:pPr>
      <w:r>
        <w:rPr>
          <w:sz w:val="22"/>
          <w:szCs w:val="22"/>
        </w:rPr>
        <w:t>β</w:t>
      </w:r>
      <w:r>
        <w:rPr>
          <w:sz w:val="22"/>
          <w:szCs w:val="22"/>
          <w:vertAlign w:val="subscript"/>
        </w:rPr>
        <w:t>1</w:t>
      </w:r>
      <w:r>
        <w:rPr>
          <w:sz w:val="22"/>
          <w:szCs w:val="22"/>
        </w:rPr>
        <w:t xml:space="preserve"> is the difference in the log</w:t>
      </w:r>
      <w:r w:rsidR="008270AB">
        <w:rPr>
          <w:sz w:val="22"/>
          <w:szCs w:val="22"/>
        </w:rPr>
        <w:t xml:space="preserve"> </w:t>
      </w:r>
      <w:r>
        <w:rPr>
          <w:sz w:val="22"/>
          <w:szCs w:val="22"/>
        </w:rPr>
        <w:t>hazard of death when the LDL is 70 - 99 mg/dL compared to when the LDL is &lt; 70 mg/dL (i.e. log</w:t>
      </w:r>
      <w:r w:rsidR="00365FD5">
        <w:rPr>
          <w:sz w:val="22"/>
          <w:szCs w:val="22"/>
        </w:rPr>
        <w:t xml:space="preserve"> </w:t>
      </w:r>
      <w:r>
        <w:rPr>
          <w:sz w:val="22"/>
          <w:szCs w:val="22"/>
        </w:rPr>
        <w:t>hazard</w:t>
      </w:r>
      <w:r w:rsidR="00365FD5">
        <w:rPr>
          <w:sz w:val="22"/>
          <w:szCs w:val="22"/>
        </w:rPr>
        <w:t xml:space="preserve"> (death | </w:t>
      </w:r>
      <w:r>
        <w:rPr>
          <w:sz w:val="22"/>
          <w:szCs w:val="22"/>
        </w:rPr>
        <w:t>ldl70</w:t>
      </w:r>
      <w:r w:rsidR="00365FD5">
        <w:rPr>
          <w:sz w:val="22"/>
          <w:szCs w:val="22"/>
        </w:rPr>
        <w:t>)</w:t>
      </w:r>
      <w:r>
        <w:rPr>
          <w:sz w:val="22"/>
          <w:szCs w:val="22"/>
        </w:rPr>
        <w:t xml:space="preserve"> – log</w:t>
      </w:r>
      <w:r w:rsidR="00365FD5">
        <w:rPr>
          <w:sz w:val="22"/>
          <w:szCs w:val="22"/>
        </w:rPr>
        <w:t xml:space="preserve"> </w:t>
      </w:r>
      <w:r>
        <w:rPr>
          <w:sz w:val="22"/>
          <w:szCs w:val="22"/>
        </w:rPr>
        <w:t>hazard</w:t>
      </w:r>
      <w:r w:rsidR="00365FD5">
        <w:rPr>
          <w:sz w:val="22"/>
          <w:szCs w:val="22"/>
        </w:rPr>
        <w:t xml:space="preserve"> (death | </w:t>
      </w:r>
      <w:r>
        <w:rPr>
          <w:sz w:val="22"/>
          <w:szCs w:val="22"/>
        </w:rPr>
        <w:t xml:space="preserve">ldl0).  </w:t>
      </w:r>
    </w:p>
    <w:p w:rsidR="005B6E9E" w:rsidRDefault="005B6E9E" w:rsidP="005B6E9E">
      <w:pPr>
        <w:autoSpaceDE w:val="0"/>
        <w:autoSpaceDN w:val="0"/>
        <w:adjustRightInd w:val="0"/>
        <w:spacing w:after="120"/>
        <w:rPr>
          <w:sz w:val="22"/>
          <w:szCs w:val="22"/>
        </w:rPr>
      </w:pPr>
      <w:r>
        <w:rPr>
          <w:sz w:val="22"/>
          <w:szCs w:val="22"/>
        </w:rPr>
        <w:t>e^β</w:t>
      </w:r>
      <w:r>
        <w:rPr>
          <w:sz w:val="22"/>
          <w:szCs w:val="22"/>
          <w:vertAlign w:val="subscript"/>
        </w:rPr>
        <w:t>1</w:t>
      </w:r>
      <w:r>
        <w:rPr>
          <w:sz w:val="22"/>
          <w:szCs w:val="22"/>
        </w:rPr>
        <w:t xml:space="preserve"> = 0.3980</w:t>
      </w:r>
      <w:r w:rsidRPr="00450462">
        <w:rPr>
          <w:sz w:val="22"/>
          <w:szCs w:val="22"/>
        </w:rPr>
        <w:t xml:space="preserve"> </w:t>
      </w:r>
      <w:r>
        <w:rPr>
          <w:sz w:val="22"/>
          <w:szCs w:val="22"/>
        </w:rPr>
        <w:t xml:space="preserve">is the HR of death when the LDL is 70 – 99 mg/dL compared to LDL &lt; 70 mg/dL (i.e. hazard (death | LDL 70 – 99) / hazard (death | LDL &lt; 70).  </w:t>
      </w:r>
    </w:p>
    <w:p w:rsidR="005B6E9E" w:rsidRDefault="005B6E9E" w:rsidP="005B6E9E">
      <w:pPr>
        <w:autoSpaceDE w:val="0"/>
        <w:autoSpaceDN w:val="0"/>
        <w:adjustRightInd w:val="0"/>
        <w:spacing w:after="120"/>
        <w:rPr>
          <w:sz w:val="22"/>
          <w:szCs w:val="22"/>
        </w:rPr>
      </w:pPr>
      <w:r>
        <w:rPr>
          <w:sz w:val="22"/>
          <w:szCs w:val="22"/>
        </w:rPr>
        <w:t>β</w:t>
      </w:r>
      <w:r>
        <w:rPr>
          <w:sz w:val="22"/>
          <w:szCs w:val="22"/>
          <w:vertAlign w:val="subscript"/>
        </w:rPr>
        <w:t>2</w:t>
      </w:r>
      <w:r>
        <w:rPr>
          <w:sz w:val="22"/>
          <w:szCs w:val="22"/>
        </w:rPr>
        <w:t xml:space="preserve"> is the difference in the log</w:t>
      </w:r>
      <w:r w:rsidR="008270AB">
        <w:rPr>
          <w:sz w:val="22"/>
          <w:szCs w:val="22"/>
        </w:rPr>
        <w:t xml:space="preserve"> </w:t>
      </w:r>
      <w:r>
        <w:rPr>
          <w:sz w:val="22"/>
          <w:szCs w:val="22"/>
        </w:rPr>
        <w:t>hazard of death when the LDL is 100 - 129 mg/dL compared to when the LDL is &lt; 70 mg/dL (</w:t>
      </w:r>
      <w:r w:rsidR="00365FD5">
        <w:rPr>
          <w:sz w:val="22"/>
          <w:szCs w:val="22"/>
        </w:rPr>
        <w:t>i.e. log hazard (death | ldl100) – log hazard (death | ldl0</w:t>
      </w:r>
      <w:r>
        <w:rPr>
          <w:sz w:val="22"/>
          <w:szCs w:val="22"/>
        </w:rPr>
        <w:t>).</w:t>
      </w:r>
    </w:p>
    <w:p w:rsidR="005B6E9E" w:rsidRDefault="005B6E9E" w:rsidP="005B6E9E">
      <w:pPr>
        <w:autoSpaceDE w:val="0"/>
        <w:autoSpaceDN w:val="0"/>
        <w:adjustRightInd w:val="0"/>
        <w:spacing w:after="120"/>
        <w:rPr>
          <w:sz w:val="22"/>
          <w:szCs w:val="22"/>
        </w:rPr>
      </w:pPr>
      <w:r>
        <w:rPr>
          <w:sz w:val="22"/>
          <w:szCs w:val="22"/>
        </w:rPr>
        <w:t>e^β</w:t>
      </w:r>
      <w:r>
        <w:rPr>
          <w:sz w:val="22"/>
          <w:szCs w:val="22"/>
          <w:vertAlign w:val="subscript"/>
        </w:rPr>
        <w:t>2</w:t>
      </w:r>
      <w:r>
        <w:rPr>
          <w:sz w:val="22"/>
          <w:szCs w:val="22"/>
        </w:rPr>
        <w:t xml:space="preserve"> = 0</w:t>
      </w:r>
      <w:r w:rsidRPr="003B0401">
        <w:rPr>
          <w:sz w:val="22"/>
          <w:szCs w:val="22"/>
        </w:rPr>
        <w:t>.</w:t>
      </w:r>
      <w:r>
        <w:rPr>
          <w:sz w:val="22"/>
          <w:szCs w:val="22"/>
        </w:rPr>
        <w:t>3926</w:t>
      </w:r>
      <w:r w:rsidRPr="00450462">
        <w:rPr>
          <w:sz w:val="22"/>
          <w:szCs w:val="22"/>
        </w:rPr>
        <w:t xml:space="preserve"> </w:t>
      </w:r>
      <w:r>
        <w:rPr>
          <w:sz w:val="22"/>
          <w:szCs w:val="22"/>
        </w:rPr>
        <w:t xml:space="preserve">is the HR of death when the LDL is 100 – 129 mg/dL compared to LDL &lt; 70 mg/dL (i.e. hazard (death | LDL 100 - 129) / hazard (death | LDL &lt; 70).  </w:t>
      </w:r>
    </w:p>
    <w:p w:rsidR="005B6E9E" w:rsidRDefault="005B6E9E" w:rsidP="005B6E9E">
      <w:pPr>
        <w:autoSpaceDE w:val="0"/>
        <w:autoSpaceDN w:val="0"/>
        <w:adjustRightInd w:val="0"/>
        <w:spacing w:after="120"/>
        <w:rPr>
          <w:sz w:val="22"/>
          <w:szCs w:val="22"/>
        </w:rPr>
      </w:pPr>
      <w:r>
        <w:rPr>
          <w:sz w:val="22"/>
          <w:szCs w:val="22"/>
        </w:rPr>
        <w:t>β</w:t>
      </w:r>
      <w:r>
        <w:rPr>
          <w:sz w:val="22"/>
          <w:szCs w:val="22"/>
          <w:vertAlign w:val="subscript"/>
        </w:rPr>
        <w:t>3</w:t>
      </w:r>
      <w:r>
        <w:rPr>
          <w:sz w:val="22"/>
          <w:szCs w:val="22"/>
        </w:rPr>
        <w:t xml:space="preserve"> is the difference in the log</w:t>
      </w:r>
      <w:r w:rsidR="008270AB">
        <w:rPr>
          <w:sz w:val="22"/>
          <w:szCs w:val="22"/>
        </w:rPr>
        <w:t xml:space="preserve"> hazard </w:t>
      </w:r>
      <w:r>
        <w:rPr>
          <w:sz w:val="22"/>
          <w:szCs w:val="22"/>
        </w:rPr>
        <w:t>of death when the LDL is 130 - 159 mg/dL compared to when the LDL is &lt; 70 mg/dL (</w:t>
      </w:r>
      <w:r w:rsidR="00365FD5">
        <w:rPr>
          <w:sz w:val="22"/>
          <w:szCs w:val="22"/>
        </w:rPr>
        <w:t>i.e. log hazard (death | ldl130) – log hazard (death | ldl0</w:t>
      </w:r>
      <w:r>
        <w:rPr>
          <w:sz w:val="22"/>
          <w:szCs w:val="22"/>
        </w:rPr>
        <w:t>).</w:t>
      </w:r>
    </w:p>
    <w:p w:rsidR="005B6E9E" w:rsidRDefault="005B6E9E" w:rsidP="005B6E9E">
      <w:pPr>
        <w:autoSpaceDE w:val="0"/>
        <w:autoSpaceDN w:val="0"/>
        <w:adjustRightInd w:val="0"/>
        <w:spacing w:after="120"/>
        <w:rPr>
          <w:sz w:val="22"/>
          <w:szCs w:val="22"/>
        </w:rPr>
      </w:pPr>
      <w:r>
        <w:rPr>
          <w:sz w:val="22"/>
          <w:szCs w:val="22"/>
        </w:rPr>
        <w:t>e^β</w:t>
      </w:r>
      <w:r>
        <w:rPr>
          <w:sz w:val="22"/>
          <w:szCs w:val="22"/>
          <w:vertAlign w:val="subscript"/>
        </w:rPr>
        <w:t>3</w:t>
      </w:r>
      <w:r>
        <w:rPr>
          <w:sz w:val="22"/>
          <w:szCs w:val="22"/>
        </w:rPr>
        <w:t xml:space="preserve"> = 0.2939</w:t>
      </w:r>
      <w:r w:rsidRPr="00450462">
        <w:rPr>
          <w:sz w:val="22"/>
          <w:szCs w:val="22"/>
        </w:rPr>
        <w:t xml:space="preserve"> </w:t>
      </w:r>
      <w:r>
        <w:rPr>
          <w:sz w:val="22"/>
          <w:szCs w:val="22"/>
        </w:rPr>
        <w:t xml:space="preserve">is the HR of death when the LDL is 130 – 159 mg/dL compared to LDL &lt; 70 mg/dL (i.e. hazard (death | LDL 130 – 159) / hazard (death | LDL &lt; 70).  </w:t>
      </w:r>
    </w:p>
    <w:p w:rsidR="005B6E9E" w:rsidRDefault="005B6E9E" w:rsidP="005B6E9E">
      <w:pPr>
        <w:autoSpaceDE w:val="0"/>
        <w:autoSpaceDN w:val="0"/>
        <w:adjustRightInd w:val="0"/>
        <w:spacing w:after="120"/>
        <w:rPr>
          <w:sz w:val="22"/>
          <w:szCs w:val="22"/>
        </w:rPr>
      </w:pPr>
      <w:r>
        <w:rPr>
          <w:sz w:val="22"/>
          <w:szCs w:val="22"/>
        </w:rPr>
        <w:t>β</w:t>
      </w:r>
      <w:r>
        <w:rPr>
          <w:sz w:val="22"/>
          <w:szCs w:val="22"/>
          <w:vertAlign w:val="subscript"/>
        </w:rPr>
        <w:t>4</w:t>
      </w:r>
      <w:r w:rsidR="008270AB">
        <w:rPr>
          <w:sz w:val="22"/>
          <w:szCs w:val="22"/>
        </w:rPr>
        <w:t xml:space="preserve"> is the difference in the log </w:t>
      </w:r>
      <w:r>
        <w:rPr>
          <w:sz w:val="22"/>
          <w:szCs w:val="22"/>
        </w:rPr>
        <w:t>hazard of death when the LDL is 160 - 189 mg/dL compared to when the LDL is &lt; 70 mg/dL (</w:t>
      </w:r>
      <w:r w:rsidR="00365FD5">
        <w:rPr>
          <w:sz w:val="22"/>
          <w:szCs w:val="22"/>
        </w:rPr>
        <w:t>i.e. log hazard (death | ldl160) – log hazard (death | ldl0</w:t>
      </w:r>
      <w:r>
        <w:rPr>
          <w:sz w:val="22"/>
          <w:szCs w:val="22"/>
        </w:rPr>
        <w:t>).</w:t>
      </w:r>
    </w:p>
    <w:p w:rsidR="005B6E9E" w:rsidRPr="00FA468C" w:rsidRDefault="005B6E9E" w:rsidP="005B6E9E">
      <w:pPr>
        <w:autoSpaceDE w:val="0"/>
        <w:autoSpaceDN w:val="0"/>
        <w:adjustRightInd w:val="0"/>
        <w:spacing w:after="120"/>
        <w:rPr>
          <w:sz w:val="22"/>
          <w:szCs w:val="22"/>
        </w:rPr>
      </w:pPr>
      <w:r>
        <w:rPr>
          <w:sz w:val="22"/>
          <w:szCs w:val="22"/>
        </w:rPr>
        <w:t>e^β</w:t>
      </w:r>
      <w:r>
        <w:rPr>
          <w:sz w:val="22"/>
          <w:szCs w:val="22"/>
          <w:vertAlign w:val="subscript"/>
        </w:rPr>
        <w:t>4</w:t>
      </w:r>
      <w:r>
        <w:rPr>
          <w:sz w:val="22"/>
          <w:szCs w:val="22"/>
        </w:rPr>
        <w:t xml:space="preserve"> = 0.2565</w:t>
      </w:r>
      <w:r w:rsidRPr="00450462">
        <w:rPr>
          <w:sz w:val="22"/>
          <w:szCs w:val="22"/>
        </w:rPr>
        <w:t xml:space="preserve"> </w:t>
      </w:r>
      <w:r>
        <w:rPr>
          <w:sz w:val="22"/>
          <w:szCs w:val="22"/>
        </w:rPr>
        <w:t xml:space="preserve">is the HR of death when the LDL is 160 – 189 mg/dL compared to LDL &lt; 70 mg/dL (i.e. hazard (death | LDL 160 – 189) / hazard (death | LDL &lt; 70).  </w:t>
      </w:r>
    </w:p>
    <w:p w:rsidR="005B6E9E" w:rsidRDefault="005B6E9E" w:rsidP="005B6E9E">
      <w:pPr>
        <w:autoSpaceDE w:val="0"/>
        <w:autoSpaceDN w:val="0"/>
        <w:adjustRightInd w:val="0"/>
        <w:spacing w:after="120"/>
        <w:rPr>
          <w:sz w:val="22"/>
          <w:szCs w:val="22"/>
        </w:rPr>
      </w:pPr>
      <w:r>
        <w:rPr>
          <w:sz w:val="22"/>
          <w:szCs w:val="22"/>
        </w:rPr>
        <w:t>β</w:t>
      </w:r>
      <w:r>
        <w:rPr>
          <w:sz w:val="22"/>
          <w:szCs w:val="22"/>
          <w:vertAlign w:val="subscript"/>
        </w:rPr>
        <w:t>5</w:t>
      </w:r>
      <w:r>
        <w:rPr>
          <w:sz w:val="22"/>
          <w:szCs w:val="22"/>
        </w:rPr>
        <w:t xml:space="preserve"> is the difference in the log</w:t>
      </w:r>
      <w:r w:rsidR="008270AB">
        <w:rPr>
          <w:sz w:val="22"/>
          <w:szCs w:val="22"/>
        </w:rPr>
        <w:t xml:space="preserve"> </w:t>
      </w:r>
      <w:r>
        <w:rPr>
          <w:sz w:val="22"/>
          <w:szCs w:val="22"/>
        </w:rPr>
        <w:t>hazard of death when the LDL &gt; 190 mg/dL compared to when the LDL is &lt; 70 mg/dL (</w:t>
      </w:r>
      <w:r w:rsidR="00365FD5">
        <w:rPr>
          <w:sz w:val="22"/>
          <w:szCs w:val="22"/>
        </w:rPr>
        <w:t>i.e. log hazard (death | ldl190) – log hazard (death | ldl0</w:t>
      </w:r>
      <w:r>
        <w:rPr>
          <w:sz w:val="22"/>
          <w:szCs w:val="22"/>
        </w:rPr>
        <w:t>).</w:t>
      </w:r>
    </w:p>
    <w:p w:rsidR="008C21D4" w:rsidRDefault="005B6E9E" w:rsidP="008C21D4">
      <w:pPr>
        <w:autoSpaceDE w:val="0"/>
        <w:autoSpaceDN w:val="0"/>
        <w:adjustRightInd w:val="0"/>
        <w:spacing w:after="120"/>
        <w:rPr>
          <w:sz w:val="22"/>
          <w:szCs w:val="22"/>
        </w:rPr>
      </w:pPr>
      <w:r>
        <w:rPr>
          <w:sz w:val="22"/>
          <w:szCs w:val="22"/>
        </w:rPr>
        <w:t>e^β</w:t>
      </w:r>
      <w:r>
        <w:rPr>
          <w:sz w:val="22"/>
          <w:szCs w:val="22"/>
          <w:vertAlign w:val="subscript"/>
        </w:rPr>
        <w:t>5</w:t>
      </w:r>
      <w:r>
        <w:rPr>
          <w:sz w:val="22"/>
          <w:szCs w:val="22"/>
        </w:rPr>
        <w:t xml:space="preserve"> = 0.3167</w:t>
      </w:r>
      <w:r w:rsidRPr="00450462">
        <w:rPr>
          <w:sz w:val="22"/>
          <w:szCs w:val="22"/>
        </w:rPr>
        <w:t xml:space="preserve"> </w:t>
      </w:r>
      <w:r>
        <w:rPr>
          <w:sz w:val="22"/>
          <w:szCs w:val="22"/>
        </w:rPr>
        <w:t xml:space="preserve">is the HR of death when the LDL is &gt; 190 mg/dL compared to LDL &lt; 70 mg/dL (i.e. hazard (death | LDL &gt; 190mg/dL) / hazard (death | LDL &lt; 70).  </w:t>
      </w:r>
      <w:r w:rsidR="008C21D4">
        <w:rPr>
          <w:sz w:val="22"/>
          <w:szCs w:val="22"/>
        </w:rPr>
        <w:t xml:space="preserve"> </w:t>
      </w:r>
    </w:p>
    <w:p w:rsidR="00A04727" w:rsidRDefault="00A04727" w:rsidP="009A4A1E">
      <w:pPr>
        <w:numPr>
          <w:ilvl w:val="1"/>
          <w:numId w:val="19"/>
        </w:numPr>
        <w:autoSpaceDE w:val="0"/>
        <w:autoSpaceDN w:val="0"/>
        <w:adjustRightInd w:val="0"/>
        <w:spacing w:after="120"/>
        <w:rPr>
          <w:sz w:val="22"/>
          <w:szCs w:val="22"/>
        </w:rPr>
      </w:pPr>
      <w:commentRangeStart w:id="29"/>
      <w:r>
        <w:rPr>
          <w:sz w:val="22"/>
          <w:szCs w:val="22"/>
        </w:rPr>
        <w:lastRenderedPageBreak/>
        <w:t>What</w:t>
      </w:r>
      <w:commentRangeEnd w:id="29"/>
      <w:r w:rsidR="00DA01FA">
        <w:rPr>
          <w:rStyle w:val="CommentReference"/>
        </w:rPr>
        <w:commentReference w:id="29"/>
      </w:r>
      <w:r>
        <w:rPr>
          <w:sz w:val="22"/>
          <w:szCs w:val="22"/>
        </w:rPr>
        <w:t xml:space="preserve"> analysis would you perform to assess whether the regression model used in this problem provides a “better fit” than does a model that uses only a continuous linear term for LDL? What is the result of such an analysis?</w:t>
      </w:r>
    </w:p>
    <w:p w:rsidR="00E4134B" w:rsidRDefault="005B6E9E" w:rsidP="008C21D4">
      <w:pPr>
        <w:autoSpaceDE w:val="0"/>
        <w:autoSpaceDN w:val="0"/>
        <w:adjustRightInd w:val="0"/>
        <w:spacing w:after="120"/>
        <w:rPr>
          <w:sz w:val="22"/>
          <w:szCs w:val="22"/>
        </w:rPr>
      </w:pPr>
      <w:r>
        <w:rPr>
          <w:sz w:val="22"/>
          <w:szCs w:val="22"/>
        </w:rPr>
        <w:t xml:space="preserve">To assess whether the regression model for hazard ratio for death given LDL with LDL modelled with dummy variables is a “better fit” than does a model that </w:t>
      </w:r>
      <w:r w:rsidR="00941A6B">
        <w:rPr>
          <w:sz w:val="22"/>
          <w:szCs w:val="22"/>
        </w:rPr>
        <w:t>uses on</w:t>
      </w:r>
      <w:r>
        <w:rPr>
          <w:sz w:val="22"/>
          <w:szCs w:val="22"/>
        </w:rPr>
        <w:t xml:space="preserve">ly a continuous linear term for LDL, I would put a linear term into the model as assess if the </w:t>
      </w:r>
      <w:r w:rsidR="008C21D4">
        <w:rPr>
          <w:sz w:val="22"/>
          <w:szCs w:val="22"/>
        </w:rPr>
        <w:t xml:space="preserve">slopes are equal to zero using post-estimation commands.  </w:t>
      </w:r>
      <w:r w:rsidR="00A61E88">
        <w:rPr>
          <w:sz w:val="22"/>
          <w:szCs w:val="22"/>
        </w:rPr>
        <w:t xml:space="preserve">We should reject the null hypothesis that the model based on dummy variables </w:t>
      </w:r>
      <w:r w:rsidR="00E4134B">
        <w:rPr>
          <w:sz w:val="22"/>
          <w:szCs w:val="22"/>
        </w:rPr>
        <w:t xml:space="preserve">of categorization by the May Clinic cutoffs </w:t>
      </w:r>
      <w:r w:rsidR="00A61E88">
        <w:rPr>
          <w:sz w:val="22"/>
          <w:szCs w:val="22"/>
        </w:rPr>
        <w:t>is different from a linear model (</w:t>
      </w:r>
      <w:commentRangeStart w:id="30"/>
      <w:r w:rsidR="00A61E88">
        <w:rPr>
          <w:sz w:val="22"/>
          <w:szCs w:val="22"/>
        </w:rPr>
        <w:t>p = 0.0089</w:t>
      </w:r>
      <w:commentRangeEnd w:id="30"/>
      <w:r w:rsidR="00DA01FA">
        <w:rPr>
          <w:rStyle w:val="CommentReference"/>
        </w:rPr>
        <w:commentReference w:id="30"/>
      </w:r>
      <w:r w:rsidR="00A61E88">
        <w:rPr>
          <w:sz w:val="22"/>
          <w:szCs w:val="22"/>
        </w:rPr>
        <w:t xml:space="preserve">), i.e. we </w:t>
      </w:r>
      <w:r w:rsidR="00E4134B">
        <w:rPr>
          <w:sz w:val="22"/>
          <w:szCs w:val="22"/>
        </w:rPr>
        <w:t>favor the alternative hypothesis that the model is non-linear</w:t>
      </w:r>
      <w:r w:rsidR="00A61E88">
        <w:rPr>
          <w:sz w:val="22"/>
          <w:szCs w:val="22"/>
        </w:rPr>
        <w:t>.</w:t>
      </w:r>
    </w:p>
    <w:p w:rsidR="008C21D4" w:rsidRDefault="00E4134B" w:rsidP="008C21D4">
      <w:pPr>
        <w:autoSpaceDE w:val="0"/>
        <w:autoSpaceDN w:val="0"/>
        <w:adjustRightInd w:val="0"/>
        <w:spacing w:after="120"/>
        <w:rPr>
          <w:sz w:val="22"/>
          <w:szCs w:val="22"/>
        </w:rPr>
      </w:pPr>
      <w:r>
        <w:rPr>
          <w:sz w:val="22"/>
          <w:szCs w:val="22"/>
        </w:rPr>
        <w:t>We should reject the null hypothesis that the model based on splines of LDL using the Mayo Clinic cutoffs is the same as a linear model (p&lt;</w:t>
      </w:r>
      <w:r w:rsidRPr="00E4134B">
        <w:rPr>
          <w:sz w:val="22"/>
          <w:szCs w:val="22"/>
        </w:rPr>
        <w:t xml:space="preserve"> 0.000</w:t>
      </w:r>
      <w:r>
        <w:rPr>
          <w:sz w:val="22"/>
          <w:szCs w:val="22"/>
        </w:rPr>
        <w:t>1), i.e. we favor the alternative hypothesis that the model is non-linear.</w:t>
      </w:r>
      <w:r w:rsidR="00A61E88">
        <w:rPr>
          <w:sz w:val="22"/>
          <w:szCs w:val="22"/>
        </w:rPr>
        <w:t xml:space="preserve">  </w:t>
      </w:r>
    </w:p>
    <w:p w:rsidR="00125DD5" w:rsidRDefault="00A459C8" w:rsidP="009A4A1E">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w:t>
      </w:r>
      <w:r w:rsidR="00A620A3">
        <w:rPr>
          <w:sz w:val="22"/>
          <w:szCs w:val="22"/>
        </w:rPr>
        <w:t xml:space="preserve">(This will be used in problem 4). </w:t>
      </w:r>
      <w:r w:rsidR="003205A5">
        <w:rPr>
          <w:sz w:val="22"/>
          <w:szCs w:val="22"/>
        </w:rPr>
        <w:t>This can be effected by generating fitted hazard ratio estimates for each individual in the sample, and then dividing that fitted value by the fitted value for a subject having a LDL of 160 mg/dL.</w:t>
      </w:r>
      <w:r>
        <w:rPr>
          <w:rFonts w:ascii="Courier New" w:hAnsi="Courier New" w:cs="Courier New"/>
          <w:sz w:val="22"/>
          <w:szCs w:val="22"/>
        </w:rPr>
        <w:t xml:space="preserve"> </w:t>
      </w:r>
      <w:r w:rsidR="00BF5CB8">
        <w:rPr>
          <w:sz w:val="22"/>
          <w:szCs w:val="22"/>
        </w:rPr>
        <w:t xml:space="preserve"> </w:t>
      </w:r>
    </w:p>
    <w:p w:rsidR="003205A5" w:rsidRDefault="003205A5" w:rsidP="00B3230F">
      <w:pPr>
        <w:numPr>
          <w:ilvl w:val="0"/>
          <w:numId w:val="19"/>
        </w:numPr>
        <w:autoSpaceDE w:val="0"/>
        <w:autoSpaceDN w:val="0"/>
        <w:adjustRightInd w:val="0"/>
        <w:spacing w:after="120"/>
        <w:rPr>
          <w:sz w:val="22"/>
          <w:szCs w:val="22"/>
        </w:rPr>
      </w:pPr>
      <w:commentRangeStart w:id="31"/>
      <w:r w:rsidRPr="009D5804">
        <w:rPr>
          <w:sz w:val="22"/>
          <w:szCs w:val="22"/>
        </w:rPr>
        <w:t>Perform</w:t>
      </w:r>
      <w:commentRangeEnd w:id="31"/>
      <w:r w:rsidR="00BE479F">
        <w:rPr>
          <w:rStyle w:val="CommentReference"/>
        </w:rPr>
        <w:commentReference w:id="31"/>
      </w:r>
      <w:r w:rsidRPr="009D5804">
        <w:rPr>
          <w:sz w:val="22"/>
          <w:szCs w:val="22"/>
        </w:rPr>
        <w:t xml:space="preserve">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Stata </w:t>
      </w:r>
      <w:r>
        <w:rPr>
          <w:rFonts w:ascii="Courier New" w:hAnsi="Courier New" w:cs="Courier New"/>
          <w:sz w:val="22"/>
          <w:szCs w:val="22"/>
        </w:rPr>
        <w:t>mkspline</w:t>
      </w:r>
      <w:r>
        <w:rPr>
          <w:sz w:val="22"/>
          <w:szCs w:val="22"/>
        </w:rPr>
        <w:t xml:space="preserve"> command can be used to </w:t>
      </w:r>
      <w:r w:rsidR="00A04727">
        <w:rPr>
          <w:sz w:val="22"/>
          <w:szCs w:val="22"/>
        </w:rPr>
        <w:t>create the predictors that can be used in a regression</w:t>
      </w:r>
    </w:p>
    <w:p w:rsidR="003205A5" w:rsidRPr="00A04727" w:rsidRDefault="003205A5" w:rsidP="003205A5">
      <w:pPr>
        <w:autoSpaceDE w:val="0"/>
        <w:autoSpaceDN w:val="0"/>
        <w:adjustRightInd w:val="0"/>
        <w:spacing w:after="120"/>
        <w:ind w:left="360"/>
        <w:jc w:val="center"/>
      </w:pPr>
      <w:r w:rsidRPr="00A04727">
        <w:rPr>
          <w:rFonts w:ascii="Courier New" w:hAnsi="Courier New" w:cs="Courier New"/>
        </w:rPr>
        <w:t>mkspline ldl0 70 ldl70 100 ldl100 130 ldl130 160 ldl160 190 ldl190 = ldl</w:t>
      </w:r>
    </w:p>
    <w:p w:rsidR="003205A5" w:rsidRDefault="003205A5" w:rsidP="009A4A1E">
      <w:pPr>
        <w:numPr>
          <w:ilvl w:val="1"/>
          <w:numId w:val="19"/>
        </w:numPr>
        <w:autoSpaceDE w:val="0"/>
        <w:autoSpaceDN w:val="0"/>
        <w:adjustRightInd w:val="0"/>
        <w:spacing w:after="120"/>
        <w:rPr>
          <w:sz w:val="22"/>
          <w:szCs w:val="22"/>
        </w:rPr>
      </w:pPr>
      <w:commentRangeStart w:id="32"/>
      <w:r>
        <w:rPr>
          <w:sz w:val="22"/>
          <w:szCs w:val="22"/>
        </w:rPr>
        <w:t>Include</w:t>
      </w:r>
      <w:commentRangeEnd w:id="32"/>
      <w:r w:rsidR="00BE479F">
        <w:rPr>
          <w:rStyle w:val="CommentReference"/>
        </w:rPr>
        <w:commentReference w:id="32"/>
      </w:r>
      <w:r>
        <w:rPr>
          <w:sz w:val="22"/>
          <w:szCs w:val="22"/>
        </w:rPr>
        <w:t xml:space="preserve"> full description of your methods, appropriate descriptive statistics, and full report of your inferential statistics.</w:t>
      </w:r>
    </w:p>
    <w:p w:rsidR="00A42955" w:rsidRDefault="00AB4C41" w:rsidP="00A42955">
      <w:pPr>
        <w:autoSpaceDE w:val="0"/>
        <w:autoSpaceDN w:val="0"/>
        <w:adjustRightInd w:val="0"/>
        <w:rPr>
          <w:bCs/>
          <w:sz w:val="22"/>
          <w:szCs w:val="22"/>
        </w:rPr>
      </w:pPr>
      <w:commentRangeStart w:id="33"/>
      <w:r w:rsidRPr="00A42955">
        <w:rPr>
          <w:sz w:val="22"/>
          <w:szCs w:val="22"/>
          <w:u w:val="single"/>
        </w:rPr>
        <w:t>Methods</w:t>
      </w:r>
      <w:commentRangeEnd w:id="33"/>
      <w:r w:rsidR="00BE479F">
        <w:rPr>
          <w:rStyle w:val="CommentReference"/>
        </w:rPr>
        <w:commentReference w:id="33"/>
      </w:r>
      <w:commentRangeStart w:id="34"/>
      <w:r>
        <w:rPr>
          <w:sz w:val="22"/>
          <w:szCs w:val="22"/>
        </w:rPr>
        <w:t xml:space="preserve">: </w:t>
      </w:r>
      <w:r w:rsidR="00A42955">
        <w:rPr>
          <w:sz w:val="22"/>
          <w:szCs w:val="22"/>
        </w:rPr>
        <w:t>See above for descriptive statistics</w:t>
      </w:r>
      <w:commentRangeEnd w:id="34"/>
      <w:r w:rsidR="00BE479F">
        <w:rPr>
          <w:rStyle w:val="CommentReference"/>
        </w:rPr>
        <w:commentReference w:id="34"/>
      </w:r>
      <w:r w:rsidR="00A42955">
        <w:rPr>
          <w:sz w:val="22"/>
          <w:szCs w:val="22"/>
        </w:rPr>
        <w:t xml:space="preserve">.   </w:t>
      </w:r>
      <w:r w:rsidR="00A42955" w:rsidRPr="00F76D7D">
        <w:rPr>
          <w:sz w:val="22"/>
          <w:szCs w:val="22"/>
        </w:rPr>
        <w:t xml:space="preserve">To examine the association between </w:t>
      </w:r>
      <w:r w:rsidR="00A42955">
        <w:rPr>
          <w:sz w:val="22"/>
          <w:szCs w:val="22"/>
        </w:rPr>
        <w:t xml:space="preserve">all-cause mortality and serum LDL, </w:t>
      </w:r>
      <w:r w:rsidR="00A42955">
        <w:rPr>
          <w:bCs/>
          <w:sz w:val="22"/>
          <w:szCs w:val="22"/>
        </w:rPr>
        <w:t>the d</w:t>
      </w:r>
      <w:r w:rsidR="00A42955" w:rsidRPr="00615D3A">
        <w:rPr>
          <w:bCs/>
          <w:sz w:val="22"/>
          <w:szCs w:val="22"/>
        </w:rPr>
        <w:t>istributions of time to death from any cause was</w:t>
      </w:r>
      <w:r w:rsidR="00A42955">
        <w:rPr>
          <w:bCs/>
          <w:sz w:val="22"/>
          <w:szCs w:val="22"/>
        </w:rPr>
        <w:t xml:space="preserve"> </w:t>
      </w:r>
      <w:r w:rsidR="00A42955" w:rsidRPr="00615D3A">
        <w:rPr>
          <w:bCs/>
          <w:sz w:val="22"/>
          <w:szCs w:val="22"/>
        </w:rPr>
        <w:t>compared across groups defined by serum LDL at baseline using proportional hazards regression</w:t>
      </w:r>
      <w:r w:rsidR="00A42955">
        <w:rPr>
          <w:bCs/>
          <w:sz w:val="22"/>
          <w:szCs w:val="22"/>
        </w:rPr>
        <w:t xml:space="preserve"> </w:t>
      </w:r>
      <w:r w:rsidR="00A42955" w:rsidRPr="00615D3A">
        <w:rPr>
          <w:bCs/>
          <w:sz w:val="22"/>
          <w:szCs w:val="22"/>
        </w:rPr>
        <w:t xml:space="preserve">modeling serum LDL </w:t>
      </w:r>
      <w:r w:rsidR="00A42955">
        <w:rPr>
          <w:sz w:val="22"/>
          <w:szCs w:val="22"/>
        </w:rPr>
        <w:t>with splines using the categories suggested by the Mayo Clinic (as above)</w:t>
      </w:r>
      <w:r w:rsidR="00A42955" w:rsidRPr="00615D3A">
        <w:rPr>
          <w:bCs/>
          <w:sz w:val="22"/>
          <w:szCs w:val="22"/>
        </w:rPr>
        <w:t>. Quantification of association</w:t>
      </w:r>
      <w:r w:rsidR="00A42955">
        <w:rPr>
          <w:bCs/>
          <w:sz w:val="22"/>
          <w:szCs w:val="22"/>
        </w:rPr>
        <w:t xml:space="preserve"> </w:t>
      </w:r>
      <w:r w:rsidR="00A42955" w:rsidRPr="00615D3A">
        <w:rPr>
          <w:bCs/>
          <w:sz w:val="22"/>
          <w:szCs w:val="22"/>
        </w:rPr>
        <w:t>between all</w:t>
      </w:r>
      <w:r w:rsidR="00A42955">
        <w:rPr>
          <w:bCs/>
          <w:sz w:val="22"/>
          <w:szCs w:val="22"/>
        </w:rPr>
        <w:t>-</w:t>
      </w:r>
      <w:r w:rsidR="00A42955" w:rsidRPr="00615D3A">
        <w:rPr>
          <w:bCs/>
          <w:sz w:val="22"/>
          <w:szCs w:val="22"/>
        </w:rPr>
        <w:t>cause mortality was summarized by the hazards ratio computed from the regression</w:t>
      </w:r>
      <w:r w:rsidR="00A42955">
        <w:rPr>
          <w:bCs/>
          <w:sz w:val="22"/>
          <w:szCs w:val="22"/>
        </w:rPr>
        <w:t xml:space="preserve"> </w:t>
      </w:r>
      <w:r w:rsidR="00A42955" w:rsidRPr="00615D3A">
        <w:rPr>
          <w:bCs/>
          <w:sz w:val="22"/>
          <w:szCs w:val="22"/>
        </w:rPr>
        <w:t xml:space="preserve">model, </w:t>
      </w:r>
      <w:r w:rsidR="00662683">
        <w:rPr>
          <w:bCs/>
          <w:sz w:val="22"/>
          <w:szCs w:val="22"/>
        </w:rPr>
        <w:t>for each 10 point</w:t>
      </w:r>
      <w:r w:rsidR="00955043">
        <w:rPr>
          <w:bCs/>
          <w:sz w:val="22"/>
          <w:szCs w:val="22"/>
        </w:rPr>
        <w:t xml:space="preserve"> rise in serum LDL within the range of the spline.  Inference was made w</w:t>
      </w:r>
      <w:r w:rsidR="00A42955" w:rsidRPr="00615D3A">
        <w:rPr>
          <w:bCs/>
          <w:sz w:val="22"/>
          <w:szCs w:val="22"/>
        </w:rPr>
        <w:t xml:space="preserve">ith two-sided p values computed using </w:t>
      </w:r>
      <w:commentRangeStart w:id="35"/>
      <w:r w:rsidR="00A42955" w:rsidRPr="00615D3A">
        <w:rPr>
          <w:bCs/>
          <w:sz w:val="22"/>
          <w:szCs w:val="22"/>
        </w:rPr>
        <w:t>Wald</w:t>
      </w:r>
      <w:commentRangeEnd w:id="35"/>
      <w:r w:rsidR="00BE479F">
        <w:rPr>
          <w:rStyle w:val="CommentReference"/>
        </w:rPr>
        <w:commentReference w:id="35"/>
      </w:r>
      <w:r w:rsidR="00A42955" w:rsidRPr="00615D3A">
        <w:rPr>
          <w:bCs/>
          <w:sz w:val="22"/>
          <w:szCs w:val="22"/>
        </w:rPr>
        <w:t xml:space="preserve"> </w:t>
      </w:r>
      <w:r w:rsidR="00A42955">
        <w:rPr>
          <w:bCs/>
          <w:sz w:val="22"/>
          <w:szCs w:val="22"/>
        </w:rPr>
        <w:t xml:space="preserve">Chi-squared </w:t>
      </w:r>
      <w:r w:rsidR="00A42955" w:rsidRPr="00615D3A">
        <w:rPr>
          <w:bCs/>
          <w:sz w:val="22"/>
          <w:szCs w:val="22"/>
        </w:rPr>
        <w:t>statistic. Subjects missing data for serum LDL at the time of study accrual</w:t>
      </w:r>
      <w:r w:rsidR="00A42955">
        <w:rPr>
          <w:bCs/>
          <w:sz w:val="22"/>
          <w:szCs w:val="22"/>
        </w:rPr>
        <w:t xml:space="preserve"> </w:t>
      </w:r>
      <w:r w:rsidR="00A42955" w:rsidRPr="00615D3A">
        <w:rPr>
          <w:bCs/>
          <w:sz w:val="22"/>
          <w:szCs w:val="22"/>
        </w:rPr>
        <w:t>were omitted from the analysis.</w:t>
      </w:r>
      <w:r w:rsidR="00A42955">
        <w:rPr>
          <w:bCs/>
          <w:sz w:val="22"/>
          <w:szCs w:val="22"/>
        </w:rPr>
        <w:t xml:space="preserve"> </w:t>
      </w:r>
    </w:p>
    <w:p w:rsidR="00955043" w:rsidRDefault="00955043" w:rsidP="00A42955">
      <w:pPr>
        <w:autoSpaceDE w:val="0"/>
        <w:autoSpaceDN w:val="0"/>
        <w:adjustRightInd w:val="0"/>
        <w:rPr>
          <w:bCs/>
          <w:sz w:val="22"/>
          <w:szCs w:val="22"/>
        </w:rPr>
      </w:pPr>
    </w:p>
    <w:p w:rsidR="00955043" w:rsidRDefault="00AB4C41" w:rsidP="00A42955">
      <w:pPr>
        <w:autoSpaceDE w:val="0"/>
        <w:autoSpaceDN w:val="0"/>
        <w:adjustRightInd w:val="0"/>
        <w:spacing w:after="120"/>
        <w:rPr>
          <w:sz w:val="22"/>
          <w:szCs w:val="22"/>
        </w:rPr>
      </w:pPr>
      <w:commentRangeStart w:id="36"/>
      <w:r w:rsidRPr="00A42955">
        <w:rPr>
          <w:sz w:val="22"/>
          <w:szCs w:val="22"/>
          <w:u w:val="single"/>
        </w:rPr>
        <w:t>Inference</w:t>
      </w:r>
      <w:commentRangeEnd w:id="36"/>
      <w:r w:rsidR="00BE479F">
        <w:rPr>
          <w:rStyle w:val="CommentReference"/>
        </w:rPr>
        <w:commentReference w:id="36"/>
      </w:r>
      <w:r>
        <w:rPr>
          <w:sz w:val="22"/>
          <w:szCs w:val="22"/>
        </w:rPr>
        <w:t xml:space="preserve">: </w:t>
      </w:r>
      <w:commentRangeStart w:id="37"/>
      <w:r w:rsidR="00A42955">
        <w:rPr>
          <w:sz w:val="22"/>
          <w:szCs w:val="22"/>
        </w:rPr>
        <w:t>Descriptive</w:t>
      </w:r>
      <w:commentRangeEnd w:id="37"/>
      <w:r w:rsidR="007C6B71">
        <w:rPr>
          <w:rStyle w:val="CommentReference"/>
        </w:rPr>
        <w:commentReference w:id="37"/>
      </w:r>
      <w:r w:rsidR="00A42955">
        <w:rPr>
          <w:sz w:val="22"/>
          <w:szCs w:val="22"/>
        </w:rPr>
        <w:t xml:space="preserve"> statistics are given above.  Using </w:t>
      </w:r>
      <w:r w:rsidR="00121253">
        <w:rPr>
          <w:sz w:val="22"/>
          <w:szCs w:val="22"/>
        </w:rPr>
        <w:t xml:space="preserve">the </w:t>
      </w:r>
      <w:r w:rsidR="00A42955">
        <w:rPr>
          <w:sz w:val="22"/>
          <w:szCs w:val="22"/>
        </w:rPr>
        <w:t>proportional hazards regression model, the HR for death in those subject</w:t>
      </w:r>
      <w:r w:rsidR="00C71D98">
        <w:rPr>
          <w:sz w:val="22"/>
          <w:szCs w:val="22"/>
        </w:rPr>
        <w:t>s</w:t>
      </w:r>
      <w:r w:rsidR="00A42955">
        <w:rPr>
          <w:sz w:val="22"/>
          <w:szCs w:val="22"/>
        </w:rPr>
        <w:t xml:space="preserve"> with baseline </w:t>
      </w:r>
      <w:r w:rsidR="00955043">
        <w:rPr>
          <w:sz w:val="22"/>
          <w:szCs w:val="22"/>
        </w:rPr>
        <w:t xml:space="preserve">serum </w:t>
      </w:r>
      <w:r w:rsidR="00A42955">
        <w:rPr>
          <w:sz w:val="22"/>
          <w:szCs w:val="22"/>
        </w:rPr>
        <w:t>LDL</w:t>
      </w:r>
      <w:r w:rsidR="00C71D98">
        <w:rPr>
          <w:sz w:val="22"/>
          <w:szCs w:val="22"/>
        </w:rPr>
        <w:t xml:space="preserve"> &lt; 70 mg/dL is 0.</w:t>
      </w:r>
      <w:r w:rsidR="00955043">
        <w:rPr>
          <w:sz w:val="22"/>
          <w:szCs w:val="22"/>
        </w:rPr>
        <w:t xml:space="preserve">8014 for each 10 mg/dL increase from the lower group.  The HR for death in those subjects with baseline serum LDL 70 – 99 mg/dL is </w:t>
      </w:r>
      <w:commentRangeStart w:id="38"/>
      <w:r w:rsidR="00955043">
        <w:rPr>
          <w:sz w:val="22"/>
          <w:szCs w:val="22"/>
        </w:rPr>
        <w:t>0</w:t>
      </w:r>
      <w:commentRangeEnd w:id="38"/>
      <w:r w:rsidR="007C6B71">
        <w:rPr>
          <w:rStyle w:val="CommentReference"/>
        </w:rPr>
        <w:commentReference w:id="38"/>
      </w:r>
      <w:r w:rsidR="00955043">
        <w:rPr>
          <w:sz w:val="22"/>
          <w:szCs w:val="22"/>
        </w:rPr>
        <w:t xml:space="preserve">.8148 for each 10 mg/dL increase from the lower group.  The HR for death in those subjects with baseline serum LDL 100 – 129 mg/dL is 0.9773 for each 10 mg/dL increase from the lower group.  The HR for death in those subjects with baseline serum LDL 130 – 159 mg/dL is 1.0367 for each 10 mg/dL increase from the lower group.  The HR for death in those subjects with baseline serum LDL 160 – 189 mg/dL is 0.7444 for each 10 mg/dL increase from the lower group.  The HR for death in those subjects with baseline serum LDL &gt; 190 mg/dL is 1.3284 for each 10 mg/dL increase from the lower group.  </w:t>
      </w:r>
    </w:p>
    <w:p w:rsidR="00A04727" w:rsidRDefault="003205A5" w:rsidP="009A4A1E">
      <w:pPr>
        <w:numPr>
          <w:ilvl w:val="1"/>
          <w:numId w:val="19"/>
        </w:numPr>
        <w:autoSpaceDE w:val="0"/>
        <w:autoSpaceDN w:val="0"/>
        <w:adjustRightInd w:val="0"/>
        <w:spacing w:after="120"/>
        <w:rPr>
          <w:sz w:val="22"/>
          <w:szCs w:val="22"/>
        </w:rPr>
      </w:pPr>
      <w:commentRangeStart w:id="39"/>
      <w:r>
        <w:rPr>
          <w:sz w:val="22"/>
          <w:szCs w:val="22"/>
        </w:rPr>
        <w:t>Provide</w:t>
      </w:r>
      <w:commentRangeEnd w:id="39"/>
      <w:r w:rsidR="007C6B71">
        <w:rPr>
          <w:rStyle w:val="CommentReference"/>
        </w:rPr>
        <w:commentReference w:id="39"/>
      </w:r>
      <w:r>
        <w:rPr>
          <w:sz w:val="22"/>
          <w:szCs w:val="22"/>
        </w:rPr>
        <w:t xml:space="preserve"> an interpretation for each parameter in your regression model, including the intercept.</w:t>
      </w:r>
    </w:p>
    <w:p w:rsidR="004C266C" w:rsidRDefault="004C266C" w:rsidP="004C266C">
      <w:pPr>
        <w:autoSpaceDE w:val="0"/>
        <w:autoSpaceDN w:val="0"/>
        <w:adjustRightInd w:val="0"/>
        <w:spacing w:after="120"/>
        <w:rPr>
          <w:sz w:val="22"/>
          <w:szCs w:val="22"/>
        </w:rPr>
      </w:pPr>
      <w:r>
        <w:rPr>
          <w:sz w:val="22"/>
          <w:szCs w:val="22"/>
        </w:rPr>
        <w:t>β</w:t>
      </w:r>
      <w:r>
        <w:rPr>
          <w:sz w:val="22"/>
          <w:szCs w:val="22"/>
          <w:vertAlign w:val="subscript"/>
        </w:rPr>
        <w:t>1</w:t>
      </w:r>
      <w:r>
        <w:rPr>
          <w:sz w:val="22"/>
          <w:szCs w:val="22"/>
        </w:rPr>
        <w:t xml:space="preserve"> is the difference in the log</w:t>
      </w:r>
      <w:r w:rsidR="00365FD5">
        <w:rPr>
          <w:sz w:val="22"/>
          <w:szCs w:val="22"/>
        </w:rPr>
        <w:t xml:space="preserve"> hazard</w:t>
      </w:r>
      <w:r>
        <w:rPr>
          <w:sz w:val="22"/>
          <w:szCs w:val="22"/>
        </w:rPr>
        <w:t xml:space="preserve"> of death for each 1 mg/dL increase in serum LDL when the LDL is &lt; 70 mg/dL (i.e. log</w:t>
      </w:r>
      <w:r w:rsidR="00365FD5">
        <w:rPr>
          <w:sz w:val="22"/>
          <w:szCs w:val="22"/>
        </w:rPr>
        <w:t xml:space="preserve"> </w:t>
      </w:r>
      <w:r>
        <w:rPr>
          <w:sz w:val="22"/>
          <w:szCs w:val="22"/>
        </w:rPr>
        <w:t>hazard</w:t>
      </w:r>
      <w:r w:rsidR="00365FD5">
        <w:rPr>
          <w:sz w:val="22"/>
          <w:szCs w:val="22"/>
        </w:rPr>
        <w:t xml:space="preserve"> (death | </w:t>
      </w:r>
      <w:r>
        <w:rPr>
          <w:sz w:val="22"/>
          <w:szCs w:val="22"/>
        </w:rPr>
        <w:t>ldl</w:t>
      </w:r>
      <w:r w:rsidRPr="007843E9">
        <w:rPr>
          <w:sz w:val="22"/>
          <w:szCs w:val="22"/>
          <w:vertAlign w:val="subscript"/>
        </w:rPr>
        <w:t>x</w:t>
      </w:r>
      <w:r w:rsidR="007843E9" w:rsidRPr="007843E9">
        <w:rPr>
          <w:sz w:val="22"/>
          <w:szCs w:val="22"/>
          <w:vertAlign w:val="subscript"/>
        </w:rPr>
        <w:t>+1</w:t>
      </w:r>
      <w:r w:rsidR="00365FD5">
        <w:rPr>
          <w:sz w:val="22"/>
          <w:szCs w:val="22"/>
        </w:rPr>
        <w:t xml:space="preserve">) </w:t>
      </w:r>
      <w:r>
        <w:rPr>
          <w:sz w:val="22"/>
          <w:szCs w:val="22"/>
        </w:rPr>
        <w:t>– log</w:t>
      </w:r>
      <w:r w:rsidR="00365FD5">
        <w:rPr>
          <w:sz w:val="22"/>
          <w:szCs w:val="22"/>
        </w:rPr>
        <w:t xml:space="preserve"> </w:t>
      </w:r>
      <w:r>
        <w:rPr>
          <w:sz w:val="22"/>
          <w:szCs w:val="22"/>
        </w:rPr>
        <w:t>hazard</w:t>
      </w:r>
      <w:r w:rsidR="00365FD5">
        <w:rPr>
          <w:sz w:val="22"/>
          <w:szCs w:val="22"/>
        </w:rPr>
        <w:t xml:space="preserve"> (death | </w:t>
      </w:r>
      <w:r>
        <w:rPr>
          <w:sz w:val="22"/>
          <w:szCs w:val="22"/>
        </w:rPr>
        <w:t xml:space="preserve"> ldl</w:t>
      </w:r>
      <w:r w:rsidR="007843E9" w:rsidRPr="007843E9">
        <w:rPr>
          <w:sz w:val="22"/>
          <w:szCs w:val="22"/>
          <w:vertAlign w:val="subscript"/>
        </w:rPr>
        <w:t>x</w:t>
      </w:r>
      <w:r w:rsidR="00365FD5">
        <w:rPr>
          <w:sz w:val="22"/>
          <w:szCs w:val="22"/>
        </w:rPr>
        <w:t>),</w:t>
      </w:r>
      <w:r w:rsidR="007843E9">
        <w:rPr>
          <w:sz w:val="22"/>
          <w:szCs w:val="22"/>
        </w:rPr>
        <w:t xml:space="preserve"> </w:t>
      </w:r>
      <w:r w:rsidR="00365FD5">
        <w:rPr>
          <w:sz w:val="22"/>
          <w:szCs w:val="22"/>
        </w:rPr>
        <w:t>for</w:t>
      </w:r>
      <w:r w:rsidR="007843E9">
        <w:rPr>
          <w:sz w:val="22"/>
          <w:szCs w:val="22"/>
        </w:rPr>
        <w:t xml:space="preserve"> LDL &lt; 70)</w:t>
      </w:r>
      <w:r>
        <w:rPr>
          <w:sz w:val="22"/>
          <w:szCs w:val="22"/>
        </w:rPr>
        <w:t xml:space="preserve">.  </w:t>
      </w:r>
    </w:p>
    <w:p w:rsidR="00365FD5" w:rsidRDefault="00365FD5" w:rsidP="00365FD5">
      <w:pPr>
        <w:autoSpaceDE w:val="0"/>
        <w:autoSpaceDN w:val="0"/>
        <w:adjustRightInd w:val="0"/>
        <w:spacing w:after="120"/>
        <w:rPr>
          <w:sz w:val="22"/>
          <w:szCs w:val="22"/>
        </w:rPr>
      </w:pPr>
      <w:r>
        <w:rPr>
          <w:sz w:val="22"/>
          <w:szCs w:val="22"/>
        </w:rPr>
        <w:t>β</w:t>
      </w:r>
      <w:r>
        <w:rPr>
          <w:sz w:val="22"/>
          <w:szCs w:val="22"/>
          <w:vertAlign w:val="subscript"/>
        </w:rPr>
        <w:t>2</w:t>
      </w:r>
      <w:r>
        <w:rPr>
          <w:sz w:val="22"/>
          <w:szCs w:val="22"/>
        </w:rPr>
        <w:t xml:space="preserve"> is the difference in the log hazard of death for each 1 mg/dL increase in serum LDL when the LDL is 70 – 99 mg/dL (i.e. log hazard (death | ldl</w:t>
      </w:r>
      <w:r w:rsidRPr="007843E9">
        <w:rPr>
          <w:sz w:val="22"/>
          <w:szCs w:val="22"/>
          <w:vertAlign w:val="subscript"/>
        </w:rPr>
        <w:t>x+1</w:t>
      </w:r>
      <w:r>
        <w:rPr>
          <w:sz w:val="22"/>
          <w:szCs w:val="22"/>
        </w:rPr>
        <w:t>) – log hazard (death |  ldl</w:t>
      </w:r>
      <w:r w:rsidRPr="007843E9">
        <w:rPr>
          <w:sz w:val="22"/>
          <w:szCs w:val="22"/>
          <w:vertAlign w:val="subscript"/>
        </w:rPr>
        <w:t>x</w:t>
      </w:r>
      <w:r>
        <w:rPr>
          <w:sz w:val="22"/>
          <w:szCs w:val="22"/>
        </w:rPr>
        <w:t xml:space="preserve">), for LDL from 70 - 99).  </w:t>
      </w:r>
    </w:p>
    <w:p w:rsidR="00365FD5" w:rsidRDefault="00365FD5" w:rsidP="00365FD5">
      <w:pPr>
        <w:autoSpaceDE w:val="0"/>
        <w:autoSpaceDN w:val="0"/>
        <w:adjustRightInd w:val="0"/>
        <w:spacing w:after="120"/>
        <w:rPr>
          <w:sz w:val="22"/>
          <w:szCs w:val="22"/>
        </w:rPr>
      </w:pPr>
      <w:r>
        <w:rPr>
          <w:sz w:val="22"/>
          <w:szCs w:val="22"/>
        </w:rPr>
        <w:lastRenderedPageBreak/>
        <w:t>β</w:t>
      </w:r>
      <w:r>
        <w:rPr>
          <w:sz w:val="22"/>
          <w:szCs w:val="22"/>
          <w:vertAlign w:val="subscript"/>
        </w:rPr>
        <w:t>3</w:t>
      </w:r>
      <w:r>
        <w:rPr>
          <w:sz w:val="22"/>
          <w:szCs w:val="22"/>
        </w:rPr>
        <w:t xml:space="preserve"> is the difference in the log hazard of death for each 1 mg/dL increase in serum LDL when the LDL is 100 – 129 mg/dL (i.e. log hazard (death | ldl</w:t>
      </w:r>
      <w:r w:rsidRPr="007843E9">
        <w:rPr>
          <w:sz w:val="22"/>
          <w:szCs w:val="22"/>
          <w:vertAlign w:val="subscript"/>
        </w:rPr>
        <w:t>x+1</w:t>
      </w:r>
      <w:r>
        <w:rPr>
          <w:sz w:val="22"/>
          <w:szCs w:val="22"/>
        </w:rPr>
        <w:t>) – log hazard (death |  ldl</w:t>
      </w:r>
      <w:r w:rsidRPr="007843E9">
        <w:rPr>
          <w:sz w:val="22"/>
          <w:szCs w:val="22"/>
          <w:vertAlign w:val="subscript"/>
        </w:rPr>
        <w:t>x</w:t>
      </w:r>
      <w:r>
        <w:rPr>
          <w:sz w:val="22"/>
          <w:szCs w:val="22"/>
        </w:rPr>
        <w:t xml:space="preserve">), for LDL from 100 - 129).  </w:t>
      </w:r>
    </w:p>
    <w:p w:rsidR="00365FD5" w:rsidRDefault="00365FD5" w:rsidP="00365FD5">
      <w:pPr>
        <w:autoSpaceDE w:val="0"/>
        <w:autoSpaceDN w:val="0"/>
        <w:adjustRightInd w:val="0"/>
        <w:spacing w:after="120"/>
        <w:rPr>
          <w:sz w:val="22"/>
          <w:szCs w:val="22"/>
        </w:rPr>
      </w:pPr>
      <w:r>
        <w:rPr>
          <w:sz w:val="22"/>
          <w:szCs w:val="22"/>
        </w:rPr>
        <w:t>β</w:t>
      </w:r>
      <w:r>
        <w:rPr>
          <w:sz w:val="22"/>
          <w:szCs w:val="22"/>
          <w:vertAlign w:val="subscript"/>
        </w:rPr>
        <w:t>4</w:t>
      </w:r>
      <w:r>
        <w:rPr>
          <w:sz w:val="22"/>
          <w:szCs w:val="22"/>
        </w:rPr>
        <w:t xml:space="preserve"> is the difference in the log hazard of death for each 1 mg/dL increase in serum LDL when the LDL is 130 – 159 mg/dL (i.e. log hazard (death | ldl</w:t>
      </w:r>
      <w:r w:rsidRPr="007843E9">
        <w:rPr>
          <w:sz w:val="22"/>
          <w:szCs w:val="22"/>
          <w:vertAlign w:val="subscript"/>
        </w:rPr>
        <w:t>x+1</w:t>
      </w:r>
      <w:r>
        <w:rPr>
          <w:sz w:val="22"/>
          <w:szCs w:val="22"/>
        </w:rPr>
        <w:t>) – log hazard (death |  ldl</w:t>
      </w:r>
      <w:r w:rsidRPr="007843E9">
        <w:rPr>
          <w:sz w:val="22"/>
          <w:szCs w:val="22"/>
          <w:vertAlign w:val="subscript"/>
        </w:rPr>
        <w:t>x</w:t>
      </w:r>
      <w:r>
        <w:rPr>
          <w:sz w:val="22"/>
          <w:szCs w:val="22"/>
        </w:rPr>
        <w:t xml:space="preserve">), for LDL from 130 - 159).  </w:t>
      </w:r>
    </w:p>
    <w:p w:rsidR="00365FD5" w:rsidRDefault="00365FD5" w:rsidP="00365FD5">
      <w:pPr>
        <w:autoSpaceDE w:val="0"/>
        <w:autoSpaceDN w:val="0"/>
        <w:adjustRightInd w:val="0"/>
        <w:spacing w:after="120"/>
        <w:rPr>
          <w:sz w:val="22"/>
          <w:szCs w:val="22"/>
        </w:rPr>
      </w:pPr>
      <w:r>
        <w:rPr>
          <w:sz w:val="22"/>
          <w:szCs w:val="22"/>
        </w:rPr>
        <w:t>β</w:t>
      </w:r>
      <w:r>
        <w:rPr>
          <w:sz w:val="22"/>
          <w:szCs w:val="22"/>
          <w:vertAlign w:val="subscript"/>
        </w:rPr>
        <w:t>5</w:t>
      </w:r>
      <w:r>
        <w:rPr>
          <w:sz w:val="22"/>
          <w:szCs w:val="22"/>
        </w:rPr>
        <w:t xml:space="preserve"> is the difference in the log hazard of death for each 1 mg/dL increase in serum LDL when the LDL is 160 – 189 mg/dL (i.e. log hazard (death | ldl</w:t>
      </w:r>
      <w:r w:rsidRPr="007843E9">
        <w:rPr>
          <w:sz w:val="22"/>
          <w:szCs w:val="22"/>
          <w:vertAlign w:val="subscript"/>
        </w:rPr>
        <w:t>x+1</w:t>
      </w:r>
      <w:r>
        <w:rPr>
          <w:sz w:val="22"/>
          <w:szCs w:val="22"/>
        </w:rPr>
        <w:t>) – log hazard (death |  ldl</w:t>
      </w:r>
      <w:r w:rsidRPr="007843E9">
        <w:rPr>
          <w:sz w:val="22"/>
          <w:szCs w:val="22"/>
          <w:vertAlign w:val="subscript"/>
        </w:rPr>
        <w:t>x</w:t>
      </w:r>
      <w:r>
        <w:rPr>
          <w:sz w:val="22"/>
          <w:szCs w:val="22"/>
        </w:rPr>
        <w:t xml:space="preserve">), for LDL from 160 - 189).  </w:t>
      </w:r>
    </w:p>
    <w:p w:rsidR="004C266C" w:rsidRDefault="00365FD5" w:rsidP="004C266C">
      <w:pPr>
        <w:autoSpaceDE w:val="0"/>
        <w:autoSpaceDN w:val="0"/>
        <w:adjustRightInd w:val="0"/>
        <w:spacing w:after="120"/>
        <w:rPr>
          <w:sz w:val="22"/>
          <w:szCs w:val="22"/>
        </w:rPr>
      </w:pPr>
      <w:r>
        <w:rPr>
          <w:sz w:val="22"/>
          <w:szCs w:val="22"/>
        </w:rPr>
        <w:t>β</w:t>
      </w:r>
      <w:r>
        <w:rPr>
          <w:sz w:val="22"/>
          <w:szCs w:val="22"/>
          <w:vertAlign w:val="subscript"/>
        </w:rPr>
        <w:t>6</w:t>
      </w:r>
      <w:r>
        <w:rPr>
          <w:sz w:val="22"/>
          <w:szCs w:val="22"/>
        </w:rPr>
        <w:t xml:space="preserve"> is the difference in the log hazard of death for each 1 mg/dL increase in serum LDL when the LDL is ≥ 190mg/dL (i.e. log hazard (death | ldl</w:t>
      </w:r>
      <w:r w:rsidRPr="007843E9">
        <w:rPr>
          <w:sz w:val="22"/>
          <w:szCs w:val="22"/>
          <w:vertAlign w:val="subscript"/>
        </w:rPr>
        <w:t>x+1</w:t>
      </w:r>
      <w:r>
        <w:rPr>
          <w:sz w:val="22"/>
          <w:szCs w:val="22"/>
        </w:rPr>
        <w:t>) – log hazard (death |  ldl</w:t>
      </w:r>
      <w:r w:rsidRPr="007843E9">
        <w:rPr>
          <w:sz w:val="22"/>
          <w:szCs w:val="22"/>
          <w:vertAlign w:val="subscript"/>
        </w:rPr>
        <w:t>x</w:t>
      </w:r>
      <w:r>
        <w:rPr>
          <w:sz w:val="22"/>
          <w:szCs w:val="22"/>
        </w:rPr>
        <w:t xml:space="preserve">), for LDL ≥ 190).  </w:t>
      </w:r>
    </w:p>
    <w:p w:rsidR="00941A6B" w:rsidRDefault="004C266C" w:rsidP="004C266C">
      <w:pPr>
        <w:autoSpaceDE w:val="0"/>
        <w:autoSpaceDN w:val="0"/>
        <w:adjustRightInd w:val="0"/>
        <w:spacing w:after="120"/>
        <w:rPr>
          <w:sz w:val="22"/>
          <w:szCs w:val="22"/>
        </w:rPr>
      </w:pPr>
      <w:commentRangeStart w:id="40"/>
      <w:r>
        <w:rPr>
          <w:sz w:val="22"/>
          <w:szCs w:val="22"/>
        </w:rPr>
        <w:t>e^β</w:t>
      </w:r>
      <w:r>
        <w:rPr>
          <w:sz w:val="22"/>
          <w:szCs w:val="22"/>
          <w:vertAlign w:val="subscript"/>
        </w:rPr>
        <w:t>1</w:t>
      </w:r>
      <w:r>
        <w:rPr>
          <w:sz w:val="22"/>
          <w:szCs w:val="22"/>
        </w:rPr>
        <w:t xml:space="preserve"> = 0</w:t>
      </w:r>
      <w:r w:rsidR="00941A6B">
        <w:rPr>
          <w:sz w:val="22"/>
          <w:szCs w:val="22"/>
        </w:rPr>
        <w:t>.9781</w:t>
      </w:r>
      <w:r w:rsidRPr="00450462">
        <w:rPr>
          <w:sz w:val="22"/>
          <w:szCs w:val="22"/>
        </w:rPr>
        <w:t xml:space="preserve"> </w:t>
      </w:r>
      <w:r>
        <w:rPr>
          <w:sz w:val="22"/>
          <w:szCs w:val="22"/>
        </w:rPr>
        <w:t xml:space="preserve">is </w:t>
      </w:r>
      <w:r w:rsidR="00941A6B">
        <w:rPr>
          <w:sz w:val="22"/>
          <w:szCs w:val="22"/>
        </w:rPr>
        <w:t xml:space="preserve">the HR of death for each 1 mg/dL increase in serum LDL, when the LDL &lt; </w:t>
      </w:r>
      <w:r>
        <w:rPr>
          <w:sz w:val="22"/>
          <w:szCs w:val="22"/>
        </w:rPr>
        <w:t>70 mg/dL</w:t>
      </w:r>
      <w:r w:rsidR="00941A6B">
        <w:rPr>
          <w:sz w:val="22"/>
          <w:szCs w:val="22"/>
        </w:rPr>
        <w:t>.</w:t>
      </w:r>
      <w:commentRangeEnd w:id="40"/>
      <w:r w:rsidR="007C6B71">
        <w:rPr>
          <w:rStyle w:val="CommentReference"/>
        </w:rPr>
        <w:commentReference w:id="40"/>
      </w:r>
      <w:r w:rsidR="00941A6B">
        <w:rPr>
          <w:sz w:val="22"/>
          <w:szCs w:val="22"/>
        </w:rPr>
        <w:t xml:space="preserve"> </w:t>
      </w:r>
    </w:p>
    <w:p w:rsidR="006C2918" w:rsidRDefault="00941A6B" w:rsidP="006C2918">
      <w:pPr>
        <w:autoSpaceDE w:val="0"/>
        <w:autoSpaceDN w:val="0"/>
        <w:adjustRightInd w:val="0"/>
        <w:spacing w:after="120"/>
        <w:rPr>
          <w:sz w:val="22"/>
          <w:szCs w:val="22"/>
        </w:rPr>
      </w:pPr>
      <w:r>
        <w:rPr>
          <w:sz w:val="22"/>
          <w:szCs w:val="22"/>
        </w:rPr>
        <w:t>e^(β</w:t>
      </w:r>
      <w:r>
        <w:rPr>
          <w:sz w:val="22"/>
          <w:szCs w:val="22"/>
          <w:vertAlign w:val="subscript"/>
        </w:rPr>
        <w:t>1</w:t>
      </w:r>
      <w:r>
        <w:rPr>
          <w:sz w:val="22"/>
          <w:szCs w:val="22"/>
        </w:rPr>
        <w:t>*10) = (</w:t>
      </w:r>
      <w:r w:rsidR="00216696">
        <w:rPr>
          <w:sz w:val="22"/>
          <w:szCs w:val="22"/>
        </w:rPr>
        <w:t>HR</w:t>
      </w:r>
      <w:r>
        <w:rPr>
          <w:sz w:val="22"/>
          <w:szCs w:val="22"/>
        </w:rPr>
        <w:t>)^10 = 0.8014</w:t>
      </w:r>
      <w:r w:rsidRPr="00450462">
        <w:rPr>
          <w:sz w:val="22"/>
          <w:szCs w:val="22"/>
        </w:rPr>
        <w:t xml:space="preserve"> </w:t>
      </w:r>
      <w:r>
        <w:rPr>
          <w:sz w:val="22"/>
          <w:szCs w:val="22"/>
        </w:rPr>
        <w:t xml:space="preserve">is the HR of death for each 10 mg/dL increase in serum LDL, when the LDL &lt; 70 mg/dL. </w:t>
      </w:r>
    </w:p>
    <w:p w:rsidR="00A04727" w:rsidRDefault="00A04727" w:rsidP="009A4A1E">
      <w:pPr>
        <w:numPr>
          <w:ilvl w:val="1"/>
          <w:numId w:val="19"/>
        </w:numPr>
        <w:autoSpaceDE w:val="0"/>
        <w:autoSpaceDN w:val="0"/>
        <w:adjustRightInd w:val="0"/>
        <w:spacing w:after="120"/>
        <w:rPr>
          <w:sz w:val="22"/>
          <w:szCs w:val="22"/>
        </w:rPr>
      </w:pPr>
      <w:commentRangeStart w:id="41"/>
      <w:r>
        <w:rPr>
          <w:sz w:val="22"/>
          <w:szCs w:val="22"/>
        </w:rPr>
        <w:t>What</w:t>
      </w:r>
      <w:commentRangeEnd w:id="41"/>
      <w:r w:rsidR="007C6B71">
        <w:rPr>
          <w:rStyle w:val="CommentReference"/>
        </w:rPr>
        <w:commentReference w:id="41"/>
      </w:r>
      <w:r>
        <w:rPr>
          <w:sz w:val="22"/>
          <w:szCs w:val="22"/>
        </w:rPr>
        <w:t xml:space="preserve"> analysis would you perform to assess whether the regression model used in this problem provides a “better fit” than does a model that uses only a continuous linear term for LDL? What is the result of such an analysis?</w:t>
      </w:r>
    </w:p>
    <w:p w:rsidR="006C2918" w:rsidRDefault="00941A6B" w:rsidP="00941A6B">
      <w:pPr>
        <w:autoSpaceDE w:val="0"/>
        <w:autoSpaceDN w:val="0"/>
        <w:adjustRightInd w:val="0"/>
        <w:spacing w:after="120"/>
        <w:rPr>
          <w:sz w:val="22"/>
          <w:szCs w:val="22"/>
        </w:rPr>
      </w:pPr>
      <w:r>
        <w:rPr>
          <w:sz w:val="22"/>
          <w:szCs w:val="22"/>
        </w:rPr>
        <w:t xml:space="preserve">To assess whether the regression model for hazard ratio for death given LDL with LDL modelled with splines based on cutoffs from the Mayo clinic is a “better fit” than does a model that uses only a continuous linear term for LDL, I would put a linear term into the model </w:t>
      </w:r>
      <w:r w:rsidR="00E4134B">
        <w:rPr>
          <w:sz w:val="22"/>
          <w:szCs w:val="22"/>
        </w:rPr>
        <w:t>and</w:t>
      </w:r>
      <w:r>
        <w:rPr>
          <w:sz w:val="22"/>
          <w:szCs w:val="22"/>
        </w:rPr>
        <w:t xml:space="preserve"> assess if the slopes are equal to zero using post</w:t>
      </w:r>
      <w:r w:rsidR="00A61E88">
        <w:rPr>
          <w:sz w:val="22"/>
          <w:szCs w:val="22"/>
        </w:rPr>
        <w:t>-estimation commands.  We should</w:t>
      </w:r>
      <w:r>
        <w:rPr>
          <w:sz w:val="22"/>
          <w:szCs w:val="22"/>
        </w:rPr>
        <w:t xml:space="preserve"> reject the null hypothesis that the model based on </w:t>
      </w:r>
      <w:r w:rsidR="00E4134B">
        <w:rPr>
          <w:sz w:val="22"/>
          <w:szCs w:val="22"/>
        </w:rPr>
        <w:t>splines of LDL using the Mayo Clinic cutoffs</w:t>
      </w:r>
      <w:r>
        <w:rPr>
          <w:sz w:val="22"/>
          <w:szCs w:val="22"/>
        </w:rPr>
        <w:t xml:space="preserve"> is </w:t>
      </w:r>
      <w:r w:rsidR="00E4134B">
        <w:rPr>
          <w:sz w:val="22"/>
          <w:szCs w:val="22"/>
        </w:rPr>
        <w:t xml:space="preserve">the same as </w:t>
      </w:r>
      <w:r>
        <w:rPr>
          <w:sz w:val="22"/>
          <w:szCs w:val="22"/>
        </w:rPr>
        <w:t>a linear model</w:t>
      </w:r>
      <w:r w:rsidR="00A61E88">
        <w:rPr>
          <w:sz w:val="22"/>
          <w:szCs w:val="22"/>
        </w:rPr>
        <w:t xml:space="preserve"> (</w:t>
      </w:r>
      <w:commentRangeStart w:id="42"/>
      <w:r w:rsidR="00A61E88">
        <w:rPr>
          <w:sz w:val="22"/>
          <w:szCs w:val="22"/>
        </w:rPr>
        <w:t>p</w:t>
      </w:r>
      <w:r w:rsidR="00A76CD3">
        <w:rPr>
          <w:sz w:val="22"/>
          <w:szCs w:val="22"/>
        </w:rPr>
        <w:t>&lt;</w:t>
      </w:r>
      <w:r w:rsidR="00E4134B" w:rsidRPr="00E4134B">
        <w:rPr>
          <w:sz w:val="22"/>
          <w:szCs w:val="22"/>
        </w:rPr>
        <w:t xml:space="preserve"> 0.000</w:t>
      </w:r>
      <w:r w:rsidR="00E4134B">
        <w:rPr>
          <w:sz w:val="22"/>
          <w:szCs w:val="22"/>
        </w:rPr>
        <w:t>1</w:t>
      </w:r>
      <w:commentRangeEnd w:id="42"/>
      <w:r w:rsidR="007C6B71">
        <w:rPr>
          <w:rStyle w:val="CommentReference"/>
        </w:rPr>
        <w:commentReference w:id="42"/>
      </w:r>
      <w:r>
        <w:rPr>
          <w:sz w:val="22"/>
          <w:szCs w:val="22"/>
        </w:rPr>
        <w:t xml:space="preserve">), i.e. </w:t>
      </w:r>
      <w:r w:rsidR="00A61E88">
        <w:rPr>
          <w:sz w:val="22"/>
          <w:szCs w:val="22"/>
        </w:rPr>
        <w:t xml:space="preserve">we </w:t>
      </w:r>
      <w:r w:rsidR="00E4134B">
        <w:rPr>
          <w:sz w:val="22"/>
          <w:szCs w:val="22"/>
        </w:rPr>
        <w:t>favor the alternative hypothesis that the model is non-linear</w:t>
      </w:r>
      <w:r>
        <w:rPr>
          <w:sz w:val="22"/>
          <w:szCs w:val="22"/>
        </w:rPr>
        <w:t xml:space="preserve">.  </w:t>
      </w:r>
    </w:p>
    <w:p w:rsidR="00115B08" w:rsidRDefault="003205A5" w:rsidP="009A4A1E">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mg/dL. (This will be used in problem 4). This can be effected by generating fitted hazard ratio estimates for each individual in the sample, and then dividing that fitted value by the fitted value for a subject having a LDL of 160 mg/dL.</w:t>
      </w:r>
      <w:r w:rsidR="00A620A3">
        <w:rPr>
          <w:rFonts w:ascii="Courier New" w:hAnsi="Courier New" w:cs="Courier New"/>
          <w:sz w:val="22"/>
          <w:szCs w:val="22"/>
        </w:rPr>
        <w:t xml:space="preserve"> </w:t>
      </w:r>
      <w:r w:rsidR="00A620A3">
        <w:rPr>
          <w:sz w:val="22"/>
          <w:szCs w:val="22"/>
        </w:rPr>
        <w:t xml:space="preserve"> </w:t>
      </w:r>
      <w:r w:rsidR="00A620A3">
        <w:rPr>
          <w:rFonts w:ascii="Courier New" w:hAnsi="Courier New" w:cs="Courier New"/>
          <w:sz w:val="22"/>
          <w:szCs w:val="22"/>
        </w:rPr>
        <w:t xml:space="preserve"> </w:t>
      </w:r>
      <w:r w:rsidR="00A620A3">
        <w:rPr>
          <w:sz w:val="22"/>
          <w:szCs w:val="22"/>
        </w:rPr>
        <w:t xml:space="preserve"> </w:t>
      </w:r>
    </w:p>
    <w:p w:rsidR="00A04727" w:rsidRDefault="00A04727" w:rsidP="00B3230F">
      <w:pPr>
        <w:numPr>
          <w:ilvl w:val="0"/>
          <w:numId w:val="19"/>
        </w:numPr>
        <w:autoSpaceDE w:val="0"/>
        <w:autoSpaceDN w:val="0"/>
        <w:adjustRightInd w:val="0"/>
        <w:spacing w:after="120"/>
        <w:rPr>
          <w:sz w:val="22"/>
          <w:szCs w:val="22"/>
        </w:rPr>
      </w:pPr>
      <w:commentRangeStart w:id="43"/>
      <w:r>
        <w:rPr>
          <w:sz w:val="22"/>
          <w:szCs w:val="22"/>
        </w:rPr>
        <w:t>By</w:t>
      </w:r>
      <w:commentRangeEnd w:id="43"/>
      <w:r w:rsidR="00A351CB">
        <w:rPr>
          <w:rStyle w:val="CommentReference"/>
        </w:rPr>
        <w:commentReference w:id="43"/>
      </w:r>
      <w:r>
        <w:rPr>
          <w:sz w:val="22"/>
          <w:szCs w:val="22"/>
        </w:rPr>
        <w:t xml:space="preserve"> answering the following questions, compare the relative advantages and disadvantages of the various statistical analysis strategies we have considered in Homeworks 1-4 and  </w:t>
      </w:r>
      <w:r w:rsidR="00474EF6">
        <w:rPr>
          <w:sz w:val="22"/>
          <w:szCs w:val="22"/>
        </w:rPr>
        <w:t>problem</w:t>
      </w:r>
      <w:r>
        <w:rPr>
          <w:sz w:val="22"/>
          <w:szCs w:val="22"/>
        </w:rPr>
        <w:t>s 2 and</w:t>
      </w:r>
      <w:r w:rsidR="00474EF6">
        <w:rPr>
          <w:sz w:val="22"/>
          <w:szCs w:val="22"/>
        </w:rPr>
        <w:t xml:space="preserve"> 3</w:t>
      </w:r>
      <w:r>
        <w:rPr>
          <w:sz w:val="22"/>
          <w:szCs w:val="22"/>
        </w:rPr>
        <w:t xml:space="preserve"> in this homework</w:t>
      </w:r>
      <w:r w:rsidR="00474EF6">
        <w:rPr>
          <w:sz w:val="22"/>
          <w:szCs w:val="22"/>
        </w:rPr>
        <w:t xml:space="preserve">. </w:t>
      </w:r>
    </w:p>
    <w:p w:rsidR="00A04727" w:rsidRDefault="00A04727" w:rsidP="00B3230F">
      <w:pPr>
        <w:numPr>
          <w:ilvl w:val="1"/>
          <w:numId w:val="19"/>
        </w:numPr>
        <w:autoSpaceDE w:val="0"/>
        <w:autoSpaceDN w:val="0"/>
        <w:adjustRightInd w:val="0"/>
        <w:spacing w:after="120"/>
        <w:rPr>
          <w:sz w:val="22"/>
          <w:szCs w:val="22"/>
        </w:rPr>
      </w:pPr>
      <w:commentRangeStart w:id="44"/>
      <w:r>
        <w:rPr>
          <w:sz w:val="22"/>
          <w:szCs w:val="22"/>
        </w:rPr>
        <w:t>What</w:t>
      </w:r>
      <w:commentRangeEnd w:id="44"/>
      <w:r w:rsidR="00A351CB">
        <w:rPr>
          <w:rStyle w:val="CommentReference"/>
        </w:rPr>
        <w:commentReference w:id="44"/>
      </w:r>
      <w:r>
        <w:rPr>
          <w:sz w:val="22"/>
          <w:szCs w:val="22"/>
        </w:rPr>
        <w:t xml:space="preserve"> advantages do the regression strategies used in Homeworks 4 and 5 provide over the approaches used in Homeworks 1-3?</w:t>
      </w:r>
    </w:p>
    <w:p w:rsidR="00D952B3" w:rsidRDefault="005F7145" w:rsidP="005F7145">
      <w:pPr>
        <w:autoSpaceDE w:val="0"/>
        <w:autoSpaceDN w:val="0"/>
        <w:adjustRightInd w:val="0"/>
        <w:spacing w:after="120"/>
        <w:ind w:left="1440"/>
        <w:rPr>
          <w:sz w:val="22"/>
          <w:szCs w:val="22"/>
        </w:rPr>
      </w:pPr>
      <w:r>
        <w:rPr>
          <w:sz w:val="22"/>
          <w:szCs w:val="22"/>
        </w:rPr>
        <w:t xml:space="preserve">The regression strategies in homeworks 4 and 5 use proportional hazards regression, or survival analysis.  This is the best approach to use for censored data as we can take into account he amount of follow-up time that each subject contributes.  </w:t>
      </w:r>
      <w:r w:rsidR="00216696">
        <w:rPr>
          <w:sz w:val="22"/>
          <w:szCs w:val="22"/>
        </w:rPr>
        <w:t xml:space="preserve">Furthermore, these approaches used LDL as a continuous measure and death as a time-varying outcome, without the need to </w:t>
      </w:r>
      <w:commentRangeStart w:id="45"/>
      <w:r w:rsidR="00216696">
        <w:rPr>
          <w:sz w:val="22"/>
          <w:szCs w:val="22"/>
        </w:rPr>
        <w:t>dichotomize</w:t>
      </w:r>
      <w:commentRangeEnd w:id="45"/>
      <w:r w:rsidR="00A351CB">
        <w:rPr>
          <w:rStyle w:val="CommentReference"/>
        </w:rPr>
        <w:commentReference w:id="45"/>
      </w:r>
      <w:r w:rsidR="00216696">
        <w:rPr>
          <w:sz w:val="22"/>
          <w:szCs w:val="22"/>
        </w:rPr>
        <w:t xml:space="preserve"> as we did in homeworks 1-3.  </w:t>
      </w:r>
    </w:p>
    <w:p w:rsidR="00A04727" w:rsidRDefault="00474EF6" w:rsidP="00B3230F">
      <w:pPr>
        <w:numPr>
          <w:ilvl w:val="1"/>
          <w:numId w:val="19"/>
        </w:numPr>
        <w:autoSpaceDE w:val="0"/>
        <w:autoSpaceDN w:val="0"/>
        <w:adjustRightInd w:val="0"/>
        <w:spacing w:after="120"/>
        <w:rPr>
          <w:sz w:val="22"/>
          <w:szCs w:val="22"/>
        </w:rPr>
      </w:pPr>
      <w:commentRangeStart w:id="46"/>
      <w:r>
        <w:rPr>
          <w:sz w:val="22"/>
          <w:szCs w:val="22"/>
        </w:rPr>
        <w:t>Comment</w:t>
      </w:r>
      <w:commentRangeEnd w:id="46"/>
      <w:r w:rsidR="00A351CB">
        <w:rPr>
          <w:rStyle w:val="CommentReference"/>
        </w:rPr>
        <w:commentReference w:id="46"/>
      </w:r>
      <w:r>
        <w:rPr>
          <w:sz w:val="22"/>
          <w:szCs w:val="22"/>
        </w:rPr>
        <w:t xml:space="preserve"> on </w:t>
      </w:r>
      <w:r w:rsidR="00705ECB">
        <w:rPr>
          <w:sz w:val="22"/>
          <w:szCs w:val="22"/>
        </w:rPr>
        <w:t>any similarities or differences</w:t>
      </w:r>
      <w:r>
        <w:rPr>
          <w:sz w:val="22"/>
          <w:szCs w:val="22"/>
        </w:rPr>
        <w:t xml:space="preserve"> of the fitted values from the three models</w:t>
      </w:r>
      <w:r w:rsidR="00A04727">
        <w:rPr>
          <w:sz w:val="22"/>
          <w:szCs w:val="22"/>
        </w:rPr>
        <w:t xml:space="preserve"> fit in Homework 4 and the two models fit in problems 2 and 3 of this homework.</w:t>
      </w:r>
    </w:p>
    <w:p w:rsidR="006756BB" w:rsidRDefault="006756BB" w:rsidP="00955043">
      <w:pPr>
        <w:autoSpaceDE w:val="0"/>
        <w:autoSpaceDN w:val="0"/>
        <w:adjustRightInd w:val="0"/>
        <w:spacing w:after="120"/>
        <w:ind w:left="1440"/>
        <w:rPr>
          <w:sz w:val="22"/>
          <w:szCs w:val="22"/>
          <w:u w:val="single"/>
        </w:rPr>
      </w:pPr>
    </w:p>
    <w:p w:rsidR="00955043" w:rsidRDefault="006756BB" w:rsidP="00AF748A">
      <w:pPr>
        <w:autoSpaceDE w:val="0"/>
        <w:autoSpaceDN w:val="0"/>
        <w:adjustRightInd w:val="0"/>
        <w:spacing w:after="120"/>
        <w:rPr>
          <w:sz w:val="22"/>
          <w:szCs w:val="22"/>
        </w:rPr>
      </w:pPr>
      <w:r w:rsidRPr="00737A54">
        <w:rPr>
          <w:sz w:val="22"/>
          <w:szCs w:val="22"/>
          <w:u w:val="single"/>
        </w:rPr>
        <w:t>Figure 2</w:t>
      </w:r>
      <w:r>
        <w:rPr>
          <w:sz w:val="22"/>
          <w:szCs w:val="22"/>
        </w:rPr>
        <w:t xml:space="preserve">: Plots of fitted hazard ratios from the proportional hazards regression models where LDL is modelled as dummy variables or splines, based on cutoffs suggested by the Mayo Clinic.  All hazard ratio estimates are relative to a group having serum LDL of 160mg/dL.  </w:t>
      </w:r>
    </w:p>
    <w:p w:rsidR="00216696" w:rsidRDefault="00492CF9" w:rsidP="00AF748A">
      <w:pPr>
        <w:autoSpaceDE w:val="0"/>
        <w:autoSpaceDN w:val="0"/>
        <w:adjustRightInd w:val="0"/>
        <w:spacing w:after="120"/>
        <w:rPr>
          <w:sz w:val="22"/>
          <w:szCs w:val="22"/>
        </w:rPr>
      </w:pPr>
      <w:r>
        <w:rPr>
          <w:noProof/>
          <w:sz w:val="22"/>
          <w:szCs w:val="22"/>
        </w:rPr>
        <w:lastRenderedPageBreak/>
        <w:drawing>
          <wp:inline distT="0" distB="0" distL="0" distR="0">
            <wp:extent cx="5114925" cy="3714750"/>
            <wp:effectExtent l="0" t="0" r="9525" b="0"/>
            <wp:docPr id="2" name="Picture 2" descr="fitH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tH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4925" cy="3714750"/>
                    </a:xfrm>
                    <a:prstGeom prst="rect">
                      <a:avLst/>
                    </a:prstGeom>
                    <a:noFill/>
                    <a:ln>
                      <a:noFill/>
                    </a:ln>
                  </pic:spPr>
                </pic:pic>
              </a:graphicData>
            </a:graphic>
          </wp:inline>
        </w:drawing>
      </w:r>
    </w:p>
    <w:p w:rsidR="006756BB" w:rsidRDefault="006756BB" w:rsidP="00AF748A">
      <w:pPr>
        <w:autoSpaceDE w:val="0"/>
        <w:autoSpaceDN w:val="0"/>
        <w:adjustRightInd w:val="0"/>
        <w:spacing w:after="120"/>
        <w:rPr>
          <w:sz w:val="22"/>
          <w:szCs w:val="22"/>
        </w:rPr>
      </w:pPr>
      <w:r w:rsidRPr="00737A54">
        <w:rPr>
          <w:sz w:val="22"/>
          <w:szCs w:val="22"/>
          <w:u w:val="single"/>
        </w:rPr>
        <w:t xml:space="preserve">Figure </w:t>
      </w:r>
      <w:r>
        <w:rPr>
          <w:sz w:val="22"/>
          <w:szCs w:val="22"/>
          <w:u w:val="single"/>
        </w:rPr>
        <w:t>3</w:t>
      </w:r>
      <w:r>
        <w:rPr>
          <w:sz w:val="22"/>
          <w:szCs w:val="22"/>
        </w:rPr>
        <w:t xml:space="preserve">: Plots of fitted hazard ratios from the proportional hazards regression models where LDL is modelled </w:t>
      </w:r>
      <w:r w:rsidR="00463261">
        <w:rPr>
          <w:sz w:val="22"/>
          <w:szCs w:val="22"/>
        </w:rPr>
        <w:t>as</w:t>
      </w:r>
      <w:r>
        <w:rPr>
          <w:sz w:val="22"/>
          <w:szCs w:val="22"/>
        </w:rPr>
        <w:t xml:space="preserve"> linear continuous, logarithmically transformed</w:t>
      </w:r>
      <w:r w:rsidR="00463261">
        <w:rPr>
          <w:sz w:val="22"/>
          <w:szCs w:val="22"/>
        </w:rPr>
        <w:t>,</w:t>
      </w:r>
      <w:r>
        <w:rPr>
          <w:sz w:val="22"/>
          <w:szCs w:val="22"/>
        </w:rPr>
        <w:t xml:space="preserve"> quadratic function (including both linear and squared terms), dummy variables or splines.  Inflection points for the latter two models are based on cutoffs suggested by the Mayo Clinic.  All hazard ratio estimates are relative to a group having serum LDL of 160mg/dL.  </w:t>
      </w:r>
    </w:p>
    <w:p w:rsidR="006756BB" w:rsidRDefault="00492CF9" w:rsidP="00AF748A">
      <w:pPr>
        <w:autoSpaceDE w:val="0"/>
        <w:autoSpaceDN w:val="0"/>
        <w:adjustRightInd w:val="0"/>
        <w:spacing w:after="120"/>
        <w:rPr>
          <w:sz w:val="22"/>
          <w:szCs w:val="22"/>
        </w:rPr>
      </w:pPr>
      <w:r>
        <w:rPr>
          <w:noProof/>
          <w:sz w:val="22"/>
          <w:szCs w:val="22"/>
        </w:rPr>
        <w:drawing>
          <wp:inline distT="0" distB="0" distL="0" distR="0">
            <wp:extent cx="5105400" cy="3686175"/>
            <wp:effectExtent l="0" t="0" r="0" b="9525"/>
            <wp:docPr id="3" name="Picture 3" descr="fitH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tH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5400" cy="3686175"/>
                    </a:xfrm>
                    <a:prstGeom prst="rect">
                      <a:avLst/>
                    </a:prstGeom>
                    <a:noFill/>
                    <a:ln>
                      <a:noFill/>
                    </a:ln>
                  </pic:spPr>
                </pic:pic>
              </a:graphicData>
            </a:graphic>
          </wp:inline>
        </w:drawing>
      </w:r>
    </w:p>
    <w:p w:rsidR="00463261" w:rsidRDefault="00463261" w:rsidP="00AF748A">
      <w:pPr>
        <w:autoSpaceDE w:val="0"/>
        <w:autoSpaceDN w:val="0"/>
        <w:adjustRightInd w:val="0"/>
        <w:spacing w:after="120"/>
        <w:rPr>
          <w:sz w:val="22"/>
          <w:szCs w:val="22"/>
        </w:rPr>
      </w:pPr>
      <w:r>
        <w:rPr>
          <w:sz w:val="22"/>
          <w:szCs w:val="22"/>
        </w:rPr>
        <w:lastRenderedPageBreak/>
        <w:t xml:space="preserve">Figure 2 displays the fitted values from the 2 models presented in this homework.  In each case, the model predicts a trend which is predominantly towards lower relative hazard with increasing LDL. Neither of these models from this homework fits the continuously modelled LDL linear, logarithmic or quadratic models from homework #4.  Again, the fitted relative hazards are most discrepant where our data is sparse, especially at the low end of the range of LDL.  These models from this homework are not improvements on the models from last homework.  </w:t>
      </w:r>
    </w:p>
    <w:p w:rsidR="00261CFB" w:rsidRDefault="00A04727" w:rsidP="00B3230F">
      <w:pPr>
        <w:numPr>
          <w:ilvl w:val="1"/>
          <w:numId w:val="19"/>
        </w:numPr>
        <w:autoSpaceDE w:val="0"/>
        <w:autoSpaceDN w:val="0"/>
        <w:adjustRightInd w:val="0"/>
        <w:spacing w:after="120"/>
        <w:rPr>
          <w:sz w:val="22"/>
          <w:szCs w:val="22"/>
        </w:rPr>
      </w:pPr>
      <w:r>
        <w:rPr>
          <w:i/>
          <w:iCs/>
          <w:sz w:val="22"/>
          <w:szCs w:val="22"/>
        </w:rPr>
        <w:t xml:space="preserve">A </w:t>
      </w:r>
      <w:commentRangeStart w:id="47"/>
      <w:r>
        <w:rPr>
          <w:i/>
          <w:iCs/>
          <w:sz w:val="22"/>
          <w:szCs w:val="22"/>
        </w:rPr>
        <w:t>priori</w:t>
      </w:r>
      <w:commentRangeEnd w:id="47"/>
      <w:r w:rsidR="00A351CB">
        <w:rPr>
          <w:rStyle w:val="CommentReference"/>
        </w:rPr>
        <w:commentReference w:id="47"/>
      </w:r>
      <w:r>
        <w:rPr>
          <w:sz w:val="22"/>
          <w:szCs w:val="22"/>
        </w:rPr>
        <w:t xml:space="preserve">, of all the analyses we have considered for exploring an </w:t>
      </w:r>
      <w:r w:rsidR="0060495F">
        <w:rPr>
          <w:sz w:val="22"/>
          <w:szCs w:val="22"/>
        </w:rPr>
        <w:t xml:space="preserve">(unadjusted) </w:t>
      </w:r>
      <w:r>
        <w:rPr>
          <w:sz w:val="22"/>
          <w:szCs w:val="22"/>
        </w:rPr>
        <w:t>association between all cause mortality and serum LDL in an elderly population</w:t>
      </w:r>
      <w:r w:rsidR="0060495F">
        <w:rPr>
          <w:sz w:val="22"/>
          <w:szCs w:val="22"/>
        </w:rPr>
        <w:t>, which one would you prefer and why?</w:t>
      </w:r>
    </w:p>
    <w:p w:rsidR="00955043" w:rsidRPr="00955043" w:rsidRDefault="005F7145" w:rsidP="00AF748A">
      <w:pPr>
        <w:autoSpaceDE w:val="0"/>
        <w:autoSpaceDN w:val="0"/>
        <w:adjustRightInd w:val="0"/>
        <w:spacing w:after="120"/>
        <w:rPr>
          <w:sz w:val="22"/>
          <w:szCs w:val="22"/>
        </w:rPr>
      </w:pPr>
      <w:r w:rsidRPr="004B2C16">
        <w:rPr>
          <w:i/>
          <w:iCs/>
          <w:sz w:val="22"/>
          <w:szCs w:val="22"/>
        </w:rPr>
        <w:t>A priori</w:t>
      </w:r>
      <w:r>
        <w:rPr>
          <w:iCs/>
          <w:sz w:val="22"/>
          <w:szCs w:val="22"/>
        </w:rPr>
        <w:t xml:space="preserve">, of all the analyses performed thus far to explore for an unadjusted association between all-cause mortality and serum LDL in an elderly population, I prefer the proportional hazards model with LDL modelled as a continuous </w:t>
      </w:r>
      <w:r w:rsidR="004B2C16">
        <w:rPr>
          <w:iCs/>
          <w:sz w:val="22"/>
          <w:szCs w:val="22"/>
        </w:rPr>
        <w:t>logarithmically-transformed</w:t>
      </w:r>
      <w:r>
        <w:rPr>
          <w:iCs/>
          <w:sz w:val="22"/>
          <w:szCs w:val="22"/>
        </w:rPr>
        <w:t xml:space="preserve"> variable</w:t>
      </w:r>
      <w:r w:rsidR="00955043" w:rsidRPr="00955043">
        <w:rPr>
          <w:iCs/>
          <w:sz w:val="22"/>
          <w:szCs w:val="22"/>
        </w:rPr>
        <w:t xml:space="preserve">.  </w:t>
      </w:r>
      <w:r>
        <w:rPr>
          <w:iCs/>
          <w:sz w:val="22"/>
          <w:szCs w:val="22"/>
        </w:rPr>
        <w:t xml:space="preserve">This model allows for assessment of contribution of person-time to the analysis and is </w:t>
      </w:r>
      <w:r w:rsidR="004B2C16">
        <w:rPr>
          <w:iCs/>
          <w:sz w:val="22"/>
          <w:szCs w:val="22"/>
        </w:rPr>
        <w:t xml:space="preserve">more precise than the PH model with LDL modelled as a continuous linear variable (the latter model is only slightly easier to </w:t>
      </w:r>
      <w:commentRangeStart w:id="48"/>
      <w:r w:rsidR="004B2C16">
        <w:rPr>
          <w:iCs/>
          <w:sz w:val="22"/>
          <w:szCs w:val="22"/>
        </w:rPr>
        <w:t>interpret</w:t>
      </w:r>
      <w:commentRangeEnd w:id="48"/>
      <w:r w:rsidR="00394C1B">
        <w:rPr>
          <w:rStyle w:val="CommentReference"/>
        </w:rPr>
        <w:commentReference w:id="48"/>
      </w:r>
      <w:r w:rsidR="004B2C16">
        <w:rPr>
          <w:iCs/>
          <w:sz w:val="22"/>
          <w:szCs w:val="22"/>
        </w:rPr>
        <w:t xml:space="preserve">).    </w:t>
      </w:r>
      <w:r>
        <w:rPr>
          <w:iCs/>
          <w:sz w:val="22"/>
          <w:szCs w:val="22"/>
        </w:rPr>
        <w:t xml:space="preserve"> </w:t>
      </w:r>
    </w:p>
    <w:p w:rsidR="000817A7" w:rsidRDefault="007B1360" w:rsidP="008A23BE">
      <w:pPr>
        <w:pStyle w:val="PlainText"/>
        <w:jc w:val="center"/>
        <w:rPr>
          <w:rFonts w:ascii="Times New Roman" w:hAnsi="Times New Roman" w:cs="Times New Roman"/>
          <w:sz w:val="22"/>
          <w:szCs w:val="22"/>
        </w:rPr>
      </w:pPr>
      <w:r>
        <w:rPr>
          <w:rFonts w:ascii="Times New Roman" w:hAnsi="Times New Roman" w:cs="Times New Roman"/>
          <w:b/>
          <w:bCs/>
          <w:sz w:val="22"/>
          <w:szCs w:val="22"/>
        </w:rPr>
        <w:t xml:space="preserve">Discussion Sections: </w:t>
      </w:r>
      <w:r w:rsidR="008A23BE">
        <w:rPr>
          <w:rFonts w:ascii="Times New Roman" w:hAnsi="Times New Roman" w:cs="Times New Roman"/>
          <w:b/>
          <w:bCs/>
          <w:sz w:val="22"/>
          <w:szCs w:val="22"/>
        </w:rPr>
        <w:t>February 3 - 7</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8A23BE">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w:t>
      </w:r>
      <w:r w:rsidR="008A23BE">
        <w:rPr>
          <w:rFonts w:ascii="Times New Roman" w:hAnsi="Times New Roman" w:cs="Times New Roman"/>
          <w:sz w:val="22"/>
          <w:szCs w:val="22"/>
        </w:rPr>
        <w:t>descriptive statistics, especially as they relate to confounding, precision, effect modification, and the impact of heteroscedasticity</w:t>
      </w:r>
      <w:r w:rsidR="009D5804">
        <w:rPr>
          <w:rFonts w:ascii="Times New Roman" w:hAnsi="Times New Roman" w:cs="Times New Roman"/>
          <w:sz w:val="22"/>
          <w:szCs w:val="22"/>
        </w:rPr>
        <w:t>.</w:t>
      </w:r>
    </w:p>
    <w:sectPr w:rsidR="009D5804" w:rsidRPr="009D5804" w:rsidSect="00705ECB">
      <w:headerReference w:type="default" r:id="rId12"/>
      <w:pgSz w:w="12240" w:h="15840"/>
      <w:pgMar w:top="1296" w:right="1296" w:bottom="1296" w:left="1296"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E262A3" w:rsidRDefault="00E262A3">
      <w:pPr>
        <w:pStyle w:val="CommentText"/>
        <w:rPr>
          <w:b/>
        </w:rPr>
      </w:pPr>
      <w:r>
        <w:rPr>
          <w:rStyle w:val="CommentReference"/>
        </w:rPr>
        <w:annotationRef/>
      </w:r>
      <w:r>
        <w:rPr>
          <w:b/>
        </w:rPr>
        <w:t>Total:</w:t>
      </w:r>
      <w:r w:rsidR="00A351CB">
        <w:rPr>
          <w:b/>
        </w:rPr>
        <w:t xml:space="preserve"> </w:t>
      </w:r>
      <w:r w:rsidR="00AC2456">
        <w:rPr>
          <w:b/>
        </w:rPr>
        <w:t>61.5</w:t>
      </w:r>
      <w:bookmarkStart w:id="1" w:name="_GoBack"/>
      <w:bookmarkEnd w:id="1"/>
      <w:r w:rsidR="00A351CB">
        <w:rPr>
          <w:b/>
        </w:rPr>
        <w:t>/81</w:t>
      </w:r>
    </w:p>
    <w:p w:rsidR="00E262A3" w:rsidRDefault="00E262A3">
      <w:pPr>
        <w:pStyle w:val="CommentText"/>
        <w:rPr>
          <w:b/>
        </w:rPr>
      </w:pPr>
      <w:r>
        <w:rPr>
          <w:b/>
        </w:rPr>
        <w:t xml:space="preserve">Problem </w:t>
      </w:r>
      <w:r w:rsidR="001B67D3">
        <w:rPr>
          <w:b/>
        </w:rPr>
        <w:t>1: 27/30</w:t>
      </w:r>
    </w:p>
    <w:p w:rsidR="00E262A3" w:rsidRDefault="00E262A3">
      <w:pPr>
        <w:pStyle w:val="CommentText"/>
        <w:rPr>
          <w:b/>
        </w:rPr>
      </w:pPr>
      <w:r>
        <w:rPr>
          <w:b/>
        </w:rPr>
        <w:t>Problem 2:</w:t>
      </w:r>
      <w:r w:rsidR="00BE479F">
        <w:rPr>
          <w:b/>
        </w:rPr>
        <w:t xml:space="preserve"> 1</w:t>
      </w:r>
      <w:r w:rsidR="007C6B71">
        <w:rPr>
          <w:b/>
        </w:rPr>
        <w:t>3</w:t>
      </w:r>
      <w:r w:rsidR="00BE479F">
        <w:rPr>
          <w:b/>
        </w:rPr>
        <w:t>/20</w:t>
      </w:r>
    </w:p>
    <w:p w:rsidR="00BE479F" w:rsidRDefault="00BE479F">
      <w:pPr>
        <w:pStyle w:val="CommentText"/>
        <w:rPr>
          <w:b/>
        </w:rPr>
      </w:pPr>
      <w:r>
        <w:rPr>
          <w:b/>
        </w:rPr>
        <w:t xml:space="preserve">Problem 3: </w:t>
      </w:r>
      <w:r w:rsidR="007C6B71">
        <w:rPr>
          <w:b/>
        </w:rPr>
        <w:t>12</w:t>
      </w:r>
      <w:r>
        <w:rPr>
          <w:b/>
        </w:rPr>
        <w:t>/20</w:t>
      </w:r>
    </w:p>
    <w:p w:rsidR="007C6B71" w:rsidRPr="00E262A3" w:rsidRDefault="007C6B71">
      <w:pPr>
        <w:pStyle w:val="CommentText"/>
        <w:rPr>
          <w:b/>
        </w:rPr>
      </w:pPr>
      <w:r>
        <w:rPr>
          <w:b/>
        </w:rPr>
        <w:t xml:space="preserve">Problem 4: </w:t>
      </w:r>
      <w:r w:rsidR="00394C1B">
        <w:rPr>
          <w:b/>
        </w:rPr>
        <w:t>9.5</w:t>
      </w:r>
      <w:r w:rsidR="00A351CB">
        <w:rPr>
          <w:b/>
        </w:rPr>
        <w:t>/11</w:t>
      </w:r>
    </w:p>
  </w:comment>
  <w:comment w:id="2" w:author="Author" w:initials="A">
    <w:p w:rsidR="008D52D7" w:rsidRPr="008D52D7" w:rsidRDefault="00E262A3">
      <w:pPr>
        <w:pStyle w:val="CommentText"/>
        <w:rPr>
          <w:b/>
        </w:rPr>
      </w:pPr>
      <w:r>
        <w:rPr>
          <w:rStyle w:val="CommentReference"/>
        </w:rPr>
        <w:annotationRef/>
      </w:r>
      <w:r w:rsidR="008D52D7">
        <w:rPr>
          <w:b/>
        </w:rPr>
        <w:t>27/30</w:t>
      </w:r>
    </w:p>
    <w:p w:rsidR="00E262A3" w:rsidRDefault="00E262A3">
      <w:pPr>
        <w:pStyle w:val="CommentText"/>
      </w:pPr>
      <w:r>
        <w:t>A: 9/10</w:t>
      </w:r>
    </w:p>
    <w:p w:rsidR="00E262A3" w:rsidRDefault="00E262A3">
      <w:pPr>
        <w:pStyle w:val="CommentText"/>
      </w:pPr>
      <w:r>
        <w:t>B: 3/3</w:t>
      </w:r>
    </w:p>
    <w:p w:rsidR="00E262A3" w:rsidRDefault="00E262A3">
      <w:pPr>
        <w:pStyle w:val="CommentText"/>
      </w:pPr>
      <w:r>
        <w:t xml:space="preserve">C: </w:t>
      </w:r>
      <w:r w:rsidR="008D52D7">
        <w:t>3</w:t>
      </w:r>
      <w:r>
        <w:t>/3</w:t>
      </w:r>
    </w:p>
    <w:p w:rsidR="008D52D7" w:rsidRDefault="008D52D7">
      <w:pPr>
        <w:pStyle w:val="CommentText"/>
      </w:pPr>
      <w:r>
        <w:t>D: 3/3</w:t>
      </w:r>
    </w:p>
    <w:p w:rsidR="008D52D7" w:rsidRDefault="008D52D7">
      <w:pPr>
        <w:pStyle w:val="CommentText"/>
      </w:pPr>
      <w:r>
        <w:t>E: 3/3</w:t>
      </w:r>
    </w:p>
    <w:p w:rsidR="008D52D7" w:rsidRDefault="008D52D7">
      <w:pPr>
        <w:pStyle w:val="CommentText"/>
      </w:pPr>
      <w:r>
        <w:t>F: 3/3</w:t>
      </w:r>
    </w:p>
    <w:p w:rsidR="00E262A3" w:rsidRDefault="008D52D7" w:rsidP="00E262A3">
      <w:pPr>
        <w:pStyle w:val="CommentText"/>
        <w:tabs>
          <w:tab w:val="left" w:pos="6210"/>
        </w:tabs>
      </w:pPr>
      <w:r>
        <w:t>G: 3/5</w:t>
      </w:r>
    </w:p>
  </w:comment>
  <w:comment w:id="3" w:author="Author" w:initials="A">
    <w:p w:rsidR="00E262A3" w:rsidRPr="00E262A3" w:rsidRDefault="00E262A3">
      <w:pPr>
        <w:pStyle w:val="CommentText"/>
        <w:rPr>
          <w:b/>
        </w:rPr>
      </w:pPr>
      <w:r>
        <w:rPr>
          <w:rStyle w:val="CommentReference"/>
        </w:rPr>
        <w:annotationRef/>
      </w:r>
      <w:r>
        <w:rPr>
          <w:b/>
        </w:rPr>
        <w:t>9/10</w:t>
      </w:r>
    </w:p>
  </w:comment>
  <w:comment w:id="4" w:author="Author" w:initials="A">
    <w:p w:rsidR="00E262A3" w:rsidRDefault="00E262A3">
      <w:pPr>
        <w:pStyle w:val="CommentText"/>
      </w:pPr>
      <w:r>
        <w:rPr>
          <w:rStyle w:val="CommentReference"/>
        </w:rPr>
        <w:annotationRef/>
      </w:r>
      <w:r>
        <w:t>4.5/4.5</w:t>
      </w:r>
    </w:p>
    <w:p w:rsidR="00E262A3" w:rsidRDefault="00E262A3">
      <w:pPr>
        <w:pStyle w:val="CommentText"/>
      </w:pPr>
      <w:r>
        <w:t>Good methods</w:t>
      </w:r>
    </w:p>
  </w:comment>
  <w:comment w:id="5" w:author="Author" w:initials="A">
    <w:p w:rsidR="00E262A3" w:rsidRDefault="00E262A3">
      <w:pPr>
        <w:pStyle w:val="CommentText"/>
      </w:pPr>
      <w:r>
        <w:rPr>
          <w:rStyle w:val="CommentReference"/>
        </w:rPr>
        <w:annotationRef/>
      </w:r>
      <w:r>
        <w:t>Good, +1</w:t>
      </w:r>
    </w:p>
  </w:comment>
  <w:comment w:id="6" w:author="Author" w:initials="A">
    <w:p w:rsidR="00E262A3" w:rsidRDefault="00E262A3">
      <w:pPr>
        <w:pStyle w:val="CommentText"/>
      </w:pPr>
      <w:r>
        <w:rPr>
          <w:rStyle w:val="CommentReference"/>
        </w:rPr>
        <w:annotationRef/>
      </w:r>
      <w:r>
        <w:t>3.5/4.5</w:t>
      </w:r>
    </w:p>
  </w:comment>
  <w:comment w:id="7" w:author="Author" w:initials="A">
    <w:p w:rsidR="00E262A3" w:rsidRDefault="00E262A3">
      <w:pPr>
        <w:pStyle w:val="CommentText"/>
      </w:pPr>
      <w:r>
        <w:rPr>
          <w:rStyle w:val="CommentReference"/>
        </w:rPr>
        <w:annotationRef/>
      </w:r>
      <w:r>
        <w:t>Should be 44 based on the key</w:t>
      </w:r>
    </w:p>
  </w:comment>
  <w:comment w:id="8" w:author="Author" w:initials="A">
    <w:p w:rsidR="00E262A3" w:rsidRDefault="00E262A3">
      <w:pPr>
        <w:pStyle w:val="CommentText"/>
      </w:pPr>
      <w:r>
        <w:rPr>
          <w:rStyle w:val="CommentReference"/>
        </w:rPr>
        <w:annotationRef/>
      </w:r>
      <w:r>
        <w:t>Give prevalence in every racial group -0.5</w:t>
      </w:r>
    </w:p>
  </w:comment>
  <w:comment w:id="9" w:author="Author" w:initials="A">
    <w:p w:rsidR="00E262A3" w:rsidRDefault="00E262A3">
      <w:pPr>
        <w:pStyle w:val="CommentText"/>
      </w:pPr>
      <w:r>
        <w:rPr>
          <w:rStyle w:val="CommentReference"/>
        </w:rPr>
        <w:annotationRef/>
      </w:r>
      <w:r>
        <w:t>P = 0.110 on key</w:t>
      </w:r>
    </w:p>
  </w:comment>
  <w:comment w:id="10" w:author="Author" w:initials="A">
    <w:p w:rsidR="00E262A3" w:rsidRDefault="00E262A3">
      <w:pPr>
        <w:pStyle w:val="CommentText"/>
        <w:rPr>
          <w:b/>
        </w:rPr>
      </w:pPr>
      <w:r>
        <w:rPr>
          <w:rStyle w:val="CommentReference"/>
        </w:rPr>
        <w:annotationRef/>
      </w:r>
      <w:r>
        <w:rPr>
          <w:b/>
        </w:rPr>
        <w:t>3/3</w:t>
      </w:r>
    </w:p>
    <w:p w:rsidR="00E262A3" w:rsidRPr="00E262A3" w:rsidRDefault="00E262A3">
      <w:pPr>
        <w:pStyle w:val="CommentText"/>
      </w:pPr>
      <w:r>
        <w:t>great, you only need to include the exponentiated parameters though</w:t>
      </w:r>
    </w:p>
  </w:comment>
  <w:comment w:id="11" w:author="Author" w:initials="A">
    <w:p w:rsidR="00E262A3" w:rsidRDefault="00E262A3">
      <w:pPr>
        <w:pStyle w:val="CommentText"/>
      </w:pPr>
      <w:r>
        <w:rPr>
          <w:rStyle w:val="CommentReference"/>
        </w:rPr>
        <w:annotationRef/>
      </w:r>
      <w:r w:rsidR="008D52D7">
        <w:t>3</w:t>
      </w:r>
      <w:r>
        <w:t>/3</w:t>
      </w:r>
    </w:p>
    <w:p w:rsidR="008D52D7" w:rsidRDefault="008D52D7">
      <w:pPr>
        <w:pStyle w:val="CommentText"/>
      </w:pPr>
      <w:r>
        <w:t>good</w:t>
      </w:r>
    </w:p>
  </w:comment>
  <w:comment w:id="12" w:author="Author" w:initials="A">
    <w:p w:rsidR="008D52D7" w:rsidRDefault="008D52D7">
      <w:pPr>
        <w:pStyle w:val="CommentText"/>
      </w:pPr>
      <w:r>
        <w:t>3</w:t>
      </w:r>
      <w:r>
        <w:rPr>
          <w:rStyle w:val="CommentReference"/>
        </w:rPr>
        <w:annotationRef/>
      </w:r>
      <w:r>
        <w:t>/3</w:t>
      </w:r>
    </w:p>
  </w:comment>
  <w:comment w:id="13" w:author="Author" w:initials="A">
    <w:p w:rsidR="008D52D7" w:rsidRDefault="008D52D7">
      <w:pPr>
        <w:pStyle w:val="CommentText"/>
      </w:pPr>
      <w:r>
        <w:rPr>
          <w:rStyle w:val="CommentReference"/>
        </w:rPr>
        <w:annotationRef/>
      </w:r>
      <w:r>
        <w:t>Good, this was the only thing required for this question.</w:t>
      </w:r>
    </w:p>
  </w:comment>
  <w:comment w:id="14" w:author="Author" w:initials="A">
    <w:p w:rsidR="008D52D7" w:rsidRDefault="008D52D7">
      <w:pPr>
        <w:pStyle w:val="CommentText"/>
      </w:pPr>
      <w:r>
        <w:rPr>
          <w:rStyle w:val="CommentReference"/>
        </w:rPr>
        <w:annotationRef/>
      </w:r>
      <w:r>
        <w:t>3/3</w:t>
      </w:r>
    </w:p>
  </w:comment>
  <w:comment w:id="15" w:author="Author" w:initials="A">
    <w:p w:rsidR="008D52D7" w:rsidRDefault="008D52D7">
      <w:pPr>
        <w:pStyle w:val="CommentText"/>
      </w:pPr>
      <w:r>
        <w:rPr>
          <w:rStyle w:val="CommentReference"/>
        </w:rPr>
        <w:annotationRef/>
      </w:r>
      <w:r>
        <w:t>3/3</w:t>
      </w:r>
    </w:p>
  </w:comment>
  <w:comment w:id="16" w:author="Author" w:initials="A">
    <w:p w:rsidR="008D52D7" w:rsidRDefault="008D52D7">
      <w:pPr>
        <w:pStyle w:val="CommentText"/>
      </w:pPr>
      <w:r>
        <w:rPr>
          <w:rStyle w:val="CommentReference"/>
        </w:rPr>
        <w:annotationRef/>
      </w:r>
      <w:r>
        <w:t>3/5</w:t>
      </w:r>
    </w:p>
  </w:comment>
  <w:comment w:id="17" w:author="Author" w:initials="A">
    <w:p w:rsidR="008D52D7" w:rsidRDefault="008D52D7">
      <w:pPr>
        <w:pStyle w:val="CommentText"/>
      </w:pPr>
      <w:r>
        <w:rPr>
          <w:rStyle w:val="CommentReference"/>
        </w:rPr>
        <w:annotationRef/>
      </w:r>
      <w:r>
        <w:t>Would want to include all or none, comparisons are still going to be based on coding</w:t>
      </w:r>
    </w:p>
  </w:comment>
  <w:comment w:id="18" w:author="Author" w:initials="A">
    <w:p w:rsidR="001B67D3" w:rsidRPr="00DA01FA" w:rsidRDefault="001B67D3">
      <w:pPr>
        <w:pStyle w:val="CommentText"/>
        <w:rPr>
          <w:b/>
        </w:rPr>
      </w:pPr>
      <w:r w:rsidRPr="00DA01FA">
        <w:rPr>
          <w:rStyle w:val="CommentReference"/>
          <w:b/>
        </w:rPr>
        <w:annotationRef/>
      </w:r>
      <w:r w:rsidR="00DA01FA">
        <w:rPr>
          <w:b/>
        </w:rPr>
        <w:t>1</w:t>
      </w:r>
      <w:r w:rsidR="007C6B71">
        <w:rPr>
          <w:b/>
        </w:rPr>
        <w:t>3</w:t>
      </w:r>
      <w:r w:rsidR="00DA01FA" w:rsidRPr="00DA01FA">
        <w:rPr>
          <w:b/>
        </w:rPr>
        <w:t>/20</w:t>
      </w:r>
    </w:p>
    <w:p w:rsidR="001B67D3" w:rsidRDefault="001B67D3">
      <w:pPr>
        <w:pStyle w:val="CommentText"/>
      </w:pPr>
      <w:r>
        <w:t>A:</w:t>
      </w:r>
      <w:r w:rsidR="00A91332">
        <w:t xml:space="preserve"> 7/10</w:t>
      </w:r>
    </w:p>
    <w:p w:rsidR="00DA01FA" w:rsidRDefault="00DA01FA">
      <w:pPr>
        <w:pStyle w:val="CommentText"/>
      </w:pPr>
      <w:r>
        <w:t>B: 4/5</w:t>
      </w:r>
    </w:p>
    <w:p w:rsidR="00DA01FA" w:rsidRDefault="00DA01FA">
      <w:pPr>
        <w:pStyle w:val="CommentText"/>
      </w:pPr>
      <w:r>
        <w:t xml:space="preserve">C: </w:t>
      </w:r>
      <w:r w:rsidR="007C6B71">
        <w:t>2</w:t>
      </w:r>
      <w:r>
        <w:t>/5</w:t>
      </w:r>
    </w:p>
    <w:p w:rsidR="00DA01FA" w:rsidRDefault="00DA01FA">
      <w:pPr>
        <w:pStyle w:val="CommentText"/>
      </w:pPr>
      <w:r>
        <w:t>D: NA</w:t>
      </w:r>
    </w:p>
  </w:comment>
  <w:comment w:id="19" w:author="Author" w:initials="A">
    <w:p w:rsidR="001B67D3" w:rsidRDefault="001B67D3">
      <w:pPr>
        <w:pStyle w:val="CommentText"/>
      </w:pPr>
      <w:r>
        <w:rPr>
          <w:rStyle w:val="CommentReference"/>
        </w:rPr>
        <w:annotationRef/>
      </w:r>
      <w:r w:rsidR="00A91332">
        <w:t>7</w:t>
      </w:r>
      <w:r>
        <w:t>/10</w:t>
      </w:r>
    </w:p>
  </w:comment>
  <w:comment w:id="20" w:author="Author" w:initials="A">
    <w:p w:rsidR="001B67D3" w:rsidRDefault="001B67D3">
      <w:pPr>
        <w:pStyle w:val="CommentText"/>
      </w:pPr>
      <w:r>
        <w:rPr>
          <w:rStyle w:val="CommentReference"/>
        </w:rPr>
        <w:annotationRef/>
      </w:r>
      <w:r>
        <w:t>2.5/2.5 good!</w:t>
      </w:r>
    </w:p>
  </w:comment>
  <w:comment w:id="21" w:author="Author" w:initials="A">
    <w:p w:rsidR="001B67D3" w:rsidRDefault="001B67D3">
      <w:pPr>
        <w:pStyle w:val="CommentText"/>
      </w:pPr>
      <w:r>
        <w:rPr>
          <w:rStyle w:val="CommentReference"/>
        </w:rPr>
        <w:annotationRef/>
      </w:r>
      <w:r w:rsidR="00A91332">
        <w:t>1.5</w:t>
      </w:r>
      <w:r>
        <w:t>/2.5</w:t>
      </w:r>
    </w:p>
  </w:comment>
  <w:comment w:id="22" w:author="Author" w:initials="A">
    <w:p w:rsidR="00A91332" w:rsidRDefault="00A91332">
      <w:pPr>
        <w:pStyle w:val="CommentText"/>
      </w:pPr>
      <w:r>
        <w:rPr>
          <w:rStyle w:val="CommentReference"/>
        </w:rPr>
        <w:annotationRef/>
      </w:r>
      <w:r>
        <w:t>This should be 10</w:t>
      </w:r>
      <w:r w:rsidRPr="00A91332">
        <w:rPr>
          <w:vertAlign w:val="superscript"/>
        </w:rPr>
        <w:t>th</w:t>
      </w:r>
      <w:r>
        <w:t xml:space="preserve"> and 20</w:t>
      </w:r>
      <w:r w:rsidRPr="00A91332">
        <w:rPr>
          <w:vertAlign w:val="superscript"/>
        </w:rPr>
        <w:t>th</w:t>
      </w:r>
      <w:r>
        <w:t xml:space="preserve"> percentiles -1</w:t>
      </w:r>
    </w:p>
  </w:comment>
  <w:comment w:id="23" w:author="Author" w:initials="A">
    <w:p w:rsidR="00A91332" w:rsidRDefault="00A91332">
      <w:pPr>
        <w:pStyle w:val="CommentText"/>
      </w:pPr>
      <w:r>
        <w:rPr>
          <w:rStyle w:val="CommentReference"/>
        </w:rPr>
        <w:annotationRef/>
      </w:r>
      <w:r>
        <w:t>1.5/2.5</w:t>
      </w:r>
    </w:p>
  </w:comment>
  <w:comment w:id="24" w:author="Author" w:initials="A">
    <w:p w:rsidR="00A91332" w:rsidRDefault="00A91332">
      <w:pPr>
        <w:pStyle w:val="CommentText"/>
      </w:pPr>
      <w:r>
        <w:rPr>
          <w:rStyle w:val="CommentReference"/>
        </w:rPr>
        <w:annotationRef/>
      </w:r>
      <w:r>
        <w:t>Should have used robust/Huber-White sandwich estimator</w:t>
      </w:r>
    </w:p>
  </w:comment>
  <w:comment w:id="25" w:author="Author" w:initials="A">
    <w:p w:rsidR="00A91332" w:rsidRDefault="00A91332">
      <w:pPr>
        <w:pStyle w:val="CommentText"/>
      </w:pPr>
      <w:r>
        <w:rPr>
          <w:rStyle w:val="CommentReference"/>
        </w:rPr>
        <w:annotationRef/>
      </w:r>
      <w:r>
        <w:t>1.5/2.5</w:t>
      </w:r>
    </w:p>
  </w:comment>
  <w:comment w:id="26" w:author="Author" w:initials="A">
    <w:p w:rsidR="00A91332" w:rsidRDefault="00A91332">
      <w:pPr>
        <w:pStyle w:val="CommentText"/>
      </w:pPr>
      <w:r>
        <w:rPr>
          <w:rStyle w:val="CommentReference"/>
        </w:rPr>
        <w:annotationRef/>
      </w:r>
      <w:r>
        <w:t>Should still include basics, like number of observations, length of time, mean LDL, and number of events</w:t>
      </w:r>
    </w:p>
  </w:comment>
  <w:comment w:id="27" w:author="Author" w:initials="A">
    <w:p w:rsidR="00DA01FA" w:rsidRDefault="00DA01FA">
      <w:pPr>
        <w:pStyle w:val="CommentText"/>
      </w:pPr>
      <w:r>
        <w:rPr>
          <w:rStyle w:val="CommentReference"/>
        </w:rPr>
        <w:annotationRef/>
      </w:r>
      <w:r>
        <w:t>4/5</w:t>
      </w:r>
    </w:p>
    <w:p w:rsidR="00DA01FA" w:rsidRDefault="00DA01FA">
      <w:pPr>
        <w:pStyle w:val="CommentText"/>
      </w:pPr>
      <w:r>
        <w:t>Just need to show exponentiated parameters</w:t>
      </w:r>
    </w:p>
  </w:comment>
  <w:comment w:id="28" w:author="Author" w:initials="A">
    <w:p w:rsidR="00DA01FA" w:rsidRDefault="00DA01FA">
      <w:pPr>
        <w:pStyle w:val="CommentText"/>
      </w:pPr>
      <w:r>
        <w:rPr>
          <w:rStyle w:val="CommentReference"/>
        </w:rPr>
        <w:annotationRef/>
      </w:r>
      <w:r>
        <w:t>Regression models don’t have intercept as a parameter. There is a baseline hazard but that is typically not estimated/useful</w:t>
      </w:r>
    </w:p>
  </w:comment>
  <w:comment w:id="29" w:author="Author" w:initials="A">
    <w:p w:rsidR="00DA01FA" w:rsidRDefault="00DA01FA">
      <w:pPr>
        <w:pStyle w:val="CommentText"/>
      </w:pPr>
      <w:r>
        <w:rPr>
          <w:rStyle w:val="CommentReference"/>
        </w:rPr>
        <w:annotationRef/>
      </w:r>
      <w:r w:rsidR="007C6B71">
        <w:t>2</w:t>
      </w:r>
      <w:r>
        <w:t>/5</w:t>
      </w:r>
    </w:p>
  </w:comment>
  <w:comment w:id="30" w:author="Author" w:initials="A">
    <w:p w:rsidR="00DA01FA" w:rsidRDefault="00DA01FA">
      <w:pPr>
        <w:pStyle w:val="CommentText"/>
      </w:pPr>
      <w:r>
        <w:rPr>
          <w:rStyle w:val="CommentReference"/>
        </w:rPr>
        <w:annotationRef/>
      </w:r>
      <w:r>
        <w:t>P=0.399</w:t>
      </w:r>
    </w:p>
    <w:p w:rsidR="00DA01FA" w:rsidRDefault="00DA01FA">
      <w:pPr>
        <w:pStyle w:val="CommentText"/>
      </w:pPr>
      <w:r>
        <w:t>Should reach opposite conclusion</w:t>
      </w:r>
    </w:p>
  </w:comment>
  <w:comment w:id="31" w:author="Author" w:initials="A">
    <w:p w:rsidR="00BE479F" w:rsidRPr="00DA01FA" w:rsidRDefault="00BE479F" w:rsidP="00BE479F">
      <w:pPr>
        <w:pStyle w:val="CommentText"/>
        <w:rPr>
          <w:b/>
        </w:rPr>
      </w:pPr>
      <w:r>
        <w:rPr>
          <w:rStyle w:val="CommentReference"/>
        </w:rPr>
        <w:annotationRef/>
      </w:r>
      <w:r w:rsidR="007C6B71">
        <w:rPr>
          <w:b/>
        </w:rPr>
        <w:t>12</w:t>
      </w:r>
      <w:r w:rsidRPr="00DA01FA">
        <w:rPr>
          <w:b/>
        </w:rPr>
        <w:t>/20</w:t>
      </w:r>
    </w:p>
    <w:p w:rsidR="00BE479F" w:rsidRDefault="00BE479F" w:rsidP="00BE479F">
      <w:pPr>
        <w:pStyle w:val="CommentText"/>
      </w:pPr>
      <w:r w:rsidRPr="007C6B71">
        <w:t xml:space="preserve">A: </w:t>
      </w:r>
      <w:r w:rsidR="007C6B71" w:rsidRPr="007C6B71">
        <w:t>6</w:t>
      </w:r>
      <w:r>
        <w:t>/10</w:t>
      </w:r>
    </w:p>
    <w:p w:rsidR="00BE479F" w:rsidRDefault="00BE479F" w:rsidP="00BE479F">
      <w:pPr>
        <w:pStyle w:val="CommentText"/>
      </w:pPr>
      <w:r>
        <w:t xml:space="preserve">B: </w:t>
      </w:r>
      <w:r w:rsidR="007C6B71">
        <w:t>4</w:t>
      </w:r>
      <w:r>
        <w:t>/5</w:t>
      </w:r>
    </w:p>
    <w:p w:rsidR="00BE479F" w:rsidRDefault="00BE479F" w:rsidP="00BE479F">
      <w:pPr>
        <w:pStyle w:val="CommentText"/>
      </w:pPr>
      <w:r>
        <w:t xml:space="preserve">C: </w:t>
      </w:r>
      <w:r w:rsidR="007C6B71">
        <w:t>2</w:t>
      </w:r>
      <w:r>
        <w:t>/5</w:t>
      </w:r>
    </w:p>
    <w:p w:rsidR="00BE479F" w:rsidRDefault="00BE479F" w:rsidP="00BE479F">
      <w:pPr>
        <w:pStyle w:val="CommentText"/>
      </w:pPr>
      <w:r>
        <w:t>D: NA</w:t>
      </w:r>
    </w:p>
  </w:comment>
  <w:comment w:id="32" w:author="Author" w:initials="A">
    <w:p w:rsidR="00BE479F" w:rsidRDefault="00BE479F">
      <w:pPr>
        <w:pStyle w:val="CommentText"/>
      </w:pPr>
      <w:r>
        <w:rPr>
          <w:rStyle w:val="CommentReference"/>
        </w:rPr>
        <w:annotationRef/>
      </w:r>
      <w:r w:rsidR="007C6B71">
        <w:t>6</w:t>
      </w:r>
      <w:r>
        <w:t>/10</w:t>
      </w:r>
    </w:p>
  </w:comment>
  <w:comment w:id="33" w:author="Author" w:initials="A">
    <w:p w:rsidR="00BE479F" w:rsidRDefault="00BE479F">
      <w:pPr>
        <w:pStyle w:val="CommentText"/>
      </w:pPr>
      <w:r>
        <w:rPr>
          <w:rStyle w:val="CommentReference"/>
        </w:rPr>
        <w:annotationRef/>
      </w:r>
      <w:r>
        <w:t>1.5/2.5</w:t>
      </w:r>
    </w:p>
  </w:comment>
  <w:comment w:id="34" w:author="Author" w:initials="A">
    <w:p w:rsidR="00BE479F" w:rsidRDefault="00BE479F">
      <w:pPr>
        <w:pStyle w:val="CommentText"/>
      </w:pPr>
      <w:r>
        <w:rPr>
          <w:rStyle w:val="CommentReference"/>
        </w:rPr>
        <w:annotationRef/>
      </w:r>
      <w:r>
        <w:t>Good, 4/5 for descriptive stats from above</w:t>
      </w:r>
    </w:p>
  </w:comment>
  <w:comment w:id="35" w:author="Author" w:initials="A">
    <w:p w:rsidR="00BE479F" w:rsidRDefault="007C6B71">
      <w:pPr>
        <w:pStyle w:val="CommentText"/>
      </w:pPr>
      <w:r>
        <w:rPr>
          <w:rStyle w:val="CommentReference"/>
        </w:rPr>
        <w:annotationRef/>
      </w:r>
      <w:r>
        <w:t>Should have used robust/Huber-White sandwich estimator</w:t>
      </w:r>
    </w:p>
  </w:comment>
  <w:comment w:id="36" w:author="Author" w:initials="A">
    <w:p w:rsidR="00BE479F" w:rsidRDefault="00BE479F">
      <w:pPr>
        <w:pStyle w:val="CommentText"/>
      </w:pPr>
      <w:r>
        <w:rPr>
          <w:rStyle w:val="CommentReference"/>
        </w:rPr>
        <w:annotationRef/>
      </w:r>
      <w:r w:rsidR="007C6B71">
        <w:t>0.5</w:t>
      </w:r>
      <w:r>
        <w:t>/2.5</w:t>
      </w:r>
    </w:p>
  </w:comment>
  <w:comment w:id="37" w:author="Author" w:initials="A">
    <w:p w:rsidR="007C6B71" w:rsidRDefault="007C6B71">
      <w:pPr>
        <w:pStyle w:val="CommentText"/>
      </w:pPr>
      <w:r>
        <w:rPr>
          <w:rStyle w:val="CommentReference"/>
        </w:rPr>
        <w:annotationRef/>
      </w:r>
      <w:r>
        <w:rPr>
          <w:rStyle w:val="CommentReference"/>
        </w:rPr>
        <w:annotationRef/>
      </w:r>
      <w:r>
        <w:t>Should still include basics, like number of observations, length of time, mean LDL, and number of events</w:t>
      </w:r>
    </w:p>
  </w:comment>
  <w:comment w:id="38" w:author="Author" w:initials="A">
    <w:p w:rsidR="007C6B71" w:rsidRDefault="007C6B71">
      <w:pPr>
        <w:pStyle w:val="CommentText"/>
      </w:pPr>
      <w:r>
        <w:rPr>
          <w:rStyle w:val="CommentReference"/>
        </w:rPr>
        <w:annotationRef/>
      </w:r>
      <w:r>
        <w:t>This is not the correct interpretaion</w:t>
      </w:r>
    </w:p>
  </w:comment>
  <w:comment w:id="39" w:author="Author" w:initials="A">
    <w:p w:rsidR="007C6B71" w:rsidRDefault="007C6B71">
      <w:pPr>
        <w:pStyle w:val="CommentText"/>
      </w:pPr>
      <w:r>
        <w:rPr>
          <w:rStyle w:val="CommentReference"/>
        </w:rPr>
        <w:annotationRef/>
      </w:r>
      <w:r>
        <w:t>4/5</w:t>
      </w:r>
    </w:p>
  </w:comment>
  <w:comment w:id="40" w:author="Author" w:initials="A">
    <w:p w:rsidR="007C6B71" w:rsidRDefault="007C6B71">
      <w:pPr>
        <w:pStyle w:val="CommentText"/>
      </w:pPr>
      <w:r>
        <w:rPr>
          <w:rStyle w:val="CommentReference"/>
        </w:rPr>
        <w:annotationRef/>
      </w:r>
      <w:r>
        <w:t>Good, need this interpretation for the rest of the parameters</w:t>
      </w:r>
    </w:p>
  </w:comment>
  <w:comment w:id="41" w:author="Author" w:initials="A">
    <w:p w:rsidR="007C6B71" w:rsidRDefault="007C6B71">
      <w:pPr>
        <w:pStyle w:val="CommentText"/>
      </w:pPr>
      <w:r>
        <w:rPr>
          <w:rStyle w:val="CommentReference"/>
        </w:rPr>
        <w:annotationRef/>
      </w:r>
      <w:r>
        <w:t>2/5</w:t>
      </w:r>
    </w:p>
  </w:comment>
  <w:comment w:id="42" w:author="Author" w:initials="A">
    <w:p w:rsidR="007C6B71" w:rsidRDefault="007C6B71">
      <w:pPr>
        <w:pStyle w:val="CommentText"/>
      </w:pPr>
      <w:r>
        <w:rPr>
          <w:rStyle w:val="CommentReference"/>
        </w:rPr>
        <w:annotationRef/>
      </w:r>
      <w:r>
        <w:t>P=0.079</w:t>
      </w:r>
    </w:p>
  </w:comment>
  <w:comment w:id="43" w:author="Author" w:initials="A">
    <w:p w:rsidR="00A351CB" w:rsidRPr="00A351CB" w:rsidRDefault="00A351CB">
      <w:pPr>
        <w:pStyle w:val="CommentText"/>
        <w:rPr>
          <w:b/>
        </w:rPr>
      </w:pPr>
      <w:r w:rsidRPr="00A351CB">
        <w:rPr>
          <w:rStyle w:val="CommentReference"/>
          <w:b/>
        </w:rPr>
        <w:annotationRef/>
      </w:r>
      <w:r w:rsidR="00394C1B">
        <w:rPr>
          <w:b/>
        </w:rPr>
        <w:t>9.5</w:t>
      </w:r>
      <w:r w:rsidRPr="00A351CB">
        <w:rPr>
          <w:b/>
        </w:rPr>
        <w:t>/11</w:t>
      </w:r>
    </w:p>
    <w:p w:rsidR="00A351CB" w:rsidRDefault="00A351CB">
      <w:pPr>
        <w:pStyle w:val="CommentText"/>
      </w:pPr>
      <w:r>
        <w:t>A: 2.5/3</w:t>
      </w:r>
    </w:p>
    <w:p w:rsidR="00A351CB" w:rsidRDefault="00A351CB">
      <w:pPr>
        <w:pStyle w:val="CommentText"/>
      </w:pPr>
      <w:r>
        <w:t xml:space="preserve">B: </w:t>
      </w:r>
      <w:r w:rsidR="00394C1B">
        <w:t>3</w:t>
      </w:r>
      <w:r>
        <w:t>/3</w:t>
      </w:r>
    </w:p>
    <w:p w:rsidR="00A351CB" w:rsidRDefault="00A351CB">
      <w:pPr>
        <w:pStyle w:val="CommentText"/>
      </w:pPr>
      <w:r>
        <w:t xml:space="preserve">C: </w:t>
      </w:r>
      <w:r w:rsidR="00394C1B">
        <w:t>4</w:t>
      </w:r>
      <w:r>
        <w:t>/5</w:t>
      </w:r>
    </w:p>
  </w:comment>
  <w:comment w:id="44" w:author="Author" w:initials="A">
    <w:p w:rsidR="00A351CB" w:rsidRDefault="00A351CB">
      <w:pPr>
        <w:pStyle w:val="CommentText"/>
      </w:pPr>
      <w:r>
        <w:rPr>
          <w:rStyle w:val="CommentReference"/>
        </w:rPr>
        <w:annotationRef/>
      </w:r>
      <w:r>
        <w:t>2.5/3</w:t>
      </w:r>
    </w:p>
  </w:comment>
  <w:comment w:id="45" w:author="Author" w:initials="A">
    <w:p w:rsidR="00A351CB" w:rsidRDefault="00A351CB">
      <w:pPr>
        <w:pStyle w:val="CommentText"/>
      </w:pPr>
      <w:r>
        <w:rPr>
          <w:rStyle w:val="CommentReference"/>
        </w:rPr>
        <w:annotationRef/>
      </w:r>
      <w:r>
        <w:t>Increases precision</w:t>
      </w:r>
    </w:p>
  </w:comment>
  <w:comment w:id="46" w:author="Author" w:initials="A">
    <w:p w:rsidR="00A351CB" w:rsidRDefault="00A351CB">
      <w:pPr>
        <w:pStyle w:val="CommentText"/>
      </w:pPr>
      <w:r>
        <w:t>3</w:t>
      </w:r>
      <w:r>
        <w:rPr>
          <w:rStyle w:val="CommentReference"/>
        </w:rPr>
        <w:annotationRef/>
      </w:r>
      <w:r>
        <w:t>/3</w:t>
      </w:r>
    </w:p>
  </w:comment>
  <w:comment w:id="47" w:author="Author" w:initials="A">
    <w:p w:rsidR="00A351CB" w:rsidRDefault="00A351CB">
      <w:pPr>
        <w:pStyle w:val="CommentText"/>
      </w:pPr>
      <w:r>
        <w:rPr>
          <w:rStyle w:val="CommentReference"/>
        </w:rPr>
        <w:annotationRef/>
      </w:r>
      <w:r w:rsidR="00394C1B">
        <w:t>4</w:t>
      </w:r>
      <w:r>
        <w:t>/5</w:t>
      </w:r>
    </w:p>
  </w:comment>
  <w:comment w:id="48" w:author="Author" w:initials="A">
    <w:p w:rsidR="00394C1B" w:rsidRDefault="00394C1B">
      <w:pPr>
        <w:pStyle w:val="CommentText"/>
      </w:pPr>
      <w:r>
        <w:rPr>
          <w:rStyle w:val="CommentReference"/>
        </w:rPr>
        <w:annotationRef/>
      </w:r>
      <w:r>
        <w:t>How would you interpret nonlinearity?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443" w:rsidRDefault="00B10443">
      <w:r>
        <w:separator/>
      </w:r>
    </w:p>
  </w:endnote>
  <w:endnote w:type="continuationSeparator" w:id="0">
    <w:p w:rsidR="00B10443" w:rsidRDefault="00B1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443" w:rsidRDefault="00B10443">
      <w:r>
        <w:separator/>
      </w:r>
    </w:p>
  </w:footnote>
  <w:footnote w:type="continuationSeparator" w:id="0">
    <w:p w:rsidR="00B10443" w:rsidRDefault="00B10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66C" w:rsidRDefault="004C266C" w:rsidP="003205A5">
    <w:pPr>
      <w:pStyle w:val="Header"/>
    </w:pPr>
    <w:r>
      <w:t>Biost 518 / 515, Winter 2014</w:t>
    </w:r>
    <w:r>
      <w:tab/>
      <w:t>Homework #5</w:t>
    </w:r>
    <w:r>
      <w:tab/>
      <w:t xml:space="preserve">February 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AC2456">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AC2456">
      <w:rPr>
        <w:noProof/>
        <w:snapToGrid w:val="0"/>
      </w:rPr>
      <w:t>10</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3F3E60"/>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65D47EA"/>
    <w:multiLevelType w:val="hybridMultilevel"/>
    <w:tmpl w:val="8240781A"/>
    <w:lvl w:ilvl="0" w:tplc="F17E0574">
      <w:start w:val="1"/>
      <w:numFmt w:val="decimal"/>
      <w:lvlText w:val="%1."/>
      <w:lvlJc w:val="left"/>
      <w:pPr>
        <w:tabs>
          <w:tab w:val="num" w:pos="720"/>
        </w:tabs>
        <w:ind w:left="720" w:hanging="360"/>
      </w:pPr>
    </w:lvl>
    <w:lvl w:ilvl="1" w:tplc="5CF0B80E">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9"/>
  </w:num>
  <w:num w:numId="3">
    <w:abstractNumId w:val="11"/>
  </w:num>
  <w:num w:numId="4">
    <w:abstractNumId w:val="2"/>
  </w:num>
  <w:num w:numId="5">
    <w:abstractNumId w:val="17"/>
  </w:num>
  <w:num w:numId="6">
    <w:abstractNumId w:val="19"/>
  </w:num>
  <w:num w:numId="7">
    <w:abstractNumId w:val="10"/>
  </w:num>
  <w:num w:numId="8">
    <w:abstractNumId w:val="12"/>
  </w:num>
  <w:num w:numId="9">
    <w:abstractNumId w:val="8"/>
  </w:num>
  <w:num w:numId="10">
    <w:abstractNumId w:val="1"/>
  </w:num>
  <w:num w:numId="11">
    <w:abstractNumId w:val="14"/>
  </w:num>
  <w:num w:numId="12">
    <w:abstractNumId w:val="6"/>
  </w:num>
  <w:num w:numId="13">
    <w:abstractNumId w:val="13"/>
  </w:num>
  <w:num w:numId="14">
    <w:abstractNumId w:val="16"/>
  </w:num>
  <w:num w:numId="15">
    <w:abstractNumId w:val="0"/>
  </w:num>
  <w:num w:numId="16">
    <w:abstractNumId w:val="5"/>
  </w:num>
  <w:num w:numId="17">
    <w:abstractNumId w:val="3"/>
  </w:num>
  <w:num w:numId="18">
    <w:abstractNumId w:val="15"/>
  </w:num>
  <w:num w:numId="19">
    <w:abstractNumId w:val="18"/>
  </w:num>
  <w:num w:numId="20">
    <w:abstractNumId w:val="2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4961"/>
    <w:rsid w:val="000263C2"/>
    <w:rsid w:val="000372DF"/>
    <w:rsid w:val="0004432C"/>
    <w:rsid w:val="00054A42"/>
    <w:rsid w:val="00060C13"/>
    <w:rsid w:val="0006333F"/>
    <w:rsid w:val="00077325"/>
    <w:rsid w:val="000817A7"/>
    <w:rsid w:val="000A3E09"/>
    <w:rsid w:val="000F52B6"/>
    <w:rsid w:val="0010428A"/>
    <w:rsid w:val="00115B08"/>
    <w:rsid w:val="00121253"/>
    <w:rsid w:val="00125DD5"/>
    <w:rsid w:val="00132AEC"/>
    <w:rsid w:val="00132BA1"/>
    <w:rsid w:val="00140EC9"/>
    <w:rsid w:val="00160820"/>
    <w:rsid w:val="00195B2D"/>
    <w:rsid w:val="001B67D3"/>
    <w:rsid w:val="001D2DC2"/>
    <w:rsid w:val="001E2894"/>
    <w:rsid w:val="001E36FF"/>
    <w:rsid w:val="001E5158"/>
    <w:rsid w:val="001E79FA"/>
    <w:rsid w:val="001F053D"/>
    <w:rsid w:val="001F135D"/>
    <w:rsid w:val="00202909"/>
    <w:rsid w:val="0021517E"/>
    <w:rsid w:val="00216696"/>
    <w:rsid w:val="002213A5"/>
    <w:rsid w:val="00225E67"/>
    <w:rsid w:val="002365E3"/>
    <w:rsid w:val="0024368C"/>
    <w:rsid w:val="002563FD"/>
    <w:rsid w:val="00261CFB"/>
    <w:rsid w:val="002D5B86"/>
    <w:rsid w:val="002F0282"/>
    <w:rsid w:val="003205A5"/>
    <w:rsid w:val="0034612D"/>
    <w:rsid w:val="003471E3"/>
    <w:rsid w:val="00353B06"/>
    <w:rsid w:val="0036127B"/>
    <w:rsid w:val="00365FD5"/>
    <w:rsid w:val="003752A3"/>
    <w:rsid w:val="00385CD1"/>
    <w:rsid w:val="00394C1B"/>
    <w:rsid w:val="003A6D85"/>
    <w:rsid w:val="003B0401"/>
    <w:rsid w:val="003B1AAB"/>
    <w:rsid w:val="003C0FBE"/>
    <w:rsid w:val="003D7C8C"/>
    <w:rsid w:val="003E319E"/>
    <w:rsid w:val="003F3001"/>
    <w:rsid w:val="00410986"/>
    <w:rsid w:val="00410B89"/>
    <w:rsid w:val="00415759"/>
    <w:rsid w:val="0042294F"/>
    <w:rsid w:val="00422D91"/>
    <w:rsid w:val="004431DD"/>
    <w:rsid w:val="00443606"/>
    <w:rsid w:val="00450462"/>
    <w:rsid w:val="004514C0"/>
    <w:rsid w:val="00452963"/>
    <w:rsid w:val="00462139"/>
    <w:rsid w:val="00463261"/>
    <w:rsid w:val="004664FD"/>
    <w:rsid w:val="0047059B"/>
    <w:rsid w:val="00474EF6"/>
    <w:rsid w:val="00485179"/>
    <w:rsid w:val="00492CF9"/>
    <w:rsid w:val="00495C53"/>
    <w:rsid w:val="004B2C16"/>
    <w:rsid w:val="004C266C"/>
    <w:rsid w:val="004D1289"/>
    <w:rsid w:val="004D1292"/>
    <w:rsid w:val="004D6170"/>
    <w:rsid w:val="004E272E"/>
    <w:rsid w:val="004E3601"/>
    <w:rsid w:val="004F3162"/>
    <w:rsid w:val="00501EC4"/>
    <w:rsid w:val="0050703D"/>
    <w:rsid w:val="00510B41"/>
    <w:rsid w:val="00511C56"/>
    <w:rsid w:val="00523AA4"/>
    <w:rsid w:val="00567523"/>
    <w:rsid w:val="005757F4"/>
    <w:rsid w:val="00586C10"/>
    <w:rsid w:val="005B14E3"/>
    <w:rsid w:val="005B6E9E"/>
    <w:rsid w:val="005C35DF"/>
    <w:rsid w:val="005C5726"/>
    <w:rsid w:val="005D7E06"/>
    <w:rsid w:val="005E10EC"/>
    <w:rsid w:val="005E415C"/>
    <w:rsid w:val="005E705C"/>
    <w:rsid w:val="005F7145"/>
    <w:rsid w:val="0060495F"/>
    <w:rsid w:val="00613304"/>
    <w:rsid w:val="006138F9"/>
    <w:rsid w:val="006152BE"/>
    <w:rsid w:val="00615D3A"/>
    <w:rsid w:val="0062265F"/>
    <w:rsid w:val="006268D1"/>
    <w:rsid w:val="00627286"/>
    <w:rsid w:val="006336A9"/>
    <w:rsid w:val="00634D47"/>
    <w:rsid w:val="0063762C"/>
    <w:rsid w:val="00646151"/>
    <w:rsid w:val="006508C5"/>
    <w:rsid w:val="00654208"/>
    <w:rsid w:val="00662683"/>
    <w:rsid w:val="00673A26"/>
    <w:rsid w:val="006756BB"/>
    <w:rsid w:val="00676B73"/>
    <w:rsid w:val="0068490E"/>
    <w:rsid w:val="00693DD6"/>
    <w:rsid w:val="006B1E11"/>
    <w:rsid w:val="006C2918"/>
    <w:rsid w:val="006C49EE"/>
    <w:rsid w:val="006E1607"/>
    <w:rsid w:val="006E16C5"/>
    <w:rsid w:val="006E5205"/>
    <w:rsid w:val="00705ECB"/>
    <w:rsid w:val="00712F36"/>
    <w:rsid w:val="007356DE"/>
    <w:rsid w:val="007366CC"/>
    <w:rsid w:val="00741AE1"/>
    <w:rsid w:val="007506C5"/>
    <w:rsid w:val="00751474"/>
    <w:rsid w:val="007518FF"/>
    <w:rsid w:val="00762DE6"/>
    <w:rsid w:val="00767D4A"/>
    <w:rsid w:val="007843E9"/>
    <w:rsid w:val="00785A87"/>
    <w:rsid w:val="007B1360"/>
    <w:rsid w:val="007B4E60"/>
    <w:rsid w:val="007C6B71"/>
    <w:rsid w:val="008270AB"/>
    <w:rsid w:val="00836540"/>
    <w:rsid w:val="0087636D"/>
    <w:rsid w:val="00881FE1"/>
    <w:rsid w:val="008A23BE"/>
    <w:rsid w:val="008A45D9"/>
    <w:rsid w:val="008B246D"/>
    <w:rsid w:val="008B53CA"/>
    <w:rsid w:val="008C0136"/>
    <w:rsid w:val="008C21D4"/>
    <w:rsid w:val="008C6228"/>
    <w:rsid w:val="008D219A"/>
    <w:rsid w:val="008D52D7"/>
    <w:rsid w:val="008E48CF"/>
    <w:rsid w:val="008F73A3"/>
    <w:rsid w:val="00905BC9"/>
    <w:rsid w:val="00905E82"/>
    <w:rsid w:val="009252FA"/>
    <w:rsid w:val="00941A6B"/>
    <w:rsid w:val="0094708F"/>
    <w:rsid w:val="00955043"/>
    <w:rsid w:val="009918A6"/>
    <w:rsid w:val="009A1F9E"/>
    <w:rsid w:val="009A4A1E"/>
    <w:rsid w:val="009B2370"/>
    <w:rsid w:val="009C542B"/>
    <w:rsid w:val="009D5804"/>
    <w:rsid w:val="009F173D"/>
    <w:rsid w:val="009F413F"/>
    <w:rsid w:val="009F4D5D"/>
    <w:rsid w:val="00A0233D"/>
    <w:rsid w:val="00A04727"/>
    <w:rsid w:val="00A05CD5"/>
    <w:rsid w:val="00A31D8C"/>
    <w:rsid w:val="00A351CB"/>
    <w:rsid w:val="00A4205F"/>
    <w:rsid w:val="00A42955"/>
    <w:rsid w:val="00A44034"/>
    <w:rsid w:val="00A459C8"/>
    <w:rsid w:val="00A61E88"/>
    <w:rsid w:val="00A620A3"/>
    <w:rsid w:val="00A76CD3"/>
    <w:rsid w:val="00A81F21"/>
    <w:rsid w:val="00A849D2"/>
    <w:rsid w:val="00A86F93"/>
    <w:rsid w:val="00A91332"/>
    <w:rsid w:val="00AB4C41"/>
    <w:rsid w:val="00AC2456"/>
    <w:rsid w:val="00AD29C0"/>
    <w:rsid w:val="00AF5A1A"/>
    <w:rsid w:val="00AF748A"/>
    <w:rsid w:val="00B04F23"/>
    <w:rsid w:val="00B10443"/>
    <w:rsid w:val="00B12B84"/>
    <w:rsid w:val="00B15F79"/>
    <w:rsid w:val="00B17CB5"/>
    <w:rsid w:val="00B212A5"/>
    <w:rsid w:val="00B3230F"/>
    <w:rsid w:val="00B42150"/>
    <w:rsid w:val="00B43F52"/>
    <w:rsid w:val="00B457A7"/>
    <w:rsid w:val="00B4705C"/>
    <w:rsid w:val="00B70375"/>
    <w:rsid w:val="00B73C93"/>
    <w:rsid w:val="00B77108"/>
    <w:rsid w:val="00B814FA"/>
    <w:rsid w:val="00BA273E"/>
    <w:rsid w:val="00BA734B"/>
    <w:rsid w:val="00BB2276"/>
    <w:rsid w:val="00BE479F"/>
    <w:rsid w:val="00BE62D6"/>
    <w:rsid w:val="00BF5CB8"/>
    <w:rsid w:val="00BF7EC1"/>
    <w:rsid w:val="00C00601"/>
    <w:rsid w:val="00C06A37"/>
    <w:rsid w:val="00C15CDE"/>
    <w:rsid w:val="00C34EBC"/>
    <w:rsid w:val="00C359E5"/>
    <w:rsid w:val="00C55091"/>
    <w:rsid w:val="00C642DD"/>
    <w:rsid w:val="00C64E34"/>
    <w:rsid w:val="00C67098"/>
    <w:rsid w:val="00C71D98"/>
    <w:rsid w:val="00C74FEC"/>
    <w:rsid w:val="00C81C21"/>
    <w:rsid w:val="00C8626E"/>
    <w:rsid w:val="00C93A29"/>
    <w:rsid w:val="00CC37A7"/>
    <w:rsid w:val="00CC782F"/>
    <w:rsid w:val="00CD25DA"/>
    <w:rsid w:val="00D16C04"/>
    <w:rsid w:val="00D35999"/>
    <w:rsid w:val="00D72BD7"/>
    <w:rsid w:val="00D952B3"/>
    <w:rsid w:val="00DA01FA"/>
    <w:rsid w:val="00DA11CF"/>
    <w:rsid w:val="00DC01FF"/>
    <w:rsid w:val="00DC4909"/>
    <w:rsid w:val="00DD6B80"/>
    <w:rsid w:val="00DE3817"/>
    <w:rsid w:val="00DE578B"/>
    <w:rsid w:val="00E03960"/>
    <w:rsid w:val="00E22626"/>
    <w:rsid w:val="00E262A3"/>
    <w:rsid w:val="00E3521A"/>
    <w:rsid w:val="00E4134B"/>
    <w:rsid w:val="00E43164"/>
    <w:rsid w:val="00E56588"/>
    <w:rsid w:val="00E642DA"/>
    <w:rsid w:val="00E741C7"/>
    <w:rsid w:val="00E8111C"/>
    <w:rsid w:val="00E81610"/>
    <w:rsid w:val="00E91856"/>
    <w:rsid w:val="00ED47B6"/>
    <w:rsid w:val="00EF0267"/>
    <w:rsid w:val="00EF6091"/>
    <w:rsid w:val="00F1457A"/>
    <w:rsid w:val="00F15D49"/>
    <w:rsid w:val="00F5078F"/>
    <w:rsid w:val="00F507B9"/>
    <w:rsid w:val="00F538AE"/>
    <w:rsid w:val="00F53AEE"/>
    <w:rsid w:val="00F76D7D"/>
    <w:rsid w:val="00F917CB"/>
    <w:rsid w:val="00FA2C0B"/>
    <w:rsid w:val="00FB663C"/>
    <w:rsid w:val="00FC30D4"/>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E8111C"/>
    <w:rPr>
      <w:sz w:val="16"/>
      <w:szCs w:val="16"/>
    </w:rPr>
  </w:style>
  <w:style w:type="paragraph" w:styleId="CommentText">
    <w:name w:val="annotation text"/>
    <w:basedOn w:val="Normal"/>
    <w:link w:val="CommentTextChar"/>
    <w:rsid w:val="00E8111C"/>
  </w:style>
  <w:style w:type="character" w:customStyle="1" w:styleId="CommentTextChar">
    <w:name w:val="Comment Text Char"/>
    <w:basedOn w:val="DefaultParagraphFont"/>
    <w:link w:val="CommentText"/>
    <w:rsid w:val="00E8111C"/>
  </w:style>
  <w:style w:type="paragraph" w:styleId="CommentSubject">
    <w:name w:val="annotation subject"/>
    <w:basedOn w:val="CommentText"/>
    <w:next w:val="CommentText"/>
    <w:link w:val="CommentSubjectChar"/>
    <w:rsid w:val="00E8111C"/>
    <w:rPr>
      <w:b/>
      <w:bCs/>
    </w:rPr>
  </w:style>
  <w:style w:type="character" w:customStyle="1" w:styleId="CommentSubjectChar">
    <w:name w:val="Comment Subject Char"/>
    <w:link w:val="CommentSubject"/>
    <w:rsid w:val="00E8111C"/>
    <w:rPr>
      <w:b/>
      <w:bCs/>
    </w:rPr>
  </w:style>
  <w:style w:type="paragraph" w:styleId="BalloonText">
    <w:name w:val="Balloon Text"/>
    <w:basedOn w:val="Normal"/>
    <w:link w:val="BalloonTextChar"/>
    <w:rsid w:val="00E8111C"/>
    <w:rPr>
      <w:rFonts w:ascii="Tahoma" w:hAnsi="Tahoma" w:cs="Tahoma"/>
      <w:sz w:val="16"/>
      <w:szCs w:val="16"/>
    </w:rPr>
  </w:style>
  <w:style w:type="character" w:customStyle="1" w:styleId="BalloonTextChar">
    <w:name w:val="Balloon Text Char"/>
    <w:link w:val="BalloonText"/>
    <w:rsid w:val="00E8111C"/>
    <w:rPr>
      <w:rFonts w:ascii="Tahoma" w:hAnsi="Tahoma" w:cs="Tahoma"/>
      <w:sz w:val="16"/>
      <w:szCs w:val="16"/>
    </w:rPr>
  </w:style>
  <w:style w:type="paragraph" w:styleId="ListParagraph">
    <w:name w:val="List Paragraph"/>
    <w:basedOn w:val="Normal"/>
    <w:uiPriority w:val="34"/>
    <w:qFormat/>
    <w:rsid w:val="006C291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E8111C"/>
    <w:rPr>
      <w:sz w:val="16"/>
      <w:szCs w:val="16"/>
    </w:rPr>
  </w:style>
  <w:style w:type="paragraph" w:styleId="CommentText">
    <w:name w:val="annotation text"/>
    <w:basedOn w:val="Normal"/>
    <w:link w:val="CommentTextChar"/>
    <w:rsid w:val="00E8111C"/>
  </w:style>
  <w:style w:type="character" w:customStyle="1" w:styleId="CommentTextChar">
    <w:name w:val="Comment Text Char"/>
    <w:basedOn w:val="DefaultParagraphFont"/>
    <w:link w:val="CommentText"/>
    <w:rsid w:val="00E8111C"/>
  </w:style>
  <w:style w:type="paragraph" w:styleId="CommentSubject">
    <w:name w:val="annotation subject"/>
    <w:basedOn w:val="CommentText"/>
    <w:next w:val="CommentText"/>
    <w:link w:val="CommentSubjectChar"/>
    <w:rsid w:val="00E8111C"/>
    <w:rPr>
      <w:b/>
      <w:bCs/>
    </w:rPr>
  </w:style>
  <w:style w:type="character" w:customStyle="1" w:styleId="CommentSubjectChar">
    <w:name w:val="Comment Subject Char"/>
    <w:link w:val="CommentSubject"/>
    <w:rsid w:val="00E8111C"/>
    <w:rPr>
      <w:b/>
      <w:bCs/>
    </w:rPr>
  </w:style>
  <w:style w:type="paragraph" w:styleId="BalloonText">
    <w:name w:val="Balloon Text"/>
    <w:basedOn w:val="Normal"/>
    <w:link w:val="BalloonTextChar"/>
    <w:rsid w:val="00E8111C"/>
    <w:rPr>
      <w:rFonts w:ascii="Tahoma" w:hAnsi="Tahoma" w:cs="Tahoma"/>
      <w:sz w:val="16"/>
      <w:szCs w:val="16"/>
    </w:rPr>
  </w:style>
  <w:style w:type="character" w:customStyle="1" w:styleId="BalloonTextChar">
    <w:name w:val="Balloon Text Char"/>
    <w:link w:val="BalloonText"/>
    <w:rsid w:val="00E8111C"/>
    <w:rPr>
      <w:rFonts w:ascii="Tahoma" w:hAnsi="Tahoma" w:cs="Tahoma"/>
      <w:sz w:val="16"/>
      <w:szCs w:val="16"/>
    </w:rPr>
  </w:style>
  <w:style w:type="paragraph" w:styleId="ListParagraph">
    <w:name w:val="List Paragraph"/>
    <w:basedOn w:val="Normal"/>
    <w:uiPriority w:val="34"/>
    <w:qFormat/>
    <w:rsid w:val="006C291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4457</Words>
  <Characters>25409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2014-02-13T22:30:00Z</dcterms:created>
  <dcterms:modified xsi:type="dcterms:W3CDTF">2014-02-14T00:01:00Z</dcterms:modified>
</cp:coreProperties>
</file>