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commentRangeStart w:id="0"/>
    </w:p>
    <w:p>
      <w:pPr>
        <w:pStyle w:val="Body"/>
        <w:jc w:val="center"/>
        <w:rPr>
          <w:b w:val="1"/>
          <w:bCs w:val="1"/>
          <w:i w:val="1"/>
          <w:iCs w:val="1"/>
          <w:color w:val="595959"/>
          <w:sz w:val="22"/>
          <w:szCs w:val="22"/>
          <w:u w:color="595959"/>
        </w:rPr>
      </w:pPr>
      <w:r>
        <w:rPr>
          <w:b w:val="1"/>
          <w:bCs w:val="1"/>
          <w:i w:val="1"/>
          <w:iCs w:val="1"/>
          <w:color w:val="595959"/>
          <w:sz w:val="22"/>
          <w:szCs w:val="22"/>
          <w:u w:color="595959"/>
          <w:rtl w:val="0"/>
          <w:lang w:val="en-US"/>
        </w:rPr>
        <w:t>Biost 518: Applied Biostatistics II</w:t>
      </w:r>
    </w:p>
    <w:p>
      <w:pPr>
        <w:pStyle w:val="Body"/>
        <w:jc w:val="center"/>
        <w:rPr>
          <w:b w:val="1"/>
          <w:bCs w:val="1"/>
          <w:i w:val="1"/>
          <w:iCs w:val="1"/>
          <w:color w:val="595959"/>
          <w:sz w:val="22"/>
          <w:szCs w:val="22"/>
          <w:u w:color="595959"/>
        </w:rPr>
      </w:pPr>
      <w:r>
        <w:rPr>
          <w:b w:val="1"/>
          <w:bCs w:val="1"/>
          <w:i w:val="1"/>
          <w:iCs w:val="1"/>
          <w:color w:val="595959"/>
          <w:sz w:val="22"/>
          <w:szCs w:val="22"/>
          <w:u w:color="595959"/>
          <w:rtl w:val="0"/>
          <w:lang w:val="en-US"/>
        </w:rPr>
        <w:t>Biost 515: Biostatistics II</w:t>
      </w:r>
    </w:p>
    <w:p>
      <w:pPr>
        <w:pStyle w:val="Body"/>
        <w:jc w:val="center"/>
        <w:rPr>
          <w:i w:val="1"/>
          <w:iCs w:val="1"/>
          <w:color w:val="595959"/>
          <w:sz w:val="22"/>
          <w:szCs w:val="22"/>
          <w:u w:color="595959"/>
        </w:rPr>
      </w:pPr>
      <w:r>
        <w:rPr>
          <w:i w:val="1"/>
          <w:iCs w:val="1"/>
          <w:color w:val="595959"/>
          <w:sz w:val="22"/>
          <w:szCs w:val="22"/>
          <w:u w:color="595959"/>
          <w:rtl w:val="0"/>
        </w:rPr>
        <w:t>Emerson, Winter 2014</w:t>
      </w:r>
    </w:p>
    <w:p>
      <w:pPr>
        <w:pStyle w:val="Body"/>
        <w:jc w:val="center"/>
        <w:rPr>
          <w:b w:val="1"/>
          <w:bCs w:val="1"/>
          <w:i w:val="1"/>
          <w:iCs w:val="1"/>
          <w:color w:val="595959"/>
          <w:sz w:val="22"/>
          <w:szCs w:val="22"/>
          <w:u w:color="595959"/>
        </w:rPr>
      </w:pPr>
    </w:p>
    <w:p>
      <w:pPr>
        <w:pStyle w:val="Body"/>
        <w:jc w:val="center"/>
        <w:rPr>
          <w:b w:val="1"/>
          <w:bCs w:val="1"/>
          <w:i w:val="1"/>
          <w:iCs w:val="1"/>
          <w:color w:val="595959"/>
          <w:sz w:val="22"/>
          <w:szCs w:val="22"/>
          <w:u w:color="595959"/>
        </w:rPr>
      </w:pPr>
      <w:r>
        <w:rPr>
          <w:b w:val="1"/>
          <w:bCs w:val="1"/>
          <w:i w:val="1"/>
          <w:iCs w:val="1"/>
          <w:color w:val="595959"/>
          <w:sz w:val="22"/>
          <w:szCs w:val="22"/>
          <w:u w:color="595959"/>
          <w:rtl w:val="0"/>
          <w:lang w:val="en-US"/>
        </w:rPr>
        <w:t>Homework #4</w:t>
      </w:r>
    </w:p>
    <w:p>
      <w:pPr>
        <w:pStyle w:val="Body"/>
        <w:jc w:val="center"/>
        <w:rPr>
          <w:i w:val="1"/>
          <w:iCs w:val="1"/>
          <w:color w:val="595959"/>
          <w:sz w:val="22"/>
          <w:szCs w:val="22"/>
          <w:u w:color="595959"/>
        </w:rPr>
      </w:pPr>
      <w:r>
        <w:rPr>
          <w:i w:val="1"/>
          <w:iCs w:val="1"/>
          <w:color w:val="595959"/>
          <w:sz w:val="22"/>
          <w:szCs w:val="22"/>
          <w:u w:color="595959"/>
          <w:rtl w:val="0"/>
          <w:lang w:val="en-US"/>
        </w:rPr>
        <w:t>January 27, 2014</w:t>
      </w:r>
      <w:r>
        <w:rPr>
          <w:i w:val="1"/>
          <w:iCs w:val="1"/>
          <w:color w:val="595959"/>
          <w:sz w:val="22"/>
          <w:szCs w:val="22"/>
          <w:u w:color="595959"/>
        </w:rPr>
        <w:br w:type="textWrapping"/>
      </w:r>
      <w:commentRangeEnd w:id="0"/>
      <w:r>
        <w:commentReference w:id="0"/>
      </w:r>
    </w:p>
    <w:p>
      <w:pPr>
        <w:pStyle w:val="Body"/>
        <w:rPr>
          <w:b w:val="1"/>
          <w:bCs w:val="1"/>
          <w:i w:val="1"/>
          <w:iCs w:val="1"/>
          <w:color w:val="595959"/>
          <w:sz w:val="22"/>
          <w:szCs w:val="22"/>
          <w:u w:color="595959"/>
        </w:rPr>
      </w:pPr>
    </w:p>
    <w:p>
      <w:pPr>
        <w:pStyle w:val="Body"/>
        <w:rPr>
          <w:i w:val="1"/>
          <w:iCs w:val="1"/>
          <w:color w:val="595959"/>
          <w:sz w:val="22"/>
          <w:szCs w:val="22"/>
          <w:u w:color="595959"/>
        </w:rPr>
      </w:pPr>
      <w:r>
        <w:rPr>
          <w:rFonts w:ascii="Times New Roman" w:cs="Arial Unicode MS" w:hAnsi="Arial Unicode MS" w:eastAsia="Arial Unicode MS"/>
          <w:b w:val="1"/>
          <w:bCs w:val="1"/>
          <w:i w:val="1"/>
          <w:iCs w:val="1"/>
          <w:color w:val="595959"/>
          <w:sz w:val="22"/>
          <w:szCs w:val="22"/>
          <w:u w:val="single" w:color="595959"/>
          <w:rtl w:val="0"/>
          <w:lang w:val="de-DE"/>
        </w:rPr>
        <w:t>Written problems:</w:t>
      </w:r>
      <w:r>
        <w:rPr>
          <w:rFonts w:ascii="Times New Roman" w:cs="Arial Unicode MS" w:hAnsi="Arial Unicode MS" w:eastAsia="Arial Unicode MS"/>
          <w:i w:val="1"/>
          <w:iCs w:val="1"/>
          <w:color w:val="595959"/>
          <w:sz w:val="22"/>
          <w:szCs w:val="22"/>
          <w:u w:color="595959"/>
          <w:rtl w:val="0"/>
          <w:lang w:val="en-US"/>
        </w:rPr>
        <w:t xml:space="preserve"> To be submitted as a MS-Word compatible file to the class Catalyst dropbox by 9:30 am on Monday, February 3, 2014. See the instructions for peer grading of the homework that are posted on the web pages. </w:t>
      </w:r>
    </w:p>
    <w:p>
      <w:pPr>
        <w:pStyle w:val="Body"/>
        <w:rPr>
          <w:i w:val="1"/>
          <w:iCs w:val="1"/>
          <w:color w:val="595959"/>
          <w:sz w:val="22"/>
          <w:szCs w:val="22"/>
          <w:u w:color="595959"/>
        </w:rPr>
      </w:pPr>
    </w:p>
    <w:p>
      <w:pPr>
        <w:pStyle w:val="Body"/>
        <w:ind w:left="720" w:firstLine="0"/>
        <w:rPr>
          <w:i w:val="1"/>
          <w:iCs w:val="1"/>
          <w:color w:val="595959"/>
          <w:sz w:val="22"/>
          <w:szCs w:val="22"/>
          <w:u w:color="595959"/>
        </w:rPr>
      </w:pPr>
      <w:r>
        <w:rPr>
          <w:i w:val="1"/>
          <w:iCs w:val="1"/>
          <w:color w:val="595959"/>
          <w:sz w:val="22"/>
          <w:szCs w:val="22"/>
          <w:u w:color="595959"/>
          <w:rtl w:val="0"/>
          <w:lang w:val="en-US"/>
        </w:rPr>
        <w:t xml:space="preserve">On this (as all homeworks) Stata / R code and unedited Stata / R  output is </w:t>
      </w:r>
      <w:r>
        <w:rPr>
          <w:b w:val="1"/>
          <w:bCs w:val="1"/>
          <w:i w:val="1"/>
          <w:iCs w:val="1"/>
          <w:color w:val="595959"/>
          <w:sz w:val="22"/>
          <w:szCs w:val="22"/>
          <w:u w:val="single" w:color="595959"/>
          <w:rtl w:val="0"/>
        </w:rPr>
        <w:t>TOTALLY</w:t>
      </w:r>
      <w:r>
        <w:rPr>
          <w:i w:val="1"/>
          <w:iCs w:val="1"/>
          <w:color w:val="595959"/>
          <w:sz w:val="22"/>
          <w:szCs w:val="22"/>
          <w:u w:color="595959"/>
          <w:rtl w:val="0"/>
          <w:lang w:val="en-US"/>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pPr>
        <w:pStyle w:val="Body"/>
        <w:rPr>
          <w:i w:val="1"/>
          <w:iCs w:val="1"/>
          <w:color w:val="595959"/>
          <w:sz w:val="22"/>
          <w:szCs w:val="22"/>
          <w:u w:color="595959"/>
        </w:rPr>
      </w:pPr>
    </w:p>
    <w:p>
      <w:pPr>
        <w:pStyle w:val="Body"/>
        <w:ind w:left="720" w:firstLine="0"/>
        <w:rPr>
          <w:b w:val="1"/>
          <w:bCs w:val="1"/>
          <w:i w:val="1"/>
          <w:iCs w:val="1"/>
          <w:color w:val="595959"/>
          <w:sz w:val="22"/>
          <w:szCs w:val="22"/>
          <w:u w:color="595959"/>
        </w:rPr>
      </w:pPr>
      <w:r>
        <w:rPr>
          <w:b w:val="1"/>
          <w:bCs w:val="1"/>
          <w:i w:val="1"/>
          <w:iCs w:val="1"/>
          <w:color w:val="595959"/>
          <w:sz w:val="22"/>
          <w:szCs w:val="22"/>
          <w:u w:color="595959"/>
          <w:rtl w:val="0"/>
          <w:lang w:val="en-US"/>
        </w:rPr>
        <w:t xml:space="preserve">Unless explicitly told otherwise in the statement of the problem, in all problems requesting </w:t>
      </w:r>
      <w:r>
        <w:rPr>
          <w:rFonts w:hAnsi="Times New Roman" w:hint="default"/>
          <w:b w:val="1"/>
          <w:bCs w:val="1"/>
          <w:i w:val="1"/>
          <w:iCs w:val="1"/>
          <w:color w:val="595959"/>
          <w:sz w:val="22"/>
          <w:szCs w:val="22"/>
          <w:u w:color="595959"/>
          <w:rtl w:val="0"/>
        </w:rPr>
        <w:t>“</w:t>
      </w:r>
      <w:r>
        <w:rPr>
          <w:b w:val="1"/>
          <w:bCs w:val="1"/>
          <w:i w:val="1"/>
          <w:iCs w:val="1"/>
          <w:color w:val="595959"/>
          <w:sz w:val="22"/>
          <w:szCs w:val="22"/>
          <w:u w:color="595959"/>
          <w:rtl w:val="0"/>
          <w:lang w:val="en-US"/>
        </w:rPr>
        <w:t>statistical analyses</w:t>
      </w:r>
      <w:r>
        <w:rPr>
          <w:rFonts w:hAnsi="Times New Roman" w:hint="default"/>
          <w:b w:val="1"/>
          <w:bCs w:val="1"/>
          <w:i w:val="1"/>
          <w:iCs w:val="1"/>
          <w:color w:val="595959"/>
          <w:sz w:val="22"/>
          <w:szCs w:val="22"/>
          <w:u w:color="595959"/>
          <w:rtl w:val="0"/>
        </w:rPr>
        <w:t xml:space="preserve">” </w:t>
      </w:r>
      <w:r>
        <w:rPr>
          <w:b w:val="1"/>
          <w:bCs w:val="1"/>
          <w:i w:val="1"/>
          <w:iCs w:val="1"/>
          <w:color w:val="595959"/>
          <w:sz w:val="22"/>
          <w:szCs w:val="22"/>
          <w:u w:color="595959"/>
          <w:rtl w:val="0"/>
          <w:lang w:val="en-US"/>
        </w:rPr>
        <w:t>(either descriptive or inferential), you should present both</w:t>
      </w:r>
    </w:p>
    <w:p>
      <w:pPr>
        <w:pStyle w:val="Body"/>
        <w:numPr>
          <w:ilvl w:val="0"/>
          <w:numId w:val="3"/>
        </w:numPr>
        <w:tabs>
          <w:tab w:val="num" w:pos="1407"/>
          <w:tab w:val="left" w:pos="1440"/>
        </w:tabs>
        <w:bidi w:val="0"/>
        <w:ind w:left="1407" w:right="0" w:hanging="327"/>
        <w:jc w:val="left"/>
        <w:rPr>
          <w:b w:val="1"/>
          <w:bCs w:val="1"/>
          <w:i w:val="1"/>
          <w:iCs w:val="1"/>
          <w:color w:val="595959"/>
          <w:position w:val="0"/>
          <w:sz w:val="20"/>
          <w:szCs w:val="20"/>
          <w:u w:color="595959"/>
          <w:rtl w:val="0"/>
        </w:rPr>
      </w:pPr>
      <w:r>
        <w:rPr>
          <w:rFonts w:ascii="Times New Roman"/>
          <w:b w:val="1"/>
          <w:bCs w:val="1"/>
          <w:i w:val="1"/>
          <w:iCs w:val="1"/>
          <w:color w:val="595959"/>
          <w:sz w:val="22"/>
          <w:szCs w:val="22"/>
          <w:u w:val="single" w:color="595959"/>
          <w:rtl w:val="0"/>
          <w:lang w:val="en-US"/>
        </w:rPr>
        <w:t>Methods:</w:t>
      </w:r>
      <w:r>
        <w:rPr>
          <w:rFonts w:ascii="Times New Roman"/>
          <w:b w:val="1"/>
          <w:bCs w:val="1"/>
          <w:i w:val="1"/>
          <w:iCs w:val="1"/>
          <w:color w:val="595959"/>
          <w:sz w:val="22"/>
          <w:szCs w:val="22"/>
          <w:u w:color="595959"/>
          <w:rtl w:val="0"/>
          <w:lang w:val="en-US"/>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pPr>
        <w:pStyle w:val="Body"/>
        <w:numPr>
          <w:ilvl w:val="0"/>
          <w:numId w:val="3"/>
        </w:numPr>
        <w:tabs>
          <w:tab w:val="num" w:pos="1407"/>
          <w:tab w:val="left" w:pos="1440"/>
        </w:tabs>
        <w:bidi w:val="0"/>
        <w:ind w:left="1407" w:right="0" w:hanging="327"/>
        <w:jc w:val="left"/>
        <w:rPr>
          <w:b w:val="1"/>
          <w:bCs w:val="1"/>
          <w:i w:val="1"/>
          <w:iCs w:val="1"/>
          <w:color w:val="595959"/>
          <w:position w:val="0"/>
          <w:sz w:val="20"/>
          <w:szCs w:val="20"/>
          <w:u w:color="595959"/>
          <w:rtl w:val="0"/>
        </w:rPr>
      </w:pPr>
      <w:r>
        <w:rPr>
          <w:rFonts w:ascii="Times New Roman"/>
          <w:b w:val="1"/>
          <w:bCs w:val="1"/>
          <w:i w:val="1"/>
          <w:iCs w:val="1"/>
          <w:color w:val="595959"/>
          <w:sz w:val="22"/>
          <w:szCs w:val="22"/>
          <w:u w:val="single" w:color="595959"/>
          <w:rtl w:val="0"/>
        </w:rPr>
        <w:t>Inference</w:t>
      </w:r>
      <w:r>
        <w:rPr>
          <w:rFonts w:ascii="Times New Roman"/>
          <w:b w:val="1"/>
          <w:bCs w:val="1"/>
          <w:i w:val="1"/>
          <w:iCs w:val="1"/>
          <w:color w:val="595959"/>
          <w:sz w:val="22"/>
          <w:szCs w:val="22"/>
          <w:u w:color="595959"/>
          <w:rtl w:val="0"/>
          <w:lang w:val="en-US"/>
        </w:rPr>
        <w:t xml:space="preserve">: A paragraph providing full statistical inference in answer to the question. Please see the supplementary document relating to </w:t>
      </w:r>
      <w:r>
        <w:rPr>
          <w:rFonts w:hAnsi="Times New Roman" w:hint="default"/>
          <w:b w:val="1"/>
          <w:bCs w:val="1"/>
          <w:i w:val="1"/>
          <w:iCs w:val="1"/>
          <w:color w:val="595959"/>
          <w:sz w:val="22"/>
          <w:szCs w:val="22"/>
          <w:u w:color="595959"/>
          <w:rtl w:val="0"/>
        </w:rPr>
        <w:t>“</w:t>
      </w:r>
      <w:r>
        <w:rPr>
          <w:rFonts w:ascii="Times New Roman"/>
          <w:b w:val="1"/>
          <w:bCs w:val="1"/>
          <w:i w:val="1"/>
          <w:iCs w:val="1"/>
          <w:color w:val="595959"/>
          <w:sz w:val="22"/>
          <w:szCs w:val="22"/>
          <w:u w:color="595959"/>
          <w:rtl w:val="0"/>
          <w:lang w:val="en-US"/>
        </w:rPr>
        <w:t>Reporting Associations</w:t>
      </w:r>
      <w:r>
        <w:rPr>
          <w:rFonts w:hAnsi="Times New Roman" w:hint="default"/>
          <w:b w:val="1"/>
          <w:bCs w:val="1"/>
          <w:i w:val="1"/>
          <w:iCs w:val="1"/>
          <w:color w:val="595959"/>
          <w:sz w:val="22"/>
          <w:szCs w:val="22"/>
          <w:u w:color="595959"/>
          <w:rtl w:val="0"/>
        </w:rPr>
        <w:t xml:space="preserve">” </w:t>
      </w:r>
      <w:r>
        <w:rPr>
          <w:rFonts w:ascii="Times New Roman"/>
          <w:b w:val="1"/>
          <w:bCs w:val="1"/>
          <w:i w:val="1"/>
          <w:iCs w:val="1"/>
          <w:color w:val="595959"/>
          <w:sz w:val="22"/>
          <w:szCs w:val="22"/>
          <w:u w:color="595959"/>
          <w:rtl w:val="0"/>
          <w:lang w:val="da-DK"/>
        </w:rPr>
        <w:t>for details.</w:t>
      </w:r>
    </w:p>
    <w:p>
      <w:pPr>
        <w:pStyle w:val="Body"/>
        <w:ind w:left="1080" w:firstLine="0"/>
        <w:rPr>
          <w:b w:val="1"/>
          <w:bCs w:val="1"/>
          <w:i w:val="1"/>
          <w:iCs w:val="1"/>
          <w:color w:val="595959"/>
          <w:sz w:val="22"/>
          <w:szCs w:val="22"/>
          <w:u w:color="595959"/>
        </w:rPr>
      </w:pPr>
    </w:p>
    <w:p>
      <w:pPr>
        <w:pStyle w:val="Body"/>
        <w:rPr>
          <w:i w:val="1"/>
          <w:iCs w:val="1"/>
          <w:color w:val="595959"/>
          <w:sz w:val="22"/>
          <w:szCs w:val="22"/>
          <w:u w:color="595959"/>
        </w:rPr>
      </w:pPr>
      <w:r>
        <w:rPr>
          <w:rFonts w:ascii="Times New Roman" w:cs="Arial Unicode MS" w:hAnsi="Arial Unicode MS" w:eastAsia="Arial Unicode MS"/>
          <w:i w:val="1"/>
          <w:iCs w:val="1"/>
          <w:color w:val="595959"/>
          <w:sz w:val="22"/>
          <w:szCs w:val="22"/>
          <w:u w:color="595959"/>
          <w:rtl w:val="0"/>
          <w:lang w:val="en-US"/>
        </w:rPr>
        <w:t xml:space="preserve">This homework builds on the analyses performed in homeworks #1,  #2, and #3. As such, 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pPr>
        <w:pStyle w:val="Body"/>
        <w:rPr>
          <w:i w:val="1"/>
          <w:iCs w:val="1"/>
          <w:color w:val="595959"/>
          <w:sz w:val="22"/>
          <w:szCs w:val="22"/>
          <w:u w:color="595959"/>
        </w:rPr>
      </w:pPr>
    </w:p>
    <w:p>
      <w:pPr>
        <w:pStyle w:val="Body"/>
        <w:numPr>
          <w:ilvl w:val="0"/>
          <w:numId w:val="6"/>
        </w:numPr>
        <w:tabs>
          <w:tab w:val="num" w:pos="687"/>
          <w:tab w:val="left" w:pos="720"/>
        </w:tabs>
        <w:bidi w:val="0"/>
        <w:spacing w:after="120"/>
        <w:ind w:left="68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variable. </w:t>
      </w:r>
    </w:p>
    <w:p>
      <w:pPr>
        <w:pStyle w:val="Body"/>
        <w:numPr>
          <w:ilvl w:val="1"/>
          <w:numId w:val="8"/>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Include full description of your methods, appropriate descriptive statistics, and full report of your inferential statistics.</w:t>
      </w:r>
    </w:p>
    <w:p>
      <w:pPr>
        <w:pStyle w:val="Body"/>
        <w:spacing w:after="120"/>
        <w:ind w:left="1440" w:firstLine="0"/>
        <w:rPr>
          <w:i w:val="1"/>
          <w:iCs w:val="1"/>
          <w:color w:val="595959"/>
          <w:sz w:val="22"/>
          <w:szCs w:val="22"/>
          <w:u w:color="595959"/>
        </w:rPr>
      </w:pPr>
      <w:r>
        <w:rPr>
          <w:i w:val="1"/>
          <w:iCs w:val="1"/>
          <w:color w:val="595959"/>
          <w:sz w:val="22"/>
          <w:szCs w:val="22"/>
          <w:u w:color="595959"/>
        </w:rPr>
        <w:br w:type="textWrapping"/>
      </w:r>
      <w:commentRangeStart w:id="1"/>
    </w:p>
    <w:p>
      <w:pPr>
        <w:pStyle w:val="Body"/>
        <w:spacing w:after="120"/>
        <w:ind w:left="1440" w:firstLine="0"/>
        <w:rPr>
          <w:color w:val="000000"/>
          <w:sz w:val="22"/>
          <w:szCs w:val="22"/>
          <w:u w:color="000000"/>
        </w:rPr>
      </w:pPr>
      <w:r>
        <w:rPr>
          <w:color w:val="000000"/>
          <w:sz w:val="22"/>
          <w:szCs w:val="22"/>
          <w:u w:color="000000"/>
          <w:rtl w:val="0"/>
          <w:lang w:val="en-US"/>
        </w:rPr>
        <w:t>Methods:</w:t>
      </w:r>
    </w:p>
    <w:p>
      <w:pPr>
        <w:pStyle w:val="Body"/>
        <w:spacing w:after="120"/>
        <w:ind w:left="1440" w:firstLine="0"/>
        <w:rPr>
          <w:color w:val="000000"/>
          <w:sz w:val="22"/>
          <w:szCs w:val="22"/>
          <w:u w:color="000000"/>
        </w:rPr>
      </w:pPr>
      <w:r>
        <w:rPr>
          <w:color w:val="000000"/>
          <w:sz w:val="22"/>
          <w:szCs w:val="22"/>
          <w:u w:color="000000"/>
          <w:rtl w:val="0"/>
          <w:lang w:val="en-US"/>
        </w:rPr>
        <w:t>A Cox Proportional Hazards regression was performed using a conitinuous measure of serum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r>
        <w:rPr>
          <w:color w:val="000000"/>
          <w:sz w:val="22"/>
          <w:szCs w:val="22"/>
          <w:u w:color="000000"/>
        </w:rPr>
        <w:br w:type="textWrapping"/>
      </w:r>
      <w:commentRangeEnd w:id="1"/>
      <w:r>
        <w:commentReference w:id="1"/>
      </w:r>
    </w:p>
    <w:p>
      <w:pPr>
        <w:pStyle w:val="Body"/>
        <w:spacing w:after="120"/>
        <w:ind w:left="1440" w:firstLine="0"/>
        <w:rPr>
          <w:color w:val="000000"/>
          <w:sz w:val="22"/>
          <w:szCs w:val="22"/>
          <w:u w:color="000000"/>
        </w:rPr>
      </w:pPr>
    </w:p>
    <w:p>
      <w:pPr>
        <w:pStyle w:val="Body"/>
        <w:spacing w:after="120"/>
        <w:ind w:left="1440" w:firstLine="0"/>
        <w:rPr>
          <w:color w:val="000000"/>
          <w:sz w:val="22"/>
          <w:szCs w:val="22"/>
          <w:u w:color="000000"/>
        </w:rPr>
      </w:pPr>
      <w:r>
        <w:rPr>
          <w:color w:val="000000"/>
          <w:sz w:val="22"/>
          <w:szCs w:val="22"/>
          <w:u w:color="000000"/>
          <w:rtl w:val="0"/>
        </w:rPr>
        <w:t>Results:</w:t>
      </w:r>
    </w:p>
    <w:p>
      <w:pPr>
        <w:pStyle w:val="Body"/>
        <w:spacing w:after="120"/>
        <w:ind w:left="1440" w:firstLine="0"/>
        <w:rPr>
          <w:color w:val="000000"/>
          <w:sz w:val="22"/>
          <w:szCs w:val="22"/>
          <w:u w:color="000000"/>
        </w:rPr>
      </w:pPr>
      <w:r>
        <w:rPr>
          <w:color w:val="000000"/>
          <w:sz w:val="22"/>
          <w:szCs w:val="22"/>
          <w:u w:color="000000"/>
          <w:rtl w:val="0"/>
          <w:lang w:val="en-US"/>
        </w:rPr>
        <w:t>Descriptive Statistics:</w:t>
      </w:r>
    </w:p>
    <w:p>
      <w:pPr>
        <w:pStyle w:val="Body"/>
        <w:spacing w:after="120"/>
        <w:ind w:left="1440" w:firstLine="0"/>
        <w:rPr>
          <w:color w:val="000000"/>
          <w:sz w:val="22"/>
          <w:szCs w:val="22"/>
          <w:u w:color="000000"/>
        </w:rPr>
      </w:pPr>
      <w:r>
        <w:rPr>
          <w:rtl w:val="0"/>
        </w:rPr>
        <w:drawing>
          <wp:inline distT="0" distB="0" distL="0" distR="0">
            <wp:extent cx="5162550" cy="49911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4">
                      <a:extLst/>
                    </a:blip>
                    <a:srcRect l="0" t="0" r="0" b="0"/>
                    <a:stretch>
                      <a:fillRect/>
                    </a:stretch>
                  </pic:blipFill>
                  <pic:spPr>
                    <a:xfrm>
                      <a:off x="0" y="0"/>
                      <a:ext cx="5162550" cy="499110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r>
        <w:rPr>
          <w:rtl w:val="0"/>
        </w:rPr>
        <w:drawing>
          <wp:inline distT="0" distB="0" distL="0" distR="0">
            <wp:extent cx="5448300" cy="44767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df"/>
                    <pic:cNvPicPr/>
                  </pic:nvPicPr>
                  <pic:blipFill rotWithShape="1">
                    <a:blip r:embed="rId5">
                      <a:extLst/>
                    </a:blip>
                    <a:srcRect l="0" t="0" r="0" b="0"/>
                    <a:stretch>
                      <a:fillRect/>
                    </a:stretch>
                  </pic:blipFill>
                  <pic:spPr>
                    <a:xfrm>
                      <a:off x="0" y="0"/>
                      <a:ext cx="5448300" cy="447675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p>
    <w:p>
      <w:pPr>
        <w:pStyle w:val="Body"/>
        <w:spacing w:after="120"/>
        <w:ind w:left="1440" w:firstLine="0"/>
        <w:rPr>
          <w:color w:val="000000"/>
          <w:sz w:val="22"/>
          <w:szCs w:val="22"/>
          <w:u w:color="000000"/>
        </w:rPr>
      </w:pPr>
      <w:r>
        <w:rPr>
          <w:color w:val="000000"/>
          <w:sz w:val="22"/>
          <w:szCs w:val="22"/>
          <w:u w:color="000000"/>
          <w:rtl w:val="0"/>
          <w:lang w:val="en-US"/>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1000, but for the remainder of the study period those in the mid range having serum LDL between 100 and 160 mg/dL have the higher survival probability of the two strata. Overall, survival is high, with survival probabilities never dropping below 0.7 during the study period.</w:t>
      </w:r>
    </w:p>
    <w:p>
      <w:pPr>
        <w:pStyle w:val="Body"/>
        <w:spacing w:after="120"/>
        <w:ind w:left="1440" w:firstLine="0"/>
        <w:rPr>
          <w:color w:val="000000"/>
          <w:sz w:val="22"/>
          <w:szCs w:val="22"/>
          <w:u w:color="000000"/>
        </w:rPr>
      </w:pPr>
    </w:p>
    <w:p>
      <w:pPr>
        <w:pStyle w:val="Body"/>
        <w:spacing w:after="120"/>
        <w:ind w:left="1440" w:firstLine="0"/>
        <w:rPr>
          <w:color w:val="000000"/>
          <w:sz w:val="22"/>
          <w:szCs w:val="22"/>
          <w:u w:color="000000"/>
        </w:rPr>
      </w:pPr>
      <w:r>
        <w:rPr>
          <w:color w:val="000000"/>
          <w:sz w:val="22"/>
          <w:szCs w:val="22"/>
          <w:u w:color="000000"/>
          <w:rtl w:val="0"/>
          <w:lang w:val="en-US"/>
        </w:rPr>
        <w:t>Inferential Statistics:</w:t>
      </w:r>
    </w:p>
    <w:p>
      <w:pPr>
        <w:pStyle w:val="Body"/>
        <w:spacing w:after="120"/>
        <w:ind w:left="1440" w:firstLine="0"/>
        <w:rPr>
          <w:color w:val="000000"/>
          <w:sz w:val="22"/>
          <w:szCs w:val="22"/>
          <w:u w:color="000000"/>
        </w:rPr>
      </w:pPr>
      <w:r>
        <w:rPr>
          <w:color w:val="000000"/>
          <w:sz w:val="22"/>
          <w:szCs w:val="22"/>
          <w:u w:color="000000"/>
          <w:rtl w:val="0"/>
          <w:lang w:val="en-US"/>
        </w:rPr>
        <w:t>According to a Cox Proportional Hazards regression using a continuous  measure of serum LDL to estimate instantaneous risk of death, a group with serum LDL 1 unit higher (1 mg/dL) has an instantaneous death rate 0.007 times (0.7%) lower than those with higher LDL, and a group with LDL 10 mg/dL higher has an instantaneous death rate 6.8% lower than those with higher LDL. Based on a 95% confidence interval, this 1-unit multiplicative difference in instantaneous death rate would not be judged unusual if the true 1-unit multiplicative difference were anywhere between 0.013 (1.3%) and 0.002 (0.2%). A two-sided p value of 0.006  suggests statistical significance at the 0.05 alpha level allowing for the rejection of the null hypothesis that the hazard ratio between the two groups has a null value of 1.</w:t>
      </w:r>
    </w:p>
    <w:p>
      <w:pPr>
        <w:pStyle w:val="Body"/>
        <w:spacing w:after="120"/>
        <w:ind w:left="1440" w:firstLine="0"/>
        <w:rPr>
          <w:i w:val="1"/>
          <w:iCs w:val="1"/>
          <w:color w:val="595959"/>
          <w:sz w:val="22"/>
          <w:szCs w:val="22"/>
          <w:u w:color="595959"/>
        </w:rPr>
      </w:pPr>
    </w:p>
    <w:p>
      <w:pPr>
        <w:pStyle w:val="Body"/>
        <w:numPr>
          <w:ilvl w:val="1"/>
          <w:numId w:val="9"/>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For each population defined by serum LDL value, compute the hazard ratio relative to a group having serum LDL of 160 mg/dL. (This will be used in problem 4). If HR is the hazard ratio (use the actual hazard ratio estimate) obtained from your regression model, this can be effected by the Stata code</w:t>
      </w:r>
    </w:p>
    <w:p>
      <w:pPr>
        <w:pStyle w:val="Body"/>
        <w:spacing w:after="120"/>
        <w:ind w:left="2160" w:firstLine="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en-US"/>
        </w:rPr>
        <w:t>gen fithrA = HR ^ (ldl</w:t>
      </w:r>
      <w:r>
        <w:rPr>
          <w:rFonts w:hAnsi="Times New Roman" w:hint="default"/>
          <w:i w:val="1"/>
          <w:iCs w:val="1"/>
          <w:color w:val="595959"/>
          <w:sz w:val="22"/>
          <w:szCs w:val="22"/>
          <w:u w:color="595959"/>
          <w:rtl w:val="0"/>
          <w:lang w:val="en-US"/>
        </w:rPr>
        <w:t xml:space="preserve"> – </w:t>
      </w:r>
      <w:r>
        <w:rPr>
          <w:rFonts w:ascii="Courier New"/>
          <w:i w:val="1"/>
          <w:iCs w:val="1"/>
          <w:color w:val="595959"/>
          <w:sz w:val="22"/>
          <w:szCs w:val="22"/>
          <w:u w:color="595959"/>
          <w:rtl w:val="0"/>
        </w:rPr>
        <w:t>160)</w:t>
      </w:r>
    </w:p>
    <w:p>
      <w:pPr>
        <w:pStyle w:val="Body"/>
        <w:spacing w:after="120"/>
        <w:ind w:left="1440" w:firstLine="0"/>
        <w:rPr>
          <w:i w:val="1"/>
          <w:iCs w:val="1"/>
          <w:color w:val="595959"/>
          <w:sz w:val="22"/>
          <w:szCs w:val="22"/>
          <w:u w:color="595959"/>
        </w:rPr>
      </w:pPr>
      <w:r>
        <w:rPr>
          <w:i w:val="1"/>
          <w:iCs w:val="1"/>
          <w:color w:val="595959"/>
          <w:sz w:val="22"/>
          <w:szCs w:val="22"/>
          <w:u w:color="595959"/>
          <w:rtl w:val="0"/>
          <w:lang w:val="en-US"/>
        </w:rPr>
        <w:t xml:space="preserve">It could also be computed by creating a centered LDL variable, and then using the Stata </w:t>
      </w:r>
      <w:r>
        <w:rPr>
          <w:rFonts w:ascii="Courier New"/>
          <w:i w:val="1"/>
          <w:iCs w:val="1"/>
          <w:color w:val="595959"/>
          <w:sz w:val="22"/>
          <w:szCs w:val="22"/>
          <w:u w:color="595959"/>
          <w:rtl w:val="0"/>
        </w:rPr>
        <w:t>predict</w:t>
      </w:r>
      <w:r>
        <w:rPr>
          <w:i w:val="1"/>
          <w:iCs w:val="1"/>
          <w:color w:val="595959"/>
          <w:sz w:val="22"/>
          <w:szCs w:val="22"/>
          <w:u w:color="595959"/>
          <w:rtl w:val="0"/>
          <w:lang w:val="fr-FR"/>
        </w:rPr>
        <w:t xml:space="preserve"> command</w:t>
      </w:r>
    </w:p>
    <w:p>
      <w:pPr>
        <w:pStyle w:val="Body"/>
        <w:spacing w:after="120"/>
        <w:rPr>
          <w:rFonts w:ascii="Courier New" w:cs="Courier New" w:hAnsi="Courier New" w:eastAsia="Courier New"/>
          <w:i w:val="1"/>
          <w:iCs w:val="1"/>
          <w:color w:val="595959"/>
          <w:sz w:val="22"/>
          <w:szCs w:val="22"/>
          <w:u w:color="595959"/>
        </w:rPr>
      </w:pPr>
      <w:r>
        <w:rPr>
          <w:i w:val="1"/>
          <w:iCs w:val="1"/>
          <w:color w:val="595959"/>
          <w:sz w:val="22"/>
          <w:szCs w:val="22"/>
          <w:u w:color="595959"/>
          <w:rtl w:val="0"/>
        </w:rPr>
        <w:tab/>
        <w:tab/>
        <w:tab/>
      </w:r>
      <w:r>
        <w:rPr>
          <w:rFonts w:ascii="Courier New"/>
          <w:i w:val="1"/>
          <w:iCs w:val="1"/>
          <w:color w:val="595959"/>
          <w:sz w:val="22"/>
          <w:szCs w:val="22"/>
          <w:u w:color="595959"/>
          <w:rtl w:val="0"/>
        </w:rPr>
        <w:t xml:space="preserve">gen cldl = ldl </w:t>
      </w:r>
      <w:r>
        <w:rPr>
          <w:rFonts w:hAnsi="Times New Roman" w:hint="default"/>
          <w:i w:val="1"/>
          <w:iCs w:val="1"/>
          <w:color w:val="595959"/>
          <w:sz w:val="22"/>
          <w:szCs w:val="22"/>
          <w:u w:color="595959"/>
          <w:rtl w:val="0"/>
          <w:lang w:val="en-US"/>
        </w:rPr>
        <w:t xml:space="preserve">– </w:t>
      </w:r>
      <w:r>
        <w:rPr>
          <w:rFonts w:ascii="Courier New"/>
          <w:i w:val="1"/>
          <w:iCs w:val="1"/>
          <w:color w:val="595959"/>
          <w:sz w:val="22"/>
          <w:szCs w:val="22"/>
          <w:u w:color="595959"/>
          <w:rtl w:val="0"/>
        </w:rPr>
        <w:t>160</w:t>
      </w:r>
    </w:p>
    <w:p>
      <w:pPr>
        <w:pStyle w:val="Body"/>
        <w:spacing w:after="120"/>
        <w:ind w:left="1440" w:firstLine="72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fr-FR"/>
        </w:rPr>
        <w:t>stcox cldl</w:t>
      </w:r>
    </w:p>
    <w:p>
      <w:pPr>
        <w:pStyle w:val="Body"/>
        <w:spacing w:after="120"/>
        <w:ind w:left="1440" w:firstLine="720"/>
        <w:rPr>
          <w:i w:val="1"/>
          <w:iCs w:val="1"/>
          <w:color w:val="595959"/>
          <w:sz w:val="22"/>
          <w:szCs w:val="22"/>
          <w:u w:color="595959"/>
        </w:rPr>
      </w:pPr>
      <w:r>
        <w:rPr>
          <w:rFonts w:ascii="Courier New"/>
          <w:i w:val="1"/>
          <w:iCs w:val="1"/>
          <w:color w:val="595959"/>
          <w:sz w:val="22"/>
          <w:szCs w:val="22"/>
          <w:u w:color="595959"/>
          <w:rtl w:val="0"/>
          <w:lang w:val="en-US"/>
        </w:rPr>
        <w:t xml:space="preserve">predict fithrA </w:t>
      </w:r>
      <w:r>
        <w:rPr>
          <w:i w:val="1"/>
          <w:iCs w:val="1"/>
          <w:color w:val="595959"/>
          <w:sz w:val="22"/>
          <w:szCs w:val="22"/>
          <w:u w:color="595959"/>
          <w:rtl w:val="0"/>
        </w:rPr>
        <w:t xml:space="preserve"> </w:t>
      </w:r>
    </w:p>
    <w:p>
      <w:pPr>
        <w:pStyle w:val="Body"/>
        <w:numPr>
          <w:ilvl w:val="0"/>
          <w:numId w:val="6"/>
        </w:numPr>
        <w:tabs>
          <w:tab w:val="num" w:pos="687"/>
          <w:tab w:val="left" w:pos="720"/>
        </w:tabs>
        <w:bidi w:val="0"/>
        <w:spacing w:after="120"/>
        <w:ind w:left="68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logarithmically transformed variable. </w:t>
      </w:r>
    </w:p>
    <w:p>
      <w:pPr>
        <w:pStyle w:val="Body"/>
        <w:numPr>
          <w:ilvl w:val="1"/>
          <w:numId w:val="9"/>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Include full description of your methods, appropriate descriptive statistics (you may refer to problem 1, if the descriptive statistics presented there are adequate for this question), and full report of your inferential statistics.</w:t>
      </w:r>
    </w:p>
    <w:p>
      <w:pPr>
        <w:pStyle w:val="Body"/>
        <w:spacing w:after="120"/>
        <w:ind w:left="1440" w:firstLine="0"/>
        <w:rPr>
          <w:i w:val="1"/>
          <w:iCs w:val="1"/>
          <w:color w:val="595959"/>
          <w:sz w:val="22"/>
          <w:szCs w:val="22"/>
          <w:u w:color="595959"/>
        </w:rPr>
      </w:pPr>
      <w:r>
        <w:rPr>
          <w:i w:val="1"/>
          <w:iCs w:val="1"/>
          <w:color w:val="595959"/>
          <w:sz w:val="22"/>
          <w:szCs w:val="22"/>
          <w:u w:color="595959"/>
        </w:rPr>
        <w:br w:type="textWrapping"/>
      </w:r>
      <w:commentRangeStart w:id="2"/>
    </w:p>
    <w:p>
      <w:pPr>
        <w:pStyle w:val="Body"/>
        <w:spacing w:after="120"/>
        <w:ind w:left="1440" w:firstLine="0"/>
        <w:rPr>
          <w:color w:val="000000"/>
          <w:sz w:val="22"/>
          <w:szCs w:val="22"/>
          <w:u w:color="000000"/>
        </w:rPr>
      </w:pPr>
      <w:r>
        <w:rPr>
          <w:color w:val="000000"/>
          <w:sz w:val="22"/>
          <w:szCs w:val="22"/>
          <w:u w:color="000000"/>
          <w:rtl w:val="0"/>
          <w:lang w:val="en-US"/>
        </w:rPr>
        <w:t>Methods:</w:t>
      </w:r>
    </w:p>
    <w:p>
      <w:pPr>
        <w:pStyle w:val="Body"/>
        <w:spacing w:after="120"/>
        <w:ind w:left="1440" w:firstLine="0"/>
        <w:rPr>
          <w:color w:val="000000"/>
          <w:sz w:val="22"/>
          <w:szCs w:val="22"/>
          <w:u w:color="000000"/>
        </w:rPr>
      </w:pPr>
      <w:r>
        <w:rPr>
          <w:color w:val="000000"/>
          <w:sz w:val="22"/>
          <w:szCs w:val="22"/>
          <w:u w:color="000000"/>
          <w:rtl w:val="0"/>
          <w:lang w:val="en-US"/>
        </w:rPr>
        <w:t>A Cox Proportional Hazards regression was performed using the logarithmic transformation of a conitinuous measure of serum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pPr>
        <w:pStyle w:val="Body"/>
        <w:spacing w:after="120"/>
        <w:ind w:left="1440" w:firstLine="0"/>
        <w:rPr>
          <w:color w:val="000000"/>
          <w:sz w:val="22"/>
          <w:szCs w:val="22"/>
          <w:u w:color="000000"/>
        </w:rPr>
      </w:pPr>
      <w:r>
        <w:rPr>
          <w:color w:val="000000"/>
          <w:sz w:val="22"/>
          <w:szCs w:val="22"/>
          <w:u w:color="000000"/>
          <w:rtl w:val="0"/>
        </w:rPr>
        <w:t>Results:</w:t>
      </w:r>
    </w:p>
    <w:p>
      <w:pPr>
        <w:pStyle w:val="Body"/>
        <w:spacing w:after="120"/>
        <w:ind w:left="1440" w:firstLine="0"/>
        <w:rPr>
          <w:color w:val="000000"/>
          <w:sz w:val="22"/>
          <w:szCs w:val="22"/>
          <w:u w:color="000000"/>
        </w:rPr>
      </w:pPr>
      <w:r>
        <w:rPr>
          <w:color w:val="000000"/>
          <w:sz w:val="22"/>
          <w:szCs w:val="22"/>
          <w:u w:color="000000"/>
          <w:rtl w:val="0"/>
          <w:lang w:val="en-US"/>
        </w:rPr>
        <w:t>Descriptive Statistics:</w:t>
      </w:r>
      <w:r>
        <w:rPr>
          <w:color w:val="000000"/>
          <w:sz w:val="22"/>
          <w:szCs w:val="22"/>
          <w:u w:color="000000"/>
        </w:rPr>
        <w:br w:type="textWrapping"/>
      </w:r>
      <w:commentRangeEnd w:id="2"/>
      <w:r>
        <w:commentReference w:id="2"/>
      </w:r>
    </w:p>
    <w:p>
      <w:pPr>
        <w:pStyle w:val="Body"/>
        <w:spacing w:after="120"/>
        <w:ind w:left="1440" w:firstLine="0"/>
        <w:rPr>
          <w:color w:val="000000"/>
          <w:sz w:val="22"/>
          <w:szCs w:val="22"/>
          <w:u w:color="000000"/>
        </w:rPr>
      </w:pPr>
      <w:r>
        <w:rPr>
          <w:rtl w:val="0"/>
        </w:rPr>
        <w:drawing>
          <wp:inline distT="0" distB="0" distL="0" distR="0">
            <wp:extent cx="5000625" cy="49911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rotWithShape="1">
                    <a:blip r:embed="rId6">
                      <a:extLst/>
                    </a:blip>
                    <a:srcRect l="0" t="0" r="0" b="0"/>
                    <a:stretch>
                      <a:fillRect/>
                    </a:stretch>
                  </pic:blipFill>
                  <pic:spPr>
                    <a:xfrm>
                      <a:off x="0" y="0"/>
                      <a:ext cx="5000625" cy="499110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r>
        <w:rPr>
          <w:rtl w:val="0"/>
        </w:rPr>
        <w:drawing>
          <wp:inline distT="0" distB="0" distL="0" distR="0">
            <wp:extent cx="4886325" cy="516255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pdf"/>
                    <pic:cNvPicPr/>
                  </pic:nvPicPr>
                  <pic:blipFill rotWithShape="1">
                    <a:blip r:embed="rId7">
                      <a:extLst/>
                    </a:blip>
                    <a:srcRect l="0" t="0" r="0" b="0"/>
                    <a:stretch>
                      <a:fillRect/>
                    </a:stretch>
                  </pic:blipFill>
                  <pic:spPr>
                    <a:xfrm>
                      <a:off x="0" y="0"/>
                      <a:ext cx="4886325" cy="516255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r>
        <w:rPr>
          <w:color w:val="000000"/>
          <w:sz w:val="22"/>
          <w:szCs w:val="22"/>
          <w:u w:color="000000"/>
          <w:rtl w:val="0"/>
          <w:lang w:val="en-US"/>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1000, but for the remainder of the study period those in the mid range having serum LDL between 100 and 160 mg/dL have the higher survival probability of the two strata. Overall, survival is high, with survival probabilities never dropping below 0.7 during the study period.</w:t>
      </w:r>
    </w:p>
    <w:p>
      <w:pPr>
        <w:pStyle w:val="Body"/>
        <w:spacing w:after="120"/>
        <w:ind w:left="1440" w:firstLine="0"/>
        <w:rPr>
          <w:color w:val="000000"/>
          <w:sz w:val="22"/>
          <w:szCs w:val="22"/>
          <w:u w:color="000000"/>
        </w:rPr>
      </w:pPr>
    </w:p>
    <w:p>
      <w:pPr>
        <w:pStyle w:val="Body"/>
        <w:spacing w:after="120"/>
        <w:ind w:left="1440" w:firstLine="0"/>
        <w:rPr>
          <w:color w:val="000000"/>
          <w:sz w:val="22"/>
          <w:szCs w:val="22"/>
          <w:u w:color="000000"/>
        </w:rPr>
      </w:pPr>
      <w:r>
        <w:rPr>
          <w:color w:val="000000"/>
          <w:sz w:val="22"/>
          <w:szCs w:val="22"/>
          <w:u w:color="000000"/>
          <w:rtl w:val="0"/>
          <w:lang w:val="en-US"/>
        </w:rPr>
        <w:t>Inferential Statistics:</w:t>
      </w:r>
    </w:p>
    <w:p>
      <w:pPr>
        <w:pStyle w:val="Body"/>
        <w:spacing w:after="120"/>
        <w:ind w:left="1440" w:firstLine="0"/>
        <w:rPr>
          <w:color w:val="000000"/>
          <w:sz w:val="22"/>
          <w:szCs w:val="22"/>
          <w:u w:color="000000"/>
        </w:rPr>
      </w:pPr>
      <w:r>
        <w:rPr>
          <w:color w:val="000000"/>
          <w:sz w:val="22"/>
          <w:szCs w:val="22"/>
          <w:u w:color="000000"/>
          <w:rtl w:val="0"/>
          <w:lang w:val="en-US"/>
        </w:rPr>
        <w:t>According to a Cox Proportional Hazards regression using a log-transformed continuous  measure of serum LDL to estimate instantaneous risk of death, for each doubling of serum LDL, the instantaneous death rate is  0.564 times (56.4%) lower than those with higher LDL. Based on a 95% confidence interval, this would not be judged unusual if the true doubling decrease in risk of death were anywhere between 0.407 (40.7%) and 0.775 (77.5%). A two-sided p value of 0.0055  suggests statistical significance at the 0.05 alpha level allowing for the rejection of the null hypothesis that the hazard ratio between the two groups has a null value of 1.</w:t>
      </w:r>
    </w:p>
    <w:p>
      <w:pPr>
        <w:pStyle w:val="Body"/>
        <w:spacing w:after="120"/>
        <w:ind w:left="1440" w:firstLine="0"/>
        <w:rPr>
          <w:color w:val="000000"/>
          <w:sz w:val="22"/>
          <w:szCs w:val="22"/>
          <w:u w:color="000000"/>
        </w:rPr>
      </w:pPr>
    </w:p>
    <w:p>
      <w:pPr>
        <w:pStyle w:val="Body"/>
        <w:spacing w:after="120"/>
        <w:ind w:left="1440" w:firstLine="0"/>
        <w:rPr>
          <w:i w:val="1"/>
          <w:iCs w:val="1"/>
          <w:color w:val="595959"/>
          <w:sz w:val="22"/>
          <w:szCs w:val="22"/>
          <w:u w:color="595959"/>
        </w:rPr>
      </w:pPr>
    </w:p>
    <w:p>
      <w:pPr>
        <w:pStyle w:val="Body"/>
        <w:numPr>
          <w:ilvl w:val="1"/>
          <w:numId w:val="9"/>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For each population defined by serum LDL value, compute the hazard ratio relative to a group having serum LDL of 160 mg/dL. (This will be used in problem 4). If HR is the hazard ratio (use the actual hazard ratio estimate) obtained from your regression model, this can be effected by the Stata code</w:t>
      </w:r>
    </w:p>
    <w:p>
      <w:pPr>
        <w:pStyle w:val="Body"/>
        <w:spacing w:after="120"/>
        <w:ind w:left="2160" w:firstLine="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rPr>
        <w:t>gen logldl = log(ldl)</w:t>
      </w:r>
    </w:p>
    <w:p>
      <w:pPr>
        <w:pStyle w:val="Body"/>
        <w:spacing w:after="120"/>
        <w:ind w:left="2160" w:firstLine="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fr-FR"/>
        </w:rPr>
        <w:t>stcox logldl</w:t>
      </w:r>
    </w:p>
    <w:p>
      <w:pPr>
        <w:pStyle w:val="Body"/>
        <w:spacing w:after="120"/>
        <w:ind w:left="2160" w:firstLine="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en-US"/>
        </w:rPr>
        <w:t>fithrB = HR ^ (logldl</w:t>
      </w:r>
      <w:r>
        <w:rPr>
          <w:rFonts w:hAnsi="Times New Roman" w:hint="default"/>
          <w:i w:val="1"/>
          <w:iCs w:val="1"/>
          <w:color w:val="595959"/>
          <w:sz w:val="22"/>
          <w:szCs w:val="22"/>
          <w:u w:color="595959"/>
          <w:rtl w:val="0"/>
          <w:lang w:val="en-US"/>
        </w:rPr>
        <w:t xml:space="preserve"> – </w:t>
      </w:r>
      <w:r>
        <w:rPr>
          <w:rFonts w:ascii="Courier New"/>
          <w:i w:val="1"/>
          <w:iCs w:val="1"/>
          <w:color w:val="595959"/>
          <w:sz w:val="22"/>
          <w:szCs w:val="22"/>
          <w:u w:color="595959"/>
          <w:rtl w:val="0"/>
        </w:rPr>
        <w:t>log(160))</w:t>
      </w:r>
    </w:p>
    <w:p>
      <w:pPr>
        <w:pStyle w:val="Body"/>
        <w:spacing w:after="120"/>
        <w:ind w:left="1440" w:firstLine="0"/>
        <w:rPr>
          <w:i w:val="1"/>
          <w:iCs w:val="1"/>
          <w:color w:val="595959"/>
          <w:sz w:val="22"/>
          <w:szCs w:val="22"/>
          <w:u w:color="595959"/>
        </w:rPr>
      </w:pPr>
      <w:r>
        <w:rPr>
          <w:i w:val="1"/>
          <w:iCs w:val="1"/>
          <w:color w:val="595959"/>
          <w:sz w:val="22"/>
          <w:szCs w:val="22"/>
          <w:u w:color="595959"/>
          <w:rtl w:val="0"/>
          <w:lang w:val="en-US"/>
        </w:rPr>
        <w:t xml:space="preserve">It could also be computed by creating a centered logarithmically transformed LDL variable, and then using the Stata </w:t>
      </w:r>
      <w:r>
        <w:rPr>
          <w:rFonts w:ascii="Courier New"/>
          <w:i w:val="1"/>
          <w:iCs w:val="1"/>
          <w:color w:val="595959"/>
          <w:sz w:val="22"/>
          <w:szCs w:val="22"/>
          <w:u w:color="595959"/>
          <w:rtl w:val="0"/>
        </w:rPr>
        <w:t>predict</w:t>
      </w:r>
      <w:r>
        <w:rPr>
          <w:i w:val="1"/>
          <w:iCs w:val="1"/>
          <w:color w:val="595959"/>
          <w:sz w:val="22"/>
          <w:szCs w:val="22"/>
          <w:u w:color="595959"/>
          <w:rtl w:val="0"/>
          <w:lang w:val="fr-FR"/>
        </w:rPr>
        <w:t xml:space="preserve"> command</w:t>
      </w:r>
    </w:p>
    <w:p>
      <w:pPr>
        <w:pStyle w:val="Body"/>
        <w:spacing w:after="120"/>
        <w:rPr>
          <w:rFonts w:ascii="Courier New" w:cs="Courier New" w:hAnsi="Courier New" w:eastAsia="Courier New"/>
          <w:i w:val="1"/>
          <w:iCs w:val="1"/>
          <w:color w:val="595959"/>
          <w:sz w:val="22"/>
          <w:szCs w:val="22"/>
          <w:u w:color="595959"/>
        </w:rPr>
      </w:pPr>
      <w:r>
        <w:rPr>
          <w:i w:val="1"/>
          <w:iCs w:val="1"/>
          <w:color w:val="595959"/>
          <w:sz w:val="22"/>
          <w:szCs w:val="22"/>
          <w:u w:color="595959"/>
          <w:rtl w:val="0"/>
        </w:rPr>
        <w:tab/>
        <w:tab/>
        <w:tab/>
      </w:r>
      <w:r>
        <w:rPr>
          <w:rFonts w:ascii="Courier New"/>
          <w:i w:val="1"/>
          <w:iCs w:val="1"/>
          <w:color w:val="595959"/>
          <w:sz w:val="22"/>
          <w:szCs w:val="22"/>
          <w:u w:color="595959"/>
          <w:rtl w:val="0"/>
        </w:rPr>
        <w:t>gen clogldl = log(ldl / 160)</w:t>
      </w:r>
    </w:p>
    <w:p>
      <w:pPr>
        <w:pStyle w:val="Body"/>
        <w:spacing w:after="120"/>
        <w:ind w:left="1440" w:firstLine="72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en-US"/>
        </w:rPr>
        <w:t>stcox clogldl</w:t>
      </w:r>
    </w:p>
    <w:p>
      <w:pPr>
        <w:pStyle w:val="Body"/>
        <w:spacing w:after="120"/>
        <w:ind w:left="1440" w:firstLine="720"/>
        <w:rPr>
          <w:i w:val="1"/>
          <w:iCs w:val="1"/>
          <w:color w:val="595959"/>
          <w:sz w:val="22"/>
          <w:szCs w:val="22"/>
          <w:u w:color="595959"/>
        </w:rPr>
      </w:pPr>
      <w:r>
        <w:rPr>
          <w:rFonts w:ascii="Courier New"/>
          <w:i w:val="1"/>
          <w:iCs w:val="1"/>
          <w:color w:val="595959"/>
          <w:sz w:val="22"/>
          <w:szCs w:val="22"/>
          <w:u w:color="595959"/>
          <w:rtl w:val="0"/>
          <w:lang w:val="en-US"/>
        </w:rPr>
        <w:t xml:space="preserve">predict fithrB </w:t>
      </w:r>
      <w:r>
        <w:rPr>
          <w:i w:val="1"/>
          <w:iCs w:val="1"/>
          <w:color w:val="595959"/>
          <w:sz w:val="22"/>
          <w:szCs w:val="22"/>
          <w:u w:color="595959"/>
          <w:rtl w:val="0"/>
        </w:rPr>
        <w:t xml:space="preserve"> </w:t>
      </w:r>
    </w:p>
    <w:p>
      <w:pPr>
        <w:pStyle w:val="Body"/>
        <w:numPr>
          <w:ilvl w:val="0"/>
          <w:numId w:val="6"/>
        </w:numPr>
        <w:tabs>
          <w:tab w:val="num" w:pos="687"/>
          <w:tab w:val="left" w:pos="720"/>
        </w:tabs>
        <w:bidi w:val="0"/>
        <w:spacing w:after="120"/>
        <w:ind w:left="68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 </w:t>
      </w:r>
    </w:p>
    <w:p>
      <w:pPr>
        <w:pStyle w:val="Body"/>
        <w:numPr>
          <w:ilvl w:val="1"/>
          <w:numId w:val="9"/>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pPr>
        <w:pStyle w:val="Body"/>
        <w:spacing w:after="120"/>
        <w:ind w:left="1440" w:firstLine="0"/>
        <w:rPr>
          <w:color w:val="000000"/>
          <w:sz w:val="22"/>
          <w:szCs w:val="22"/>
          <w:u w:color="000000"/>
        </w:rPr>
      </w:pPr>
      <w:r>
        <w:rPr>
          <w:color w:val="000000"/>
          <w:sz w:val="22"/>
          <w:szCs w:val="22"/>
          <w:u w:color="000000"/>
        </w:rPr>
        <w:br w:type="textWrapping"/>
      </w:r>
      <w:commentRangeStart w:id="3"/>
    </w:p>
    <w:p>
      <w:pPr>
        <w:pStyle w:val="Body"/>
        <w:spacing w:after="120"/>
        <w:ind w:left="1440" w:firstLine="0"/>
        <w:rPr>
          <w:color w:val="000000"/>
          <w:sz w:val="22"/>
          <w:szCs w:val="22"/>
          <w:u w:color="000000"/>
        </w:rPr>
      </w:pPr>
      <w:r>
        <w:rPr>
          <w:color w:val="000000"/>
          <w:sz w:val="22"/>
          <w:szCs w:val="22"/>
          <w:u w:color="000000"/>
          <w:rtl w:val="0"/>
          <w:lang w:val="en-US"/>
        </w:rPr>
        <w:t>Methods:</w:t>
      </w:r>
    </w:p>
    <w:p>
      <w:pPr>
        <w:pStyle w:val="Body"/>
        <w:spacing w:after="120"/>
        <w:ind w:left="1440" w:firstLine="0"/>
        <w:rPr>
          <w:color w:val="000000"/>
          <w:sz w:val="22"/>
          <w:szCs w:val="22"/>
          <w:u w:color="000000"/>
        </w:rPr>
      </w:pPr>
      <w:r>
        <w:rPr>
          <w:color w:val="000000"/>
          <w:sz w:val="22"/>
          <w:szCs w:val="22"/>
          <w:u w:color="000000"/>
          <w:rtl w:val="0"/>
          <w:lang w:val="en-US"/>
        </w:rPr>
        <w:t>A Cox Proportional Hazards regression was performed using a conitinuous measure of serum LDL levels treated quadratically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pPr>
        <w:pStyle w:val="Body"/>
        <w:spacing w:after="120"/>
        <w:ind w:left="1440" w:firstLine="0"/>
        <w:rPr>
          <w:color w:val="000000"/>
          <w:sz w:val="22"/>
          <w:szCs w:val="22"/>
          <w:u w:color="000000"/>
        </w:rPr>
      </w:pPr>
      <w:r>
        <w:rPr>
          <w:color w:val="000000"/>
          <w:sz w:val="22"/>
          <w:szCs w:val="22"/>
          <w:u w:color="000000"/>
          <w:rtl w:val="0"/>
        </w:rPr>
        <w:t>Results:</w:t>
      </w:r>
    </w:p>
    <w:p>
      <w:pPr>
        <w:pStyle w:val="Body"/>
        <w:spacing w:after="120"/>
        <w:ind w:left="1440" w:firstLine="0"/>
        <w:rPr>
          <w:color w:val="000000"/>
          <w:sz w:val="22"/>
          <w:szCs w:val="22"/>
          <w:u w:color="000000"/>
        </w:rPr>
      </w:pPr>
      <w:r>
        <w:rPr>
          <w:color w:val="000000"/>
          <w:sz w:val="22"/>
          <w:szCs w:val="22"/>
          <w:u w:color="000000"/>
          <w:rtl w:val="0"/>
          <w:lang w:val="en-US"/>
        </w:rPr>
        <w:t>Descriptive Statistics:</w:t>
      </w:r>
    </w:p>
    <w:p>
      <w:pPr>
        <w:pStyle w:val="Body"/>
        <w:spacing w:after="120"/>
        <w:ind w:left="1440" w:firstLine="0"/>
        <w:rPr>
          <w:color w:val="000000"/>
          <w:sz w:val="22"/>
          <w:szCs w:val="22"/>
          <w:u w:color="000000"/>
        </w:rPr>
      </w:pPr>
      <w:r>
        <w:rPr>
          <w:color w:val="000000"/>
          <w:sz w:val="22"/>
          <w:szCs w:val="22"/>
          <w:u w:color="000000"/>
        </w:rPr>
        <w:br w:type="textWrapping"/>
      </w:r>
      <w:commentRangeEnd w:id="3"/>
      <w:r>
        <w:commentReference w:id="3"/>
      </w:r>
    </w:p>
    <w:p>
      <w:pPr>
        <w:pStyle w:val="Body"/>
        <w:spacing w:after="120"/>
        <w:ind w:left="1440" w:firstLine="0"/>
        <w:rPr>
          <w:color w:val="000000"/>
          <w:sz w:val="22"/>
          <w:szCs w:val="22"/>
          <w:u w:color="000000"/>
        </w:rPr>
      </w:pPr>
      <w:r>
        <w:rPr>
          <w:rtl w:val="0"/>
        </w:rPr>
        <w:drawing>
          <wp:inline distT="0" distB="0" distL="0" distR="0">
            <wp:extent cx="5000625" cy="49911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png"/>
                    <pic:cNvPicPr/>
                  </pic:nvPicPr>
                  <pic:blipFill rotWithShape="1">
                    <a:blip r:embed="rId8">
                      <a:extLst/>
                    </a:blip>
                    <a:srcRect l="0" t="0" r="0" b="0"/>
                    <a:stretch>
                      <a:fillRect/>
                    </a:stretch>
                  </pic:blipFill>
                  <pic:spPr>
                    <a:xfrm>
                      <a:off x="0" y="0"/>
                      <a:ext cx="5000625" cy="499110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r>
        <w:rPr>
          <w:rtl w:val="0"/>
        </w:rPr>
        <w:drawing>
          <wp:inline distT="0" distB="0" distL="0" distR="0">
            <wp:extent cx="4886325" cy="630555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6.pdf"/>
                    <pic:cNvPicPr/>
                  </pic:nvPicPr>
                  <pic:blipFill rotWithShape="1">
                    <a:blip r:embed="rId9">
                      <a:extLst/>
                    </a:blip>
                    <a:srcRect l="0" t="0" r="0" b="0"/>
                    <a:stretch>
                      <a:fillRect/>
                    </a:stretch>
                  </pic:blipFill>
                  <pic:spPr>
                    <a:xfrm>
                      <a:off x="0" y="0"/>
                      <a:ext cx="4886325" cy="6305550"/>
                    </a:xfrm>
                    <a:prstGeom prst="rect">
                      <a:avLst/>
                    </a:prstGeom>
                    <a:noFill/>
                    <a:ln>
                      <a:noFill/>
                    </a:ln>
                    <a:effectLst/>
                    <a:extLst/>
                  </pic:spPr>
                </pic:pic>
              </a:graphicData>
            </a:graphic>
          </wp:inline>
        </w:drawing>
      </w:r>
    </w:p>
    <w:p>
      <w:pPr>
        <w:pStyle w:val="Body"/>
        <w:spacing w:after="120"/>
        <w:ind w:left="1440" w:firstLine="0"/>
        <w:rPr>
          <w:color w:val="000000"/>
          <w:sz w:val="22"/>
          <w:szCs w:val="22"/>
          <w:u w:color="000000"/>
        </w:rPr>
      </w:pPr>
      <w:r>
        <w:rPr>
          <w:color w:val="000000"/>
          <w:sz w:val="22"/>
          <w:szCs w:val="22"/>
          <w:u w:color="000000"/>
          <w:rtl w:val="0"/>
          <w:lang w:val="en-US"/>
        </w:rPr>
        <w:t>10 values were missing from the dataset and were not included in the analysis. Those remaining were split into stratifications of LDL&lt;100 mg/dL, LDL&gt;160 mg/dL, and those with LDL in between 100 and 160 mg/dL.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mg/dL during all stages of the data collection (from 0 to 2159 days). The other two stratifications yield more similar survival probabilities: those with serum LDL less than 100 mg/dL have higher survival probabilities from approximately day 0 to day 1300, but for the remainder of the study period those in the mid range having serum LDL between 100 and 160 mg/dL have the higher survival probability of the two strata. Overall, survival is high, with survival probabilities never dropping below 0.7 during the study period.</w:t>
      </w:r>
    </w:p>
    <w:p>
      <w:pPr>
        <w:pStyle w:val="Body"/>
        <w:spacing w:after="120"/>
        <w:ind w:left="1440" w:firstLine="0"/>
        <w:rPr>
          <w:color w:val="000000"/>
          <w:sz w:val="22"/>
          <w:szCs w:val="22"/>
          <w:u w:color="000000"/>
        </w:rPr>
      </w:pPr>
    </w:p>
    <w:p>
      <w:pPr>
        <w:pStyle w:val="Body"/>
        <w:spacing w:after="120"/>
        <w:ind w:left="1440" w:firstLine="0"/>
        <w:rPr>
          <w:color w:val="000000"/>
          <w:sz w:val="22"/>
          <w:szCs w:val="22"/>
          <w:u w:color="000000"/>
        </w:rPr>
      </w:pPr>
      <w:r>
        <w:rPr>
          <w:color w:val="000000"/>
          <w:sz w:val="22"/>
          <w:szCs w:val="22"/>
          <w:u w:color="000000"/>
          <w:rtl w:val="0"/>
          <w:lang w:val="en-US"/>
        </w:rPr>
        <w:t>Inferential Statistics:</w:t>
      </w:r>
    </w:p>
    <w:p>
      <w:pPr>
        <w:pStyle w:val="Body"/>
        <w:spacing w:after="120"/>
        <w:ind w:left="1440" w:firstLine="0"/>
        <w:rPr>
          <w:color w:val="000000"/>
          <w:sz w:val="22"/>
          <w:szCs w:val="22"/>
          <w:u w:color="000000"/>
        </w:rPr>
      </w:pPr>
      <w:r>
        <w:rPr>
          <w:color w:val="000000"/>
          <w:sz w:val="22"/>
          <w:szCs w:val="22"/>
          <w:u w:color="000000"/>
          <w:rtl w:val="0"/>
          <w:lang w:val="en-US"/>
        </w:rPr>
        <w:t>The coefficient values from the polynomial Cox Proportional Hazards Regression of 1.00 (exponentiated coefficient for LDL^2) and 0.9261 (exponentiated coefficient for LDL) are difficult to interpret. However, when each term was individually assessed using Wald-based estimates, the p-values are significant to an alpha level of 0.05 (p=0.038 for LDL^2, p=0.00386 for LDL). Therefore, we cannot overlook the significance of the linear term (LDL, with its p=0.00386), and cannot make any conclusions about non-linearity of the relationship between serum LDL and instantaneous risk of death.</w:t>
      </w:r>
    </w:p>
    <w:p>
      <w:pPr>
        <w:pStyle w:val="Body"/>
        <w:spacing w:after="120"/>
        <w:ind w:left="1440" w:firstLine="0"/>
        <w:rPr>
          <w:color w:val="000000"/>
          <w:sz w:val="22"/>
          <w:szCs w:val="22"/>
          <w:u w:color="000000"/>
        </w:rPr>
      </w:pPr>
    </w:p>
    <w:p>
      <w:pPr>
        <w:pStyle w:val="Body"/>
        <w:numPr>
          <w:ilvl w:val="1"/>
          <w:numId w:val="10"/>
        </w:numPr>
        <w:tabs>
          <w:tab w:val="num" w:pos="1407"/>
          <w:tab w:val="left" w:pos="1440"/>
        </w:tabs>
        <w:bidi w:val="0"/>
        <w:spacing w:after="120"/>
        <w:ind w:left="140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For each population defined by serum LDL value, compute the hazard ratio relative to a group having serum LDL of 160 mg/dL. (This will be used in problem 4). If HR is the hazard ratio (use the actual hazard ratio estimate) obtained from your regression model for the LDL term and HR2 is the hazard ratio (use the actual hazard ratio estimate) obtained from your regression model for the squared LDL term, this can be effected by the Stata code</w:t>
      </w:r>
    </w:p>
    <w:p>
      <w:pPr>
        <w:pStyle w:val="Body"/>
        <w:spacing w:after="120"/>
        <w:ind w:left="2160" w:firstLine="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en-US"/>
        </w:rPr>
        <w:t>gen fithrC = HR^((ldl - 160)) * HR2^(ldl^2 - 160^2)</w:t>
      </w:r>
    </w:p>
    <w:p>
      <w:pPr>
        <w:pStyle w:val="Body"/>
        <w:spacing w:after="120"/>
        <w:ind w:left="1440" w:firstLine="0"/>
        <w:rPr>
          <w:i w:val="1"/>
          <w:iCs w:val="1"/>
          <w:color w:val="595959"/>
          <w:sz w:val="22"/>
          <w:szCs w:val="22"/>
          <w:u w:color="595959"/>
        </w:rPr>
      </w:pPr>
      <w:r>
        <w:rPr>
          <w:i w:val="1"/>
          <w:iCs w:val="1"/>
          <w:color w:val="595959"/>
          <w:sz w:val="22"/>
          <w:szCs w:val="22"/>
          <w:u w:color="595959"/>
          <w:rtl w:val="0"/>
          <w:lang w:val="en-US"/>
        </w:rPr>
        <w:t xml:space="preserve">It could also be computed by creating a centered LDL variable, and then using the Stata </w:t>
      </w:r>
      <w:r>
        <w:rPr>
          <w:rFonts w:ascii="Courier New"/>
          <w:i w:val="1"/>
          <w:iCs w:val="1"/>
          <w:color w:val="595959"/>
          <w:sz w:val="22"/>
          <w:szCs w:val="22"/>
          <w:u w:color="595959"/>
          <w:rtl w:val="0"/>
        </w:rPr>
        <w:t>predict</w:t>
      </w:r>
      <w:r>
        <w:rPr>
          <w:i w:val="1"/>
          <w:iCs w:val="1"/>
          <w:color w:val="595959"/>
          <w:sz w:val="22"/>
          <w:szCs w:val="22"/>
          <w:u w:color="595959"/>
          <w:rtl w:val="0"/>
          <w:lang w:val="fr-FR"/>
        </w:rPr>
        <w:t xml:space="preserve"> command</w:t>
      </w:r>
    </w:p>
    <w:p>
      <w:pPr>
        <w:pStyle w:val="Body"/>
        <w:spacing w:after="120"/>
        <w:rPr>
          <w:rFonts w:ascii="Courier New" w:cs="Courier New" w:hAnsi="Courier New" w:eastAsia="Courier New"/>
          <w:i w:val="1"/>
          <w:iCs w:val="1"/>
          <w:color w:val="595959"/>
          <w:sz w:val="22"/>
          <w:szCs w:val="22"/>
          <w:u w:color="595959"/>
        </w:rPr>
      </w:pPr>
      <w:r>
        <w:rPr>
          <w:i w:val="1"/>
          <w:iCs w:val="1"/>
          <w:color w:val="595959"/>
          <w:sz w:val="22"/>
          <w:szCs w:val="22"/>
          <w:u w:color="595959"/>
          <w:rtl w:val="0"/>
        </w:rPr>
        <w:tab/>
        <w:tab/>
        <w:tab/>
      </w:r>
      <w:r>
        <w:rPr>
          <w:rFonts w:ascii="Courier New"/>
          <w:i w:val="1"/>
          <w:iCs w:val="1"/>
          <w:color w:val="595959"/>
          <w:sz w:val="22"/>
          <w:szCs w:val="22"/>
          <w:u w:color="595959"/>
          <w:rtl w:val="0"/>
        </w:rPr>
        <w:t xml:space="preserve">gen cldl = ldl </w:t>
      </w:r>
      <w:r>
        <w:rPr>
          <w:rFonts w:hAnsi="Times New Roman" w:hint="default"/>
          <w:i w:val="1"/>
          <w:iCs w:val="1"/>
          <w:color w:val="595959"/>
          <w:sz w:val="22"/>
          <w:szCs w:val="22"/>
          <w:u w:color="595959"/>
          <w:rtl w:val="0"/>
          <w:lang w:val="en-US"/>
        </w:rPr>
        <w:t xml:space="preserve">– </w:t>
      </w:r>
      <w:r>
        <w:rPr>
          <w:rFonts w:ascii="Courier New"/>
          <w:i w:val="1"/>
          <w:iCs w:val="1"/>
          <w:color w:val="595959"/>
          <w:sz w:val="22"/>
          <w:szCs w:val="22"/>
          <w:u w:color="595959"/>
          <w:rtl w:val="0"/>
        </w:rPr>
        <w:t>160</w:t>
      </w:r>
    </w:p>
    <w:p>
      <w:pPr>
        <w:pStyle w:val="Body"/>
        <w:spacing w:after="120"/>
        <w:rPr>
          <w:rFonts w:ascii="Courier New" w:cs="Courier New" w:hAnsi="Courier New" w:eastAsia="Courier New"/>
          <w:i w:val="1"/>
          <w:iCs w:val="1"/>
          <w:color w:val="595959"/>
          <w:sz w:val="22"/>
          <w:szCs w:val="22"/>
          <w:u w:color="595959"/>
        </w:rPr>
      </w:pPr>
      <w:r>
        <w:rPr>
          <w:rFonts w:ascii="Courier New" w:cs="Courier New" w:hAnsi="Courier New" w:eastAsia="Courier New"/>
          <w:i w:val="1"/>
          <w:iCs w:val="1"/>
          <w:color w:val="595959"/>
          <w:sz w:val="22"/>
          <w:szCs w:val="22"/>
          <w:u w:color="595959"/>
          <w:rtl w:val="0"/>
        </w:rPr>
        <w:tab/>
        <w:tab/>
        <w:tab/>
        <w:t>gen cldlsqr= cldl ^ 2</w:t>
      </w:r>
    </w:p>
    <w:p>
      <w:pPr>
        <w:pStyle w:val="Body"/>
        <w:spacing w:after="120"/>
        <w:ind w:left="1440" w:firstLine="720"/>
        <w:rPr>
          <w:rFonts w:ascii="Courier New" w:cs="Courier New" w:hAnsi="Courier New" w:eastAsia="Courier New"/>
          <w:i w:val="1"/>
          <w:iCs w:val="1"/>
          <w:color w:val="595959"/>
          <w:sz w:val="22"/>
          <w:szCs w:val="22"/>
          <w:u w:color="595959"/>
        </w:rPr>
      </w:pPr>
      <w:r>
        <w:rPr>
          <w:rFonts w:ascii="Courier New"/>
          <w:i w:val="1"/>
          <w:iCs w:val="1"/>
          <w:color w:val="595959"/>
          <w:sz w:val="22"/>
          <w:szCs w:val="22"/>
          <w:u w:color="595959"/>
          <w:rtl w:val="0"/>
          <w:lang w:val="fr-FR"/>
        </w:rPr>
        <w:t>stcox cldl cldlsqr</w:t>
      </w:r>
    </w:p>
    <w:p>
      <w:pPr>
        <w:pStyle w:val="Body"/>
        <w:spacing w:after="120"/>
        <w:ind w:left="1440" w:firstLine="720"/>
        <w:rPr>
          <w:i w:val="1"/>
          <w:iCs w:val="1"/>
          <w:color w:val="595959"/>
          <w:sz w:val="22"/>
          <w:szCs w:val="22"/>
          <w:u w:color="595959"/>
        </w:rPr>
      </w:pPr>
      <w:r>
        <w:rPr>
          <w:rFonts w:ascii="Courier New"/>
          <w:i w:val="1"/>
          <w:iCs w:val="1"/>
          <w:color w:val="595959"/>
          <w:sz w:val="22"/>
          <w:szCs w:val="22"/>
          <w:u w:color="595959"/>
          <w:rtl w:val="0"/>
          <w:lang w:val="en-US"/>
        </w:rPr>
        <w:t xml:space="preserve">predict fithrC </w:t>
      </w:r>
      <w:r>
        <w:rPr>
          <w:i w:val="1"/>
          <w:iCs w:val="1"/>
          <w:color w:val="595959"/>
          <w:sz w:val="22"/>
          <w:szCs w:val="22"/>
          <w:u w:color="595959"/>
          <w:rtl w:val="0"/>
        </w:rPr>
        <w:t xml:space="preserve"> </w:t>
      </w:r>
    </w:p>
    <w:p>
      <w:pPr>
        <w:pStyle w:val="Body"/>
        <w:numPr>
          <w:ilvl w:val="0"/>
          <w:numId w:val="6"/>
        </w:numPr>
        <w:tabs>
          <w:tab w:val="num" w:pos="687"/>
          <w:tab w:val="left" w:pos="720"/>
        </w:tabs>
        <w:bidi w:val="0"/>
        <w:spacing w:after="120"/>
        <w:ind w:left="687" w:right="0" w:hanging="327"/>
        <w:jc w:val="left"/>
        <w:rPr>
          <w:i w:val="1"/>
          <w:iCs w:val="1"/>
          <w:color w:val="595959"/>
          <w:position w:val="0"/>
          <w:sz w:val="22"/>
          <w:szCs w:val="22"/>
          <w:u w:color="595959"/>
          <w:rtl w:val="0"/>
        </w:rPr>
      </w:pPr>
      <w:r>
        <w:rPr>
          <w:rFonts w:ascii="Times New Roman"/>
          <w:i w:val="1"/>
          <w:iCs w:val="1"/>
          <w:color w:val="595959"/>
          <w:sz w:val="22"/>
          <w:szCs w:val="22"/>
          <w:u w:color="595959"/>
          <w:rtl w:val="0"/>
          <w:lang w:val="en-US"/>
        </w:rPr>
        <w:t xml:space="preserve">Display a graph with the fitted hazard ratios from problems 1 </w:t>
      </w:r>
      <w:r>
        <w:rPr>
          <w:rFonts w:hAnsi="Times New Roman" w:hint="default"/>
          <w:i w:val="1"/>
          <w:iCs w:val="1"/>
          <w:color w:val="595959"/>
          <w:sz w:val="22"/>
          <w:szCs w:val="22"/>
          <w:u w:color="595959"/>
          <w:rtl w:val="0"/>
        </w:rPr>
        <w:t xml:space="preserve">– </w:t>
      </w:r>
      <w:r>
        <w:rPr>
          <w:rFonts w:ascii="Times New Roman"/>
          <w:i w:val="1"/>
          <w:iCs w:val="1"/>
          <w:color w:val="595959"/>
          <w:sz w:val="22"/>
          <w:szCs w:val="22"/>
          <w:u w:color="595959"/>
          <w:rtl w:val="0"/>
          <w:lang w:val="en-US"/>
        </w:rPr>
        <w:t>3. Comment on any similarities or differences of the fitted values from the three models.</w:t>
      </w:r>
    </w:p>
    <w:p>
      <w:pPr>
        <w:pStyle w:val="Body"/>
        <w:spacing w:after="120"/>
        <w:ind w:left="720" w:firstLine="0"/>
        <w:rPr>
          <w:i w:val="1"/>
          <w:iCs w:val="1"/>
          <w:color w:val="595959"/>
          <w:sz w:val="22"/>
          <w:szCs w:val="22"/>
          <w:u w:color="595959"/>
        </w:rPr>
      </w:pPr>
      <w:r>
        <w:rPr>
          <w:i w:val="1"/>
          <w:iCs w:val="1"/>
          <w:color w:val="595959"/>
          <w:sz w:val="22"/>
          <w:szCs w:val="22"/>
          <w:u w:color="595959"/>
        </w:rPr>
        <w:br w:type="textWrapping"/>
      </w:r>
      <w:commentRangeStart w:id="4"/>
    </w:p>
    <w:p>
      <w:pPr>
        <w:pStyle w:val="Body"/>
        <w:spacing w:after="120"/>
        <w:ind w:left="720" w:firstLine="0"/>
        <w:rPr>
          <w:color w:val="000000"/>
          <w:sz w:val="22"/>
          <w:szCs w:val="22"/>
          <w:u w:color="000000"/>
        </w:rPr>
      </w:pPr>
      <w:r>
        <w:rPr>
          <w:rtl w:val="0"/>
        </w:rPr>
        <w:drawing>
          <wp:inline distT="0" distB="0" distL="0" distR="0">
            <wp:extent cx="5000625" cy="49911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7.png"/>
                    <pic:cNvPicPr/>
                  </pic:nvPicPr>
                  <pic:blipFill rotWithShape="1">
                    <a:blip r:embed="rId10">
                      <a:extLst/>
                    </a:blip>
                    <a:srcRect l="0" t="0" r="0" b="0"/>
                    <a:stretch>
                      <a:fillRect/>
                    </a:stretch>
                  </pic:blipFill>
                  <pic:spPr>
                    <a:xfrm>
                      <a:off x="0" y="0"/>
                      <a:ext cx="5000625" cy="4991100"/>
                    </a:xfrm>
                    <a:prstGeom prst="rect">
                      <a:avLst/>
                    </a:prstGeom>
                    <a:noFill/>
                    <a:ln>
                      <a:noFill/>
                    </a:ln>
                    <a:effectLst/>
                    <a:extLst/>
                  </pic:spPr>
                </pic:pic>
              </a:graphicData>
            </a:graphic>
          </wp:inline>
        </w:drawing>
      </w:r>
    </w:p>
    <w:p>
      <w:pPr>
        <w:pStyle w:val="Body"/>
        <w:spacing w:after="120"/>
        <w:ind w:left="720" w:firstLine="0"/>
        <w:rPr>
          <w:color w:val="000000"/>
          <w:sz w:val="22"/>
          <w:szCs w:val="22"/>
          <w:u w:color="000000"/>
        </w:rPr>
      </w:pPr>
      <w:r>
        <w:rPr>
          <w:color w:val="000000"/>
          <w:sz w:val="22"/>
          <w:szCs w:val="22"/>
          <w:u w:color="000000"/>
          <w:rtl w:val="0"/>
          <w:lang w:val="en-US"/>
        </w:rPr>
        <w:t xml:space="preserve"> The hazard ratio for problems 1-3 are given by: HR=0.993^(LDL) [1], HR = 0.438^(log(LDL)) [2], and HR = 1.000^(LDL^2)*0.974^(LDL) [3]. The coefficients were estimated using Cox Proportional Hazards regressions relative to a group having serum LDL of 160 mg/dL, treating LDL as either a generic continuous variable, a log-transformed variable, or a quadratic variable. The difference in each regression</w:t>
      </w:r>
      <w:r>
        <w:rPr>
          <w:rFonts w:hAnsi="Times New Roman" w:hint="default"/>
          <w:color w:val="000000"/>
          <w:sz w:val="22"/>
          <w:szCs w:val="22"/>
          <w:u w:color="000000"/>
          <w:rtl w:val="0"/>
          <w:lang w:val="fr-FR"/>
        </w:rPr>
        <w:t>’</w:t>
      </w:r>
      <w:r>
        <w:rPr>
          <w:color w:val="000000"/>
          <w:sz w:val="22"/>
          <w:szCs w:val="22"/>
          <w:u w:color="000000"/>
          <w:rtl w:val="0"/>
          <w:lang w:val="en-US"/>
        </w:rPr>
        <w:t>s estimated hazard ratio is due to the various treatments of the predictor variable LDL and thus the construction of each model.</w:t>
      </w:r>
      <w:r>
        <w:rPr>
          <w:color w:val="000000"/>
          <w:sz w:val="22"/>
          <w:szCs w:val="22"/>
          <w:u w:color="000000"/>
        </w:rPr>
        <w:br w:type="textWrapping"/>
      </w:r>
      <w:commentRangeEnd w:id="4"/>
      <w:r>
        <w:commentReference w:id="4"/>
      </w:r>
    </w:p>
    <w:p>
      <w:pPr>
        <w:pStyle w:val="Plain Text"/>
        <w:jc w:val="center"/>
        <w:rPr>
          <w:rFonts w:ascii="Times New Roman" w:cs="Times New Roman" w:hAnsi="Times New Roman" w:eastAsia="Times New Roman"/>
          <w:i w:val="1"/>
          <w:iCs w:val="1"/>
          <w:color w:val="595959"/>
          <w:sz w:val="22"/>
          <w:szCs w:val="22"/>
          <w:u w:color="595959"/>
        </w:rPr>
      </w:pPr>
      <w:r>
        <w:rPr>
          <w:rFonts w:ascii="Times New Roman"/>
          <w:b w:val="1"/>
          <w:bCs w:val="1"/>
          <w:i w:val="1"/>
          <w:iCs w:val="1"/>
          <w:color w:val="595959"/>
          <w:sz w:val="22"/>
          <w:szCs w:val="22"/>
          <w:u w:color="595959"/>
          <w:rtl w:val="0"/>
          <w:lang w:val="en-US"/>
        </w:rPr>
        <w:t>Discussion Sections: January 27</w:t>
      </w:r>
      <w:r>
        <w:rPr>
          <w:rFonts w:hAnsi="Courier New" w:hint="default"/>
          <w:b w:val="1"/>
          <w:bCs w:val="1"/>
          <w:i w:val="1"/>
          <w:iCs w:val="1"/>
          <w:color w:val="595959"/>
          <w:sz w:val="22"/>
          <w:szCs w:val="22"/>
          <w:u w:color="595959"/>
          <w:rtl w:val="0"/>
          <w:lang w:val="en-US"/>
        </w:rPr>
        <w:t xml:space="preserve"> – </w:t>
      </w:r>
      <w:r>
        <w:rPr>
          <w:rFonts w:ascii="Times New Roman"/>
          <w:b w:val="1"/>
          <w:bCs w:val="1"/>
          <w:i w:val="1"/>
          <w:iCs w:val="1"/>
          <w:color w:val="595959"/>
          <w:sz w:val="22"/>
          <w:szCs w:val="22"/>
          <w:u w:color="595959"/>
          <w:rtl w:val="0"/>
          <w:lang w:val="en-US"/>
        </w:rPr>
        <w:t>31, 2014</w:t>
      </w:r>
    </w:p>
    <w:p>
      <w:pPr>
        <w:pStyle w:val="Plain Text"/>
        <w:jc w:val="center"/>
        <w:rPr>
          <w:rFonts w:ascii="Times New Roman" w:cs="Times New Roman" w:hAnsi="Times New Roman" w:eastAsia="Times New Roman"/>
          <w:i w:val="1"/>
          <w:iCs w:val="1"/>
          <w:color w:val="595959"/>
          <w:sz w:val="22"/>
          <w:szCs w:val="22"/>
          <w:u w:color="595959"/>
        </w:rPr>
      </w:pPr>
    </w:p>
    <w:p>
      <w:pPr>
        <w:pStyle w:val="Plain Text"/>
      </w:pPr>
      <w:r>
        <w:rPr>
          <w:rFonts w:ascii="Times New Roman"/>
          <w:i w:val="1"/>
          <w:iCs w:val="1"/>
          <w:color w:val="595959"/>
          <w:sz w:val="22"/>
          <w:szCs w:val="22"/>
          <w:u w:color="595959"/>
          <w:rtl w:val="0"/>
          <w:lang w:val="en-US"/>
        </w:rPr>
        <w:t>We continue to discuss the dataset regarding FEV and smoking in children. Come do discussion section prepared to describe the approach to the scientific question posed in the documentation file fev.doc.</w:t>
      </w:r>
    </w:p>
    <w:sectPr>
      <w:headerReference w:type="default" r:id="rId11"/>
      <w:footerReference w:type="default" r:id="rId12"/>
      <w:pgSz w:w="12240" w:h="15840" w:orient="portrait"/>
      <w:pgMar w:top="1296" w:right="1296" w:bottom="1296" w:left="1296"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2" w:author="Xiaojie Qiu" w:date="2014-02-06T22:41:29Z">
    <w:p>
      <w:pPr>
        <w:pStyle w:val="Default"/>
      </w:pPr>
    </w:p>
    <w:p>
      <w:pPr>
        <w:pStyle w:val="Default"/>
      </w:pPr>
      <w:r>
        <w:rPr>
          <w:rFonts w:ascii="Helvetica" w:cs="Arial Unicode MS" w:hAnsi="Arial Unicode MS" w:eastAsia="Arial Unicode MS"/>
          <w:b w:val="0"/>
          <w:bCs w:val="0"/>
          <w:i w:val="0"/>
          <w:iCs w:val="0"/>
        </w:rPr>
        <w:t>8</w:t>
      </w:r>
    </w:p>
  </w:comment>
  <w:comment w:id="4" w:author="Xiaojie Qiu" w:date="2014-02-06T22:42:30Z">
    <w:p>
      <w:pPr>
        <w:pStyle w:val="Default"/>
      </w:pPr>
    </w:p>
    <w:p>
      <w:pPr>
        <w:pStyle w:val="Default"/>
      </w:pPr>
      <w:r>
        <w:rPr>
          <w:rFonts w:ascii="Helvetica" w:cs="Arial Unicode MS" w:hAnsi="Arial Unicode MS" w:eastAsia="Arial Unicode MS"/>
          <w:b w:val="0"/>
          <w:bCs w:val="0"/>
          <w:i w:val="0"/>
          <w:iCs w:val="0"/>
        </w:rPr>
        <w:t>10</w:t>
      </w:r>
    </w:p>
  </w:comment>
  <w:comment w:id="1" w:author="Xiaojie Qiu" w:date="2014-02-06T22:40:59Z">
    <w:p>
      <w:pPr>
        <w:pStyle w:val="Default"/>
      </w:pPr>
    </w:p>
    <w:p>
      <w:pPr>
        <w:pStyle w:val="Default"/>
      </w:pPr>
      <w:r>
        <w:rPr>
          <w:rFonts w:ascii="Helvetica" w:cs="Arial Unicode MS" w:hAnsi="Arial Unicode MS" w:eastAsia="Arial Unicode MS"/>
          <w:b w:val="0"/>
          <w:bCs w:val="0"/>
          <w:i w:val="0"/>
          <w:iCs w:val="0"/>
        </w:rPr>
        <w:t>8</w:t>
      </w:r>
    </w:p>
  </w:comment>
  <w:comment w:id="0" w:author="Xiaojie Qiu" w:date="2014-02-06T22:42:39Z">
    <w:p>
      <w:pPr>
        <w:pStyle w:val="Default"/>
      </w:pPr>
    </w:p>
    <w:p>
      <w:pPr>
        <w:pStyle w:val="Default"/>
      </w:pPr>
      <w:r>
        <w:rPr>
          <w:rFonts w:ascii="Helvetica" w:cs="Arial Unicode MS" w:hAnsi="Arial Unicode MS" w:eastAsia="Arial Unicode MS"/>
          <w:b w:val="0"/>
          <w:bCs w:val="0"/>
          <w:i w:val="0"/>
          <w:iCs w:val="0"/>
        </w:rPr>
        <w:t>34/ 40</w:t>
      </w:r>
    </w:p>
  </w:comment>
  <w:comment w:id="3" w:author="Xiaojie Qiu" w:date="2014-02-06T22:41:45Z">
    <w:p>
      <w:pPr>
        <w:pStyle w:val="Default"/>
      </w:pPr>
    </w:p>
    <w:p>
      <w:pPr>
        <w:pStyle w:val="Default"/>
      </w:pPr>
      <w:r>
        <w:rPr>
          <w:rFonts w:ascii="Helvetica" w:cs="Arial Unicode MS" w:hAnsi="Arial Unicode MS" w:eastAsia="Arial Unicode MS"/>
          <w:b w:val="0"/>
          <w:bCs w:val="0"/>
          <w:i w:val="0"/>
          <w:iCs w:val="0"/>
        </w:rPr>
        <w:t>8</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New">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cs="Arial Unicode MS" w:hAnsi="Arial Unicode MS" w:eastAsia="Arial Unicode MS"/>
        <w:rtl w:val="0"/>
        <w:lang w:val="en-US"/>
      </w:rPr>
      <w:t>Biost 518 / 515, Winter 2014</w:t>
      <w:tab/>
      <w:t>Homework #4</w:t>
      <w:tab/>
      <w:t xml:space="preserve">January 27, 2014, Page </w:t>
    </w:r>
    <w:r>
      <w:rPr>
        <w:rtl w:val="0"/>
      </w:rPr>
      <w:fldChar w:fldCharType="begin" w:fldLock="0"/>
    </w:r>
    <w:r>
      <w:rPr>
        <w:rtl w:val="0"/>
      </w:rPr>
      <w:t xml:space="preserve"> PAGE </w:t>
    </w:r>
    <w:r>
      <w:rPr>
        <w:rtl w:val="0"/>
      </w:rPr>
      <w:fldChar w:fldCharType="separate" w:fldLock="0"/>
    </w:r>
    <w:r>
      <w:rPr>
        <w:rtl w:val="0"/>
      </w:rPr>
      <w:t>11</w:t>
    </w:r>
    <w:r>
      <w:rPr>
        <w:rtl w:val="0"/>
      </w:rPr>
      <w:fldChar w:fldCharType="end" w:fldLock="0"/>
    </w:r>
    <w:r>
      <w:rPr>
        <w:rFonts w:ascii="Times New Roman" w:cs="Arial Unicode MS" w:hAnsi="Arial Unicode MS" w:eastAsia="Arial Unicode MS"/>
        <w:rtl w:val="0"/>
        <w:lang w:val="en-US"/>
      </w:rPr>
      <w:t xml:space="preserve"> of </w:t>
    </w:r>
    <w:r>
      <w:rPr>
        <w:rtl w:val="0"/>
      </w:rPr>
      <w:fldChar w:fldCharType="begin" w:fldLock="0"/>
    </w:r>
    <w:r>
      <w:rPr>
        <w:rtl w:val="0"/>
      </w:rPr>
      <w:t xml:space="preserve"> NUMPAGES </w:t>
    </w:r>
    <w:r>
      <w:rPr>
        <w:rtl w:val="0"/>
      </w:rPr>
      <w:fldChar w:fldCharType="separate" w:fldLock="0"/>
    </w:r>
    <w:r>
      <w:rPr>
        <w:rtl w:val="0"/>
      </w:rPr>
      <w:t>11</w:t>
    </w:r>
    <w:r>
      <w:rPr>
        <w:rtl w:val="0"/>
      </w:rPr>
      <w:fldChar w:fldCharType="end" w:fldLock="0"/>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b w:val="1"/>
        <w:bCs w:val="1"/>
        <w:i w:val="1"/>
        <w:iCs w:val="1"/>
        <w:color w:val="595959"/>
        <w:position w:val="0"/>
        <w:sz w:val="22"/>
        <w:szCs w:val="22"/>
        <w:u w:val="single" w:color="595959"/>
      </w:rPr>
    </w:lvl>
    <w:lvl w:ilvl="1">
      <w:start w:val="1"/>
      <w:numFmt w:val="bullet"/>
      <w:suff w:val="tab"/>
      <w:lvlText w:val="o"/>
      <w:lvlJc w:val="left"/>
      <w:pPr>
        <w:tabs>
          <w:tab w:val="num" w:pos="2130"/>
          <w:tab w:val="clear" w:pos="0"/>
        </w:tabs>
        <w:ind w:left="2130" w:hanging="330"/>
      </w:pPr>
      <w:rPr>
        <w:b w:val="1"/>
        <w:bCs w:val="1"/>
        <w:i w:val="1"/>
        <w:iCs w:val="1"/>
        <w:color w:val="595959"/>
        <w:position w:val="0"/>
        <w:sz w:val="22"/>
        <w:szCs w:val="22"/>
        <w:u w:val="single" w:color="595959"/>
      </w:rPr>
    </w:lvl>
    <w:lvl w:ilvl="2">
      <w:start w:val="1"/>
      <w:numFmt w:val="bullet"/>
      <w:suff w:val="tab"/>
      <w:lvlText w:val="▪"/>
      <w:lvlJc w:val="left"/>
      <w:pPr>
        <w:tabs>
          <w:tab w:val="num" w:pos="2850"/>
          <w:tab w:val="clear" w:pos="0"/>
        </w:tabs>
        <w:ind w:left="2850" w:hanging="330"/>
      </w:pPr>
      <w:rPr>
        <w:b w:val="1"/>
        <w:bCs w:val="1"/>
        <w:i w:val="1"/>
        <w:iCs w:val="1"/>
        <w:color w:val="595959"/>
        <w:position w:val="0"/>
        <w:sz w:val="22"/>
        <w:szCs w:val="22"/>
        <w:u w:val="single" w:color="595959"/>
      </w:rPr>
    </w:lvl>
    <w:lvl w:ilvl="3">
      <w:start w:val="1"/>
      <w:numFmt w:val="bullet"/>
      <w:suff w:val="tab"/>
      <w:lvlText w:val="•"/>
      <w:lvlJc w:val="left"/>
      <w:pPr>
        <w:tabs>
          <w:tab w:val="num" w:pos="3570"/>
          <w:tab w:val="clear" w:pos="0"/>
        </w:tabs>
        <w:ind w:left="3570" w:hanging="330"/>
      </w:pPr>
      <w:rPr>
        <w:b w:val="1"/>
        <w:bCs w:val="1"/>
        <w:i w:val="1"/>
        <w:iCs w:val="1"/>
        <w:color w:val="595959"/>
        <w:position w:val="0"/>
        <w:sz w:val="22"/>
        <w:szCs w:val="22"/>
        <w:u w:val="single" w:color="595959"/>
      </w:rPr>
    </w:lvl>
    <w:lvl w:ilvl="4">
      <w:start w:val="1"/>
      <w:numFmt w:val="bullet"/>
      <w:suff w:val="tab"/>
      <w:lvlText w:val="o"/>
      <w:lvlJc w:val="left"/>
      <w:pPr>
        <w:tabs>
          <w:tab w:val="num" w:pos="4290"/>
          <w:tab w:val="clear" w:pos="0"/>
        </w:tabs>
        <w:ind w:left="4290" w:hanging="330"/>
      </w:pPr>
      <w:rPr>
        <w:b w:val="1"/>
        <w:bCs w:val="1"/>
        <w:i w:val="1"/>
        <w:iCs w:val="1"/>
        <w:color w:val="595959"/>
        <w:position w:val="0"/>
        <w:sz w:val="22"/>
        <w:szCs w:val="22"/>
        <w:u w:val="single" w:color="595959"/>
      </w:rPr>
    </w:lvl>
    <w:lvl w:ilvl="5">
      <w:start w:val="1"/>
      <w:numFmt w:val="bullet"/>
      <w:suff w:val="tab"/>
      <w:lvlText w:val="▪"/>
      <w:lvlJc w:val="left"/>
      <w:pPr>
        <w:tabs>
          <w:tab w:val="num" w:pos="5010"/>
          <w:tab w:val="clear" w:pos="0"/>
        </w:tabs>
        <w:ind w:left="5010" w:hanging="330"/>
      </w:pPr>
      <w:rPr>
        <w:b w:val="1"/>
        <w:bCs w:val="1"/>
        <w:i w:val="1"/>
        <w:iCs w:val="1"/>
        <w:color w:val="595959"/>
        <w:position w:val="0"/>
        <w:sz w:val="22"/>
        <w:szCs w:val="22"/>
        <w:u w:val="single" w:color="595959"/>
      </w:rPr>
    </w:lvl>
    <w:lvl w:ilvl="6">
      <w:start w:val="1"/>
      <w:numFmt w:val="bullet"/>
      <w:suff w:val="tab"/>
      <w:lvlText w:val="•"/>
      <w:lvlJc w:val="left"/>
      <w:pPr>
        <w:tabs>
          <w:tab w:val="num" w:pos="5730"/>
          <w:tab w:val="clear" w:pos="0"/>
        </w:tabs>
        <w:ind w:left="5730" w:hanging="330"/>
      </w:pPr>
      <w:rPr>
        <w:b w:val="1"/>
        <w:bCs w:val="1"/>
        <w:i w:val="1"/>
        <w:iCs w:val="1"/>
        <w:color w:val="595959"/>
        <w:position w:val="0"/>
        <w:sz w:val="22"/>
        <w:szCs w:val="22"/>
        <w:u w:val="single" w:color="595959"/>
      </w:rPr>
    </w:lvl>
    <w:lvl w:ilvl="7">
      <w:start w:val="1"/>
      <w:numFmt w:val="bullet"/>
      <w:suff w:val="tab"/>
      <w:lvlText w:val="o"/>
      <w:lvlJc w:val="left"/>
      <w:pPr>
        <w:tabs>
          <w:tab w:val="num" w:pos="6450"/>
          <w:tab w:val="clear" w:pos="0"/>
        </w:tabs>
        <w:ind w:left="6450" w:hanging="330"/>
      </w:pPr>
      <w:rPr>
        <w:b w:val="1"/>
        <w:bCs w:val="1"/>
        <w:i w:val="1"/>
        <w:iCs w:val="1"/>
        <w:color w:val="595959"/>
        <w:position w:val="0"/>
        <w:sz w:val="22"/>
        <w:szCs w:val="22"/>
        <w:u w:val="single" w:color="595959"/>
      </w:rPr>
    </w:lvl>
    <w:lvl w:ilvl="8">
      <w:start w:val="1"/>
      <w:numFmt w:val="bullet"/>
      <w:suff w:val="tab"/>
      <w:lvlText w:val="▪"/>
      <w:lvlJc w:val="left"/>
      <w:pPr>
        <w:tabs>
          <w:tab w:val="num" w:pos="7170"/>
          <w:tab w:val="clear" w:pos="0"/>
        </w:tabs>
        <w:ind w:left="7170" w:hanging="330"/>
      </w:pPr>
      <w:rPr>
        <w:b w:val="1"/>
        <w:bCs w:val="1"/>
        <w:i w:val="1"/>
        <w:iCs w:val="1"/>
        <w:color w:val="595959"/>
        <w:position w:val="0"/>
        <w:sz w:val="22"/>
        <w:szCs w:val="22"/>
        <w:u w:val="single" w:color="595959"/>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tabs>
          <w:tab w:val="num" w:pos="1440"/>
          <w:tab w:val="clear" w:pos="0"/>
        </w:tabs>
        <w:ind w:left="1440" w:hanging="360"/>
      </w:pPr>
      <w:rPr>
        <w:b w:val="1"/>
        <w:bCs w:val="1"/>
        <w:i w:val="1"/>
        <w:iCs w:val="1"/>
        <w:color w:val="595959"/>
        <w:position w:val="0"/>
        <w:sz w:val="20"/>
        <w:szCs w:val="20"/>
        <w:u w:val="single" w:color="595959"/>
      </w:rPr>
    </w:lvl>
    <w:lvl w:ilvl="1">
      <w:start w:val="1"/>
      <w:numFmt w:val="bullet"/>
      <w:suff w:val="tab"/>
      <w:lvlText w:val="o"/>
      <w:lvlJc w:val="left"/>
      <w:pPr>
        <w:tabs>
          <w:tab w:val="num" w:pos="2130"/>
          <w:tab w:val="clear" w:pos="0"/>
        </w:tabs>
        <w:ind w:left="2130" w:hanging="330"/>
      </w:pPr>
      <w:rPr>
        <w:b w:val="1"/>
        <w:bCs w:val="1"/>
        <w:i w:val="1"/>
        <w:iCs w:val="1"/>
        <w:color w:val="595959"/>
        <w:position w:val="0"/>
        <w:sz w:val="22"/>
        <w:szCs w:val="22"/>
        <w:u w:val="single" w:color="595959"/>
      </w:rPr>
    </w:lvl>
    <w:lvl w:ilvl="2">
      <w:start w:val="1"/>
      <w:numFmt w:val="bullet"/>
      <w:suff w:val="tab"/>
      <w:lvlText w:val="▪"/>
      <w:lvlJc w:val="left"/>
      <w:pPr>
        <w:tabs>
          <w:tab w:val="num" w:pos="2850"/>
          <w:tab w:val="clear" w:pos="0"/>
        </w:tabs>
        <w:ind w:left="2850" w:hanging="330"/>
      </w:pPr>
      <w:rPr>
        <w:b w:val="1"/>
        <w:bCs w:val="1"/>
        <w:i w:val="1"/>
        <w:iCs w:val="1"/>
        <w:color w:val="595959"/>
        <w:position w:val="0"/>
        <w:sz w:val="22"/>
        <w:szCs w:val="22"/>
        <w:u w:val="single" w:color="595959"/>
      </w:rPr>
    </w:lvl>
    <w:lvl w:ilvl="3">
      <w:start w:val="1"/>
      <w:numFmt w:val="bullet"/>
      <w:suff w:val="tab"/>
      <w:lvlText w:val="•"/>
      <w:lvlJc w:val="left"/>
      <w:pPr>
        <w:tabs>
          <w:tab w:val="num" w:pos="3570"/>
          <w:tab w:val="clear" w:pos="0"/>
        </w:tabs>
        <w:ind w:left="3570" w:hanging="330"/>
      </w:pPr>
      <w:rPr>
        <w:b w:val="1"/>
        <w:bCs w:val="1"/>
        <w:i w:val="1"/>
        <w:iCs w:val="1"/>
        <w:color w:val="595959"/>
        <w:position w:val="0"/>
        <w:sz w:val="22"/>
        <w:szCs w:val="22"/>
        <w:u w:val="single" w:color="595959"/>
      </w:rPr>
    </w:lvl>
    <w:lvl w:ilvl="4">
      <w:start w:val="1"/>
      <w:numFmt w:val="bullet"/>
      <w:suff w:val="tab"/>
      <w:lvlText w:val="o"/>
      <w:lvlJc w:val="left"/>
      <w:pPr>
        <w:tabs>
          <w:tab w:val="num" w:pos="4290"/>
          <w:tab w:val="clear" w:pos="0"/>
        </w:tabs>
        <w:ind w:left="4290" w:hanging="330"/>
      </w:pPr>
      <w:rPr>
        <w:b w:val="1"/>
        <w:bCs w:val="1"/>
        <w:i w:val="1"/>
        <w:iCs w:val="1"/>
        <w:color w:val="595959"/>
        <w:position w:val="0"/>
        <w:sz w:val="22"/>
        <w:szCs w:val="22"/>
        <w:u w:val="single" w:color="595959"/>
      </w:rPr>
    </w:lvl>
    <w:lvl w:ilvl="5">
      <w:start w:val="1"/>
      <w:numFmt w:val="bullet"/>
      <w:suff w:val="tab"/>
      <w:lvlText w:val="▪"/>
      <w:lvlJc w:val="left"/>
      <w:pPr>
        <w:tabs>
          <w:tab w:val="num" w:pos="5010"/>
          <w:tab w:val="clear" w:pos="0"/>
        </w:tabs>
        <w:ind w:left="5010" w:hanging="330"/>
      </w:pPr>
      <w:rPr>
        <w:b w:val="1"/>
        <w:bCs w:val="1"/>
        <w:i w:val="1"/>
        <w:iCs w:val="1"/>
        <w:color w:val="595959"/>
        <w:position w:val="0"/>
        <w:sz w:val="22"/>
        <w:szCs w:val="22"/>
        <w:u w:val="single" w:color="595959"/>
      </w:rPr>
    </w:lvl>
    <w:lvl w:ilvl="6">
      <w:start w:val="1"/>
      <w:numFmt w:val="bullet"/>
      <w:suff w:val="tab"/>
      <w:lvlText w:val="•"/>
      <w:lvlJc w:val="left"/>
      <w:pPr>
        <w:tabs>
          <w:tab w:val="num" w:pos="5730"/>
          <w:tab w:val="clear" w:pos="0"/>
        </w:tabs>
        <w:ind w:left="5730" w:hanging="330"/>
      </w:pPr>
      <w:rPr>
        <w:b w:val="1"/>
        <w:bCs w:val="1"/>
        <w:i w:val="1"/>
        <w:iCs w:val="1"/>
        <w:color w:val="595959"/>
        <w:position w:val="0"/>
        <w:sz w:val="22"/>
        <w:szCs w:val="22"/>
        <w:u w:val="single" w:color="595959"/>
      </w:rPr>
    </w:lvl>
    <w:lvl w:ilvl="7">
      <w:start w:val="1"/>
      <w:numFmt w:val="bullet"/>
      <w:suff w:val="tab"/>
      <w:lvlText w:val="o"/>
      <w:lvlJc w:val="left"/>
      <w:pPr>
        <w:tabs>
          <w:tab w:val="num" w:pos="6450"/>
          <w:tab w:val="clear" w:pos="0"/>
        </w:tabs>
        <w:ind w:left="6450" w:hanging="330"/>
      </w:pPr>
      <w:rPr>
        <w:b w:val="1"/>
        <w:bCs w:val="1"/>
        <w:i w:val="1"/>
        <w:iCs w:val="1"/>
        <w:color w:val="595959"/>
        <w:position w:val="0"/>
        <w:sz w:val="22"/>
        <w:szCs w:val="22"/>
        <w:u w:val="single" w:color="595959"/>
      </w:rPr>
    </w:lvl>
    <w:lvl w:ilvl="8">
      <w:start w:val="1"/>
      <w:numFmt w:val="bullet"/>
      <w:suff w:val="tab"/>
      <w:lvlText w:val="▪"/>
      <w:lvlJc w:val="left"/>
      <w:pPr>
        <w:tabs>
          <w:tab w:val="num" w:pos="7170"/>
          <w:tab w:val="clear" w:pos="0"/>
        </w:tabs>
        <w:ind w:left="7170" w:hanging="330"/>
      </w:pPr>
      <w:rPr>
        <w:b w:val="1"/>
        <w:bCs w:val="1"/>
        <w:i w:val="1"/>
        <w:iCs w:val="1"/>
        <w:color w:val="595959"/>
        <w:position w:val="0"/>
        <w:sz w:val="22"/>
        <w:szCs w:val="22"/>
        <w:u w:val="single" w:color="595959"/>
      </w:rPr>
    </w:lvl>
  </w:abstractNum>
  <w:abstractNum w:abstractNumId="3">
    <w:multiLevelType w:val="multilevel"/>
    <w:lvl w:ilvl="0">
      <w:start w:val="1"/>
      <w:numFmt w:val="decimal"/>
      <w:suff w:val="tab"/>
      <w:lvlText w:val="%1."/>
      <w:lvlJc w:val="left"/>
      <w:pPr>
        <w:tabs>
          <w:tab w:val="num" w:pos="720"/>
          <w:tab w:val="clear" w:pos="0"/>
        </w:tabs>
        <w:ind w:left="720" w:hanging="360"/>
      </w:pPr>
      <w:rPr>
        <w:i w:val="1"/>
        <w:iCs w:val="1"/>
        <w:color w:val="595959"/>
        <w:position w:val="0"/>
        <w:sz w:val="22"/>
        <w:szCs w:val="22"/>
        <w:u w:color="595959"/>
      </w:rPr>
    </w:lvl>
    <w:lvl w:ilvl="1">
      <w:start w:val="1"/>
      <w:numFmt w:val="lowerLetter"/>
      <w:suff w:val="tab"/>
      <w:lvlText w:val="%2."/>
      <w:lvlJc w:val="left"/>
      <w:pPr>
        <w:tabs>
          <w:tab w:val="num" w:pos="1410"/>
          <w:tab w:val="clear" w:pos="0"/>
        </w:tabs>
        <w:ind w:left="1410" w:hanging="33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720"/>
          <w:tab w:val="clear" w:pos="0"/>
        </w:tabs>
        <w:ind w:left="720" w:hanging="360"/>
      </w:pPr>
      <w:rPr>
        <w:i w:val="1"/>
        <w:iCs w:val="1"/>
        <w:color w:val="595959"/>
        <w:position w:val="0"/>
        <w:sz w:val="22"/>
        <w:szCs w:val="22"/>
        <w:u w:color="595959"/>
      </w:rPr>
    </w:lvl>
    <w:lvl w:ilvl="1">
      <w:start w:val="1"/>
      <w:numFmt w:val="lowerLetter"/>
      <w:suff w:val="tab"/>
      <w:lvlText w:val="%2."/>
      <w:lvlJc w:val="left"/>
      <w:pPr>
        <w:tabs>
          <w:tab w:val="num" w:pos="1410"/>
          <w:tab w:val="clear" w:pos="0"/>
        </w:tabs>
        <w:ind w:left="1410" w:hanging="33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abstractNum w:abstractNumId="6">
    <w:multiLevelType w:val="multilevel"/>
    <w:lvl w:ilvl="0">
      <w:start w:val="1"/>
      <w:numFmt w:val="decimal"/>
      <w:suff w:val="tab"/>
      <w:lvlText w:val="%1."/>
      <w:lvlJc w:val="left"/>
      <w:pPr>
        <w:tabs>
          <w:tab w:val="num" w:pos="690"/>
          <w:tab w:val="clear" w:pos="0"/>
        </w:tabs>
        <w:ind w:left="690" w:hanging="330"/>
      </w:pPr>
      <w:rPr>
        <w:i w:val="1"/>
        <w:iCs w:val="1"/>
        <w:color w:val="595959"/>
        <w:position w:val="0"/>
        <w:sz w:val="22"/>
        <w:szCs w:val="22"/>
        <w:u w:color="595959"/>
      </w:rPr>
    </w:lvl>
    <w:lvl w:ilvl="1">
      <w:start w:val="1"/>
      <w:numFmt w:val="lowerLetter"/>
      <w:suff w:val="tab"/>
      <w:lvlText w:val="%2."/>
      <w:lvlJc w:val="left"/>
      <w:pPr>
        <w:tabs>
          <w:tab w:val="num" w:pos="1440"/>
          <w:tab w:val="clear" w:pos="0"/>
        </w:tabs>
        <w:ind w:left="1440" w:hanging="36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abstractNum w:abstractNumId="7">
    <w:multiLevelType w:val="multilevel"/>
    <w:styleLink w:val="List 2"/>
    <w:lvl w:ilvl="0">
      <w:start w:val="1"/>
      <w:numFmt w:val="decimal"/>
      <w:suff w:val="tab"/>
      <w:lvlText w:val="%1."/>
      <w:lvlJc w:val="left"/>
      <w:pPr>
        <w:tabs>
          <w:tab w:val="num" w:pos="690"/>
          <w:tab w:val="clear" w:pos="0"/>
        </w:tabs>
        <w:ind w:left="690" w:hanging="330"/>
      </w:pPr>
      <w:rPr>
        <w:i w:val="1"/>
        <w:iCs w:val="1"/>
        <w:color w:val="595959"/>
        <w:position w:val="0"/>
        <w:sz w:val="22"/>
        <w:szCs w:val="22"/>
        <w:u w:color="595959"/>
      </w:rPr>
    </w:lvl>
    <w:lvl w:ilvl="1">
      <w:start w:val="1"/>
      <w:numFmt w:val="lowerLetter"/>
      <w:suff w:val="tab"/>
      <w:lvlText w:val="%2."/>
      <w:lvlJc w:val="left"/>
      <w:pPr>
        <w:tabs>
          <w:tab w:val="num" w:pos="1440"/>
          <w:tab w:val="clear" w:pos="0"/>
        </w:tabs>
        <w:ind w:left="1440" w:hanging="36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abstractNum w:abstractNumId="8">
    <w:multiLevelType w:val="multilevel"/>
    <w:styleLink w:val="List 2"/>
    <w:lvl w:ilvl="0">
      <w:start w:val="1"/>
      <w:numFmt w:val="decimal"/>
      <w:suff w:val="tab"/>
      <w:lvlText w:val="%1."/>
      <w:lvlJc w:val="left"/>
      <w:pPr>
        <w:tabs>
          <w:tab w:val="num" w:pos="690"/>
          <w:tab w:val="clear" w:pos="0"/>
        </w:tabs>
        <w:ind w:left="690" w:hanging="330"/>
      </w:pPr>
      <w:rPr>
        <w:i w:val="1"/>
        <w:iCs w:val="1"/>
        <w:color w:val="595959"/>
        <w:position w:val="0"/>
        <w:sz w:val="22"/>
        <w:szCs w:val="22"/>
        <w:u w:color="595959"/>
      </w:rPr>
    </w:lvl>
    <w:lvl w:ilvl="1">
      <w:start w:val="2"/>
      <w:numFmt w:val="lowerLetter"/>
      <w:suff w:val="tab"/>
      <w:lvlText w:val="%2."/>
      <w:lvlJc w:val="left"/>
      <w:pPr>
        <w:tabs>
          <w:tab w:val="num" w:pos="1440"/>
          <w:tab w:val="clear" w:pos="0"/>
        </w:tabs>
        <w:ind w:left="1440" w:hanging="36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abstractNum w:abstractNumId="9">
    <w:multiLevelType w:val="multilevel"/>
    <w:styleLink w:val="List 2"/>
    <w:lvl w:ilvl="0">
      <w:start w:val="1"/>
      <w:numFmt w:val="decimal"/>
      <w:suff w:val="tab"/>
      <w:lvlText w:val="%1."/>
      <w:lvlJc w:val="left"/>
      <w:pPr>
        <w:tabs>
          <w:tab w:val="num" w:pos="690"/>
          <w:tab w:val="clear" w:pos="0"/>
        </w:tabs>
        <w:ind w:left="690" w:hanging="330"/>
      </w:pPr>
      <w:rPr>
        <w:i w:val="1"/>
        <w:iCs w:val="1"/>
        <w:color w:val="595959"/>
        <w:position w:val="0"/>
        <w:sz w:val="22"/>
        <w:szCs w:val="22"/>
        <w:u w:color="595959"/>
      </w:rPr>
    </w:lvl>
    <w:lvl w:ilvl="1">
      <w:start w:val="2"/>
      <w:numFmt w:val="lowerLetter"/>
      <w:suff w:val="tab"/>
      <w:lvlText w:val="%2."/>
      <w:lvlJc w:val="left"/>
      <w:pPr>
        <w:tabs>
          <w:tab w:val="num" w:pos="1440"/>
          <w:tab w:val="clear" w:pos="0"/>
        </w:tabs>
        <w:ind w:left="1440" w:hanging="360"/>
      </w:pPr>
      <w:rPr>
        <w:i w:val="1"/>
        <w:iCs w:val="1"/>
        <w:color w:val="595959"/>
        <w:position w:val="0"/>
        <w:sz w:val="22"/>
        <w:szCs w:val="22"/>
        <w:u w:color="595959"/>
      </w:rPr>
    </w:lvl>
    <w:lvl w:ilvl="2">
      <w:start w:val="1"/>
      <w:numFmt w:val="lowerRoman"/>
      <w:suff w:val="tab"/>
      <w:lvlText w:val="%3."/>
      <w:lvlJc w:val="left"/>
      <w:pPr>
        <w:tabs>
          <w:tab w:val="num" w:pos="2135"/>
          <w:tab w:val="clear" w:pos="0"/>
        </w:tabs>
        <w:ind w:left="2135" w:hanging="271"/>
      </w:pPr>
      <w:rPr>
        <w:i w:val="1"/>
        <w:iCs w:val="1"/>
        <w:color w:val="595959"/>
        <w:position w:val="0"/>
        <w:sz w:val="22"/>
        <w:szCs w:val="22"/>
        <w:u w:color="595959"/>
      </w:rPr>
    </w:lvl>
    <w:lvl w:ilvl="3">
      <w:start w:val="1"/>
      <w:numFmt w:val="decimal"/>
      <w:suff w:val="tab"/>
      <w:lvlText w:val="%4."/>
      <w:lvlJc w:val="left"/>
      <w:pPr>
        <w:tabs>
          <w:tab w:val="num" w:pos="2850"/>
          <w:tab w:val="clear" w:pos="0"/>
        </w:tabs>
        <w:ind w:left="2850" w:hanging="330"/>
      </w:pPr>
      <w:rPr>
        <w:i w:val="1"/>
        <w:iCs w:val="1"/>
        <w:color w:val="595959"/>
        <w:position w:val="0"/>
        <w:sz w:val="22"/>
        <w:szCs w:val="22"/>
        <w:u w:color="595959"/>
      </w:rPr>
    </w:lvl>
    <w:lvl w:ilvl="4">
      <w:start w:val="1"/>
      <w:numFmt w:val="lowerLetter"/>
      <w:suff w:val="tab"/>
      <w:lvlText w:val="%5."/>
      <w:lvlJc w:val="left"/>
      <w:pPr>
        <w:tabs>
          <w:tab w:val="num" w:pos="3570"/>
          <w:tab w:val="clear" w:pos="0"/>
        </w:tabs>
        <w:ind w:left="3570" w:hanging="330"/>
      </w:pPr>
      <w:rPr>
        <w:i w:val="1"/>
        <w:iCs w:val="1"/>
        <w:color w:val="595959"/>
        <w:position w:val="0"/>
        <w:sz w:val="22"/>
        <w:szCs w:val="22"/>
        <w:u w:color="595959"/>
      </w:rPr>
    </w:lvl>
    <w:lvl w:ilvl="5">
      <w:start w:val="1"/>
      <w:numFmt w:val="lowerRoman"/>
      <w:suff w:val="tab"/>
      <w:lvlText w:val="%6."/>
      <w:lvlJc w:val="left"/>
      <w:pPr>
        <w:tabs>
          <w:tab w:val="num" w:pos="4295"/>
          <w:tab w:val="clear" w:pos="0"/>
        </w:tabs>
        <w:ind w:left="4295" w:hanging="271"/>
      </w:pPr>
      <w:rPr>
        <w:i w:val="1"/>
        <w:iCs w:val="1"/>
        <w:color w:val="595959"/>
        <w:position w:val="0"/>
        <w:sz w:val="22"/>
        <w:szCs w:val="22"/>
        <w:u w:color="595959"/>
      </w:rPr>
    </w:lvl>
    <w:lvl w:ilvl="6">
      <w:start w:val="1"/>
      <w:numFmt w:val="decimal"/>
      <w:suff w:val="tab"/>
      <w:lvlText w:val="%7."/>
      <w:lvlJc w:val="left"/>
      <w:pPr>
        <w:tabs>
          <w:tab w:val="num" w:pos="5010"/>
          <w:tab w:val="clear" w:pos="0"/>
        </w:tabs>
        <w:ind w:left="5010" w:hanging="330"/>
      </w:pPr>
      <w:rPr>
        <w:i w:val="1"/>
        <w:iCs w:val="1"/>
        <w:color w:val="595959"/>
        <w:position w:val="0"/>
        <w:sz w:val="22"/>
        <w:szCs w:val="22"/>
        <w:u w:color="595959"/>
      </w:rPr>
    </w:lvl>
    <w:lvl w:ilvl="7">
      <w:start w:val="1"/>
      <w:numFmt w:val="lowerLetter"/>
      <w:suff w:val="tab"/>
      <w:lvlText w:val="%8."/>
      <w:lvlJc w:val="left"/>
      <w:pPr>
        <w:tabs>
          <w:tab w:val="num" w:pos="5730"/>
          <w:tab w:val="clear" w:pos="0"/>
        </w:tabs>
        <w:ind w:left="5730" w:hanging="330"/>
      </w:pPr>
      <w:rPr>
        <w:i w:val="1"/>
        <w:iCs w:val="1"/>
        <w:color w:val="595959"/>
        <w:position w:val="0"/>
        <w:sz w:val="22"/>
        <w:szCs w:val="22"/>
        <w:u w:color="595959"/>
      </w:rPr>
    </w:lvl>
    <w:lvl w:ilvl="8">
      <w:start w:val="1"/>
      <w:numFmt w:val="lowerRoman"/>
      <w:suff w:val="tab"/>
      <w:lvlText w:val="%9."/>
      <w:lvlJc w:val="left"/>
      <w:pPr>
        <w:tabs>
          <w:tab w:val="num" w:pos="6455"/>
          <w:tab w:val="clear" w:pos="0"/>
        </w:tabs>
        <w:ind w:left="6455" w:hanging="271"/>
      </w:pPr>
      <w:rPr>
        <w:i w:val="1"/>
        <w:iCs w:val="1"/>
        <w:color w:val="595959"/>
        <w:position w:val="0"/>
        <w:sz w:val="22"/>
        <w:szCs w:val="22"/>
        <w:u w:color="595959"/>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2"/>
    <w:next w:val="List 2"/>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eader" Target="header.xml"/><Relationship Id="rId12" Type="http://schemas.openxmlformats.org/officeDocument/2006/relationships/footer" Target="footer.xml"/><Relationship Id="rId13" Type="http://schemas.openxmlformats.org/officeDocument/2006/relationships/comments" Target="comments.xml"/><Relationship Id="rId14"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