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6B3D" w14:textId="77777777" w:rsidR="00F76F1A" w:rsidRPr="009D5804" w:rsidRDefault="00F76F1A" w:rsidP="00F76F1A">
      <w:pPr>
        <w:autoSpaceDE w:val="0"/>
        <w:autoSpaceDN w:val="0"/>
        <w:adjustRightInd w:val="0"/>
        <w:spacing w:after="120"/>
        <w:rPr>
          <w:sz w:val="22"/>
          <w:szCs w:val="22"/>
        </w:rPr>
      </w:pPr>
    </w:p>
    <w:p w14:paraId="66F5EEC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03D55C07" w14:textId="212A6223" w:rsidR="00777974" w:rsidRDefault="00777974" w:rsidP="00777974">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1D33DD85" w14:textId="04957359" w:rsidR="00DF52BC" w:rsidRDefault="00B12891" w:rsidP="00422A45">
      <w:pPr>
        <w:autoSpaceDE w:val="0"/>
        <w:autoSpaceDN w:val="0"/>
        <w:adjustRightInd w:val="0"/>
        <w:ind w:left="720"/>
        <w:rPr>
          <w:bCs/>
          <w:iCs/>
          <w:color w:val="000000"/>
          <w:sz w:val="22"/>
          <w:szCs w:val="22"/>
        </w:rPr>
      </w:pPr>
      <w:r>
        <w:rPr>
          <w:bCs/>
          <w:iCs/>
          <w:color w:val="000000"/>
          <w:sz w:val="22"/>
          <w:szCs w:val="22"/>
        </w:rPr>
        <w:t>Summarize the censoring time and the</w:t>
      </w:r>
      <w:r w:rsidR="00D67D01">
        <w:rPr>
          <w:bCs/>
          <w:iCs/>
          <w:color w:val="000000"/>
          <w:sz w:val="22"/>
          <w:szCs w:val="22"/>
        </w:rPr>
        <w:t xml:space="preserve"> minimum censoring time was found as 5.002 which is greater than 5. </w:t>
      </w:r>
      <w:r>
        <w:rPr>
          <w:bCs/>
          <w:iCs/>
          <w:color w:val="000000"/>
          <w:sz w:val="22"/>
          <w:szCs w:val="22"/>
        </w:rPr>
        <w:t>Therefore, dichotomize the time to death within 5 years and after 5 years is valid for the statistical methods on problems 2-6.</w:t>
      </w:r>
    </w:p>
    <w:p w14:paraId="7A9EB1B6" w14:textId="77777777" w:rsidR="00BF0593" w:rsidRDefault="00BF0593" w:rsidP="00777974">
      <w:pPr>
        <w:autoSpaceDE w:val="0"/>
        <w:autoSpaceDN w:val="0"/>
        <w:adjustRightInd w:val="0"/>
        <w:ind w:left="720"/>
        <w:rPr>
          <w:bCs/>
          <w:iCs/>
          <w:color w:val="000000"/>
          <w:sz w:val="22"/>
          <w:szCs w:val="22"/>
        </w:rPr>
      </w:pPr>
    </w:p>
    <w:p w14:paraId="1C9EB997" w14:textId="2CB6B789" w:rsidR="00BF0593" w:rsidRPr="00283D41" w:rsidRDefault="00A11526" w:rsidP="00777974">
      <w:pPr>
        <w:autoSpaceDE w:val="0"/>
        <w:autoSpaceDN w:val="0"/>
        <w:adjustRightInd w:val="0"/>
        <w:ind w:left="720"/>
        <w:rPr>
          <w:bCs/>
          <w:iCs/>
          <w:color w:val="000000"/>
          <w:sz w:val="22"/>
          <w:szCs w:val="22"/>
        </w:rPr>
      </w:pPr>
      <w:proofErr w:type="gramStart"/>
      <w:r>
        <w:rPr>
          <w:bCs/>
          <w:iCs/>
          <w:color w:val="000000"/>
          <w:sz w:val="22"/>
          <w:szCs w:val="22"/>
        </w:rPr>
        <w:t>deathin5 :</w:t>
      </w:r>
      <w:proofErr w:type="gramEnd"/>
      <w:r>
        <w:rPr>
          <w:bCs/>
          <w:iCs/>
          <w:color w:val="000000"/>
          <w:sz w:val="22"/>
          <w:szCs w:val="22"/>
        </w:rPr>
        <w:t xml:space="preserve"> </w:t>
      </w:r>
    </w:p>
    <w:tbl>
      <w:tblPr>
        <w:tblStyle w:val="TableGrid"/>
        <w:tblW w:w="0" w:type="auto"/>
        <w:tblInd w:w="1188" w:type="dxa"/>
        <w:tblLayout w:type="fixed"/>
        <w:tblLook w:val="04A0" w:firstRow="1" w:lastRow="0" w:firstColumn="1" w:lastColumn="0" w:noHBand="0" w:noVBand="1"/>
      </w:tblPr>
      <w:tblGrid>
        <w:gridCol w:w="2160"/>
        <w:gridCol w:w="1170"/>
        <w:gridCol w:w="2412"/>
      </w:tblGrid>
      <w:tr w:rsidR="00A47ED4" w14:paraId="6D82B95A" w14:textId="77777777" w:rsidTr="005520D8">
        <w:tc>
          <w:tcPr>
            <w:tcW w:w="2160" w:type="dxa"/>
          </w:tcPr>
          <w:p w14:paraId="7D090BDC" w14:textId="77777777" w:rsidR="00BF0593" w:rsidRDefault="00BF0593" w:rsidP="00777974">
            <w:pPr>
              <w:autoSpaceDE w:val="0"/>
              <w:autoSpaceDN w:val="0"/>
              <w:adjustRightInd w:val="0"/>
              <w:rPr>
                <w:bCs/>
                <w:iCs/>
                <w:color w:val="000000"/>
                <w:sz w:val="22"/>
                <w:szCs w:val="22"/>
              </w:rPr>
            </w:pPr>
          </w:p>
        </w:tc>
        <w:tc>
          <w:tcPr>
            <w:tcW w:w="1170" w:type="dxa"/>
          </w:tcPr>
          <w:p w14:paraId="5F190309" w14:textId="00702843" w:rsidR="00BF0593" w:rsidRDefault="00A11526" w:rsidP="00777974">
            <w:pPr>
              <w:autoSpaceDE w:val="0"/>
              <w:autoSpaceDN w:val="0"/>
              <w:adjustRightInd w:val="0"/>
              <w:rPr>
                <w:bCs/>
                <w:iCs/>
                <w:color w:val="000000"/>
                <w:sz w:val="22"/>
                <w:szCs w:val="22"/>
              </w:rPr>
            </w:pPr>
            <w:r>
              <w:rPr>
                <w:bCs/>
                <w:iCs/>
                <w:color w:val="000000"/>
                <w:sz w:val="22"/>
                <w:szCs w:val="22"/>
              </w:rPr>
              <w:t>Frequency</w:t>
            </w:r>
          </w:p>
        </w:tc>
        <w:tc>
          <w:tcPr>
            <w:tcW w:w="2412" w:type="dxa"/>
          </w:tcPr>
          <w:p w14:paraId="5D9663E2" w14:textId="555FE252" w:rsidR="00BF0593" w:rsidRDefault="00A11526" w:rsidP="00777974">
            <w:pPr>
              <w:autoSpaceDE w:val="0"/>
              <w:autoSpaceDN w:val="0"/>
              <w:adjustRightInd w:val="0"/>
              <w:rPr>
                <w:bCs/>
                <w:iCs/>
                <w:color w:val="000000"/>
                <w:sz w:val="22"/>
                <w:szCs w:val="22"/>
              </w:rPr>
            </w:pPr>
            <w:r>
              <w:rPr>
                <w:bCs/>
                <w:iCs/>
                <w:color w:val="000000"/>
                <w:sz w:val="22"/>
                <w:szCs w:val="22"/>
              </w:rPr>
              <w:t>Propo</w:t>
            </w:r>
            <w:r w:rsidR="00A47ED4">
              <w:rPr>
                <w:bCs/>
                <w:iCs/>
                <w:color w:val="000000"/>
                <w:sz w:val="22"/>
                <w:szCs w:val="22"/>
              </w:rPr>
              <w:t>r</w:t>
            </w:r>
            <w:r>
              <w:rPr>
                <w:bCs/>
                <w:iCs/>
                <w:color w:val="000000"/>
                <w:sz w:val="22"/>
                <w:szCs w:val="22"/>
              </w:rPr>
              <w:t>tion</w:t>
            </w:r>
          </w:p>
        </w:tc>
      </w:tr>
      <w:tr w:rsidR="00A47ED4" w14:paraId="12A372A3" w14:textId="77777777" w:rsidTr="005520D8">
        <w:tc>
          <w:tcPr>
            <w:tcW w:w="2160" w:type="dxa"/>
          </w:tcPr>
          <w:p w14:paraId="4B0DB33F" w14:textId="37C7CE56" w:rsidR="00BF0593" w:rsidRDefault="005520D8" w:rsidP="00777974">
            <w:pPr>
              <w:autoSpaceDE w:val="0"/>
              <w:autoSpaceDN w:val="0"/>
              <w:adjustRightInd w:val="0"/>
              <w:rPr>
                <w:bCs/>
                <w:iCs/>
                <w:color w:val="000000"/>
                <w:sz w:val="22"/>
                <w:szCs w:val="22"/>
              </w:rPr>
            </w:pPr>
            <w:r>
              <w:rPr>
                <w:bCs/>
                <w:iCs/>
                <w:color w:val="000000"/>
                <w:sz w:val="22"/>
                <w:szCs w:val="22"/>
              </w:rPr>
              <w:t>Death within 5 years</w:t>
            </w:r>
          </w:p>
        </w:tc>
        <w:tc>
          <w:tcPr>
            <w:tcW w:w="1170" w:type="dxa"/>
          </w:tcPr>
          <w:p w14:paraId="67A253F9" w14:textId="5A7A48B7" w:rsidR="00BF0593" w:rsidRDefault="00A47ED4" w:rsidP="00777974">
            <w:pPr>
              <w:autoSpaceDE w:val="0"/>
              <w:autoSpaceDN w:val="0"/>
              <w:adjustRightInd w:val="0"/>
              <w:rPr>
                <w:bCs/>
                <w:iCs/>
                <w:color w:val="000000"/>
                <w:sz w:val="22"/>
                <w:szCs w:val="22"/>
              </w:rPr>
            </w:pPr>
            <w:r>
              <w:rPr>
                <w:bCs/>
                <w:iCs/>
                <w:color w:val="000000"/>
                <w:sz w:val="22"/>
                <w:szCs w:val="22"/>
              </w:rPr>
              <w:t>121</w:t>
            </w:r>
          </w:p>
        </w:tc>
        <w:tc>
          <w:tcPr>
            <w:tcW w:w="2412" w:type="dxa"/>
          </w:tcPr>
          <w:p w14:paraId="597C5A5C" w14:textId="0023051B" w:rsidR="00BF0593" w:rsidRDefault="00A47ED4" w:rsidP="00A47ED4">
            <w:pPr>
              <w:tabs>
                <w:tab w:val="left" w:pos="-36"/>
                <w:tab w:val="left" w:pos="144"/>
              </w:tabs>
              <w:autoSpaceDE w:val="0"/>
              <w:autoSpaceDN w:val="0"/>
              <w:adjustRightInd w:val="0"/>
              <w:ind w:left="594" w:right="1620" w:hanging="594"/>
              <w:rPr>
                <w:bCs/>
                <w:iCs/>
                <w:color w:val="000000"/>
                <w:sz w:val="22"/>
                <w:szCs w:val="22"/>
              </w:rPr>
            </w:pPr>
            <w:r>
              <w:rPr>
                <w:bCs/>
                <w:iCs/>
                <w:color w:val="000000"/>
                <w:sz w:val="22"/>
                <w:szCs w:val="22"/>
              </w:rPr>
              <w:t>16.5%</w:t>
            </w:r>
          </w:p>
        </w:tc>
      </w:tr>
      <w:tr w:rsidR="00A47ED4" w14:paraId="315B20B9" w14:textId="77777777" w:rsidTr="005520D8">
        <w:tc>
          <w:tcPr>
            <w:tcW w:w="2160" w:type="dxa"/>
          </w:tcPr>
          <w:p w14:paraId="00701A2C" w14:textId="45070E77" w:rsidR="00A11526" w:rsidRDefault="005520D8" w:rsidP="00777974">
            <w:pPr>
              <w:autoSpaceDE w:val="0"/>
              <w:autoSpaceDN w:val="0"/>
              <w:adjustRightInd w:val="0"/>
              <w:rPr>
                <w:bCs/>
                <w:iCs/>
                <w:color w:val="000000"/>
                <w:sz w:val="22"/>
                <w:szCs w:val="22"/>
              </w:rPr>
            </w:pPr>
            <w:r>
              <w:rPr>
                <w:bCs/>
                <w:iCs/>
                <w:color w:val="000000"/>
                <w:sz w:val="22"/>
                <w:szCs w:val="22"/>
              </w:rPr>
              <w:t>Death after 5 years</w:t>
            </w:r>
          </w:p>
        </w:tc>
        <w:tc>
          <w:tcPr>
            <w:tcW w:w="1170" w:type="dxa"/>
          </w:tcPr>
          <w:p w14:paraId="67A8BB96" w14:textId="20448806" w:rsidR="00A11526" w:rsidRDefault="00A47ED4" w:rsidP="00777974">
            <w:pPr>
              <w:autoSpaceDE w:val="0"/>
              <w:autoSpaceDN w:val="0"/>
              <w:adjustRightInd w:val="0"/>
              <w:rPr>
                <w:bCs/>
                <w:iCs/>
                <w:color w:val="000000"/>
                <w:sz w:val="22"/>
                <w:szCs w:val="22"/>
              </w:rPr>
            </w:pPr>
            <w:r>
              <w:rPr>
                <w:bCs/>
                <w:iCs/>
                <w:color w:val="000000"/>
                <w:sz w:val="22"/>
                <w:szCs w:val="22"/>
              </w:rPr>
              <w:t>614</w:t>
            </w:r>
          </w:p>
        </w:tc>
        <w:tc>
          <w:tcPr>
            <w:tcW w:w="2412" w:type="dxa"/>
          </w:tcPr>
          <w:p w14:paraId="4F314CC6" w14:textId="0555FB99" w:rsidR="00A11526" w:rsidRDefault="00A47ED4" w:rsidP="00A47ED4">
            <w:pPr>
              <w:tabs>
                <w:tab w:val="left" w:pos="0"/>
                <w:tab w:val="left" w:pos="2142"/>
              </w:tabs>
              <w:autoSpaceDE w:val="0"/>
              <w:autoSpaceDN w:val="0"/>
              <w:adjustRightInd w:val="0"/>
              <w:ind w:right="1620"/>
              <w:rPr>
                <w:bCs/>
                <w:iCs/>
                <w:color w:val="000000"/>
                <w:sz w:val="22"/>
                <w:szCs w:val="22"/>
              </w:rPr>
            </w:pPr>
            <w:r>
              <w:rPr>
                <w:bCs/>
                <w:iCs/>
                <w:color w:val="000000"/>
                <w:sz w:val="22"/>
                <w:szCs w:val="22"/>
              </w:rPr>
              <w:t>83.5%</w:t>
            </w:r>
          </w:p>
        </w:tc>
      </w:tr>
    </w:tbl>
    <w:p w14:paraId="2B3819F6" w14:textId="5C500223" w:rsidR="00777974" w:rsidRPr="00DE32DE" w:rsidRDefault="00777974" w:rsidP="006704A2">
      <w:pPr>
        <w:autoSpaceDE w:val="0"/>
        <w:autoSpaceDN w:val="0"/>
        <w:adjustRightInd w:val="0"/>
        <w:rPr>
          <w:bCs/>
          <w:iCs/>
          <w:color w:val="000000"/>
          <w:sz w:val="22"/>
          <w:szCs w:val="22"/>
        </w:rPr>
      </w:pPr>
    </w:p>
    <w:p w14:paraId="19858D1E" w14:textId="1300E413" w:rsidR="00861CF9" w:rsidRPr="00283D41" w:rsidRDefault="00283D41" w:rsidP="00777974">
      <w:pPr>
        <w:autoSpaceDE w:val="0"/>
        <w:autoSpaceDN w:val="0"/>
        <w:adjustRightInd w:val="0"/>
        <w:ind w:left="720"/>
        <w:rPr>
          <w:bCs/>
          <w:iCs/>
          <w:color w:val="000000"/>
          <w:sz w:val="22"/>
          <w:szCs w:val="22"/>
        </w:rPr>
      </w:pPr>
      <w:r w:rsidRPr="00283D41">
        <w:rPr>
          <w:bCs/>
          <w:iCs/>
          <w:color w:val="000000"/>
          <w:sz w:val="22"/>
          <w:szCs w:val="22"/>
        </w:rPr>
        <w:t>After dichotomize the time to death into a binary variable (deathin5) which is not a censoring data, we can perform the following analysis</w:t>
      </w:r>
      <w:r>
        <w:rPr>
          <w:bCs/>
          <w:iCs/>
          <w:color w:val="000000"/>
          <w:sz w:val="22"/>
          <w:szCs w:val="22"/>
        </w:rPr>
        <w:t xml:space="preserve">. </w:t>
      </w:r>
    </w:p>
    <w:p w14:paraId="2248CCA8" w14:textId="77777777" w:rsidR="00C81F1F" w:rsidRPr="00283D41" w:rsidRDefault="00C81F1F" w:rsidP="00C81F1F">
      <w:pPr>
        <w:autoSpaceDE w:val="0"/>
        <w:autoSpaceDN w:val="0"/>
        <w:adjustRightInd w:val="0"/>
        <w:spacing w:after="120"/>
        <w:ind w:left="720"/>
        <w:rPr>
          <w:sz w:val="22"/>
          <w:szCs w:val="22"/>
        </w:rPr>
      </w:pPr>
    </w:p>
    <w:p w14:paraId="79F17ED4" w14:textId="09D389D3" w:rsidR="00777974" w:rsidRPr="00D47B2D" w:rsidRDefault="00F76F1A" w:rsidP="00D47B2D">
      <w:pPr>
        <w:numPr>
          <w:ilvl w:val="0"/>
          <w:numId w:val="1"/>
        </w:numPr>
        <w:autoSpaceDE w:val="0"/>
        <w:autoSpaceDN w:val="0"/>
        <w:adjustRightInd w:val="0"/>
        <w:spacing w:after="120"/>
        <w:rPr>
          <w:sz w:val="22"/>
          <w:szCs w:val="22"/>
        </w:rPr>
      </w:pPr>
      <w:commentRangeStart w:id="0"/>
      <w:r w:rsidRPr="009D5804">
        <w:rPr>
          <w:sz w:val="22"/>
          <w:szCs w:val="22"/>
        </w:rPr>
        <w:t>Provide</w:t>
      </w:r>
      <w:commentRangeEnd w:id="0"/>
      <w:r w:rsidR="0011451B">
        <w:rPr>
          <w:rStyle w:val="CommentReference"/>
        </w:rPr>
        <w:commentReference w:id="0"/>
      </w:r>
      <w:r w:rsidRPr="009D5804">
        <w:rPr>
          <w:sz w:val="22"/>
          <w:szCs w:val="22"/>
        </w:rPr>
        <w:t xml:space="preserv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028941B1" w14:textId="063B15A0" w:rsidR="00277270" w:rsidRDefault="0010227E" w:rsidP="00777974">
      <w:pPr>
        <w:autoSpaceDE w:val="0"/>
        <w:autoSpaceDN w:val="0"/>
        <w:adjustRightInd w:val="0"/>
        <w:ind w:left="720"/>
        <w:rPr>
          <w:b/>
          <w:bCs/>
          <w:i/>
          <w:iCs/>
          <w:color w:val="000000"/>
          <w:sz w:val="22"/>
          <w:szCs w:val="22"/>
          <w:u w:val="single"/>
        </w:rPr>
      </w:pPr>
      <w:r>
        <w:rPr>
          <w:b/>
          <w:bCs/>
          <w:i/>
          <w:iCs/>
          <w:color w:val="000000"/>
          <w:sz w:val="22"/>
          <w:szCs w:val="22"/>
          <w:u w:val="single"/>
        </w:rPr>
        <w:t>Methods:</w:t>
      </w:r>
    </w:p>
    <w:p w14:paraId="2CF44760" w14:textId="77777777" w:rsidR="00DE32DE" w:rsidRPr="00DE32DE" w:rsidRDefault="00DE32DE" w:rsidP="00777974">
      <w:pPr>
        <w:autoSpaceDE w:val="0"/>
        <w:autoSpaceDN w:val="0"/>
        <w:adjustRightInd w:val="0"/>
        <w:ind w:left="720"/>
        <w:rPr>
          <w:bCs/>
          <w:iCs/>
          <w:color w:val="000000"/>
          <w:sz w:val="22"/>
          <w:szCs w:val="22"/>
        </w:rPr>
      </w:pPr>
    </w:p>
    <w:tbl>
      <w:tblPr>
        <w:tblStyle w:val="TableGrid"/>
        <w:tblW w:w="8388" w:type="dxa"/>
        <w:tblInd w:w="720" w:type="dxa"/>
        <w:tblLook w:val="04A0" w:firstRow="1" w:lastRow="0" w:firstColumn="1" w:lastColumn="0" w:noHBand="0" w:noVBand="1"/>
      </w:tblPr>
      <w:tblGrid>
        <w:gridCol w:w="1908"/>
        <w:gridCol w:w="2160"/>
        <w:gridCol w:w="2160"/>
        <w:gridCol w:w="2160"/>
      </w:tblGrid>
      <w:tr w:rsidR="00234DBC" w14:paraId="7B5297B1" w14:textId="77777777" w:rsidTr="002677DA">
        <w:tc>
          <w:tcPr>
            <w:tcW w:w="1908" w:type="dxa"/>
          </w:tcPr>
          <w:p w14:paraId="4B4D404C" w14:textId="77777777" w:rsidR="008E0E45" w:rsidRPr="00234DBC" w:rsidRDefault="008E0E45" w:rsidP="00777974">
            <w:pPr>
              <w:autoSpaceDE w:val="0"/>
              <w:autoSpaceDN w:val="0"/>
              <w:adjustRightInd w:val="0"/>
              <w:rPr>
                <w:bCs/>
                <w:iCs/>
                <w:color w:val="000000"/>
                <w:sz w:val="16"/>
                <w:szCs w:val="16"/>
              </w:rPr>
            </w:pPr>
          </w:p>
        </w:tc>
        <w:tc>
          <w:tcPr>
            <w:tcW w:w="2160" w:type="dxa"/>
          </w:tcPr>
          <w:p w14:paraId="07414FAB" w14:textId="283D4B5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within 5 years</w:t>
            </w:r>
          </w:p>
          <w:p w14:paraId="2A3EB271"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6DA883BD" w14:textId="678E2E12" w:rsidR="00DD595A" w:rsidRPr="00B42234" w:rsidRDefault="00DD595A" w:rsidP="00BA309B">
            <w:pPr>
              <w:autoSpaceDE w:val="0"/>
              <w:autoSpaceDN w:val="0"/>
              <w:adjustRightInd w:val="0"/>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c>
          <w:tcPr>
            <w:tcW w:w="2160" w:type="dxa"/>
          </w:tcPr>
          <w:p w14:paraId="5476C290" w14:textId="4B26BD6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after 5 years</w:t>
            </w:r>
            <w:r w:rsidR="003E2121">
              <w:rPr>
                <w:b/>
                <w:bCs/>
                <w:iCs/>
                <w:color w:val="000000"/>
                <w:sz w:val="12"/>
                <w:szCs w:val="12"/>
              </w:rPr>
              <w:t xml:space="preserve"> </w:t>
            </w:r>
          </w:p>
          <w:p w14:paraId="425050CC"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74D2EB95" w14:textId="685387D0" w:rsidR="00DD595A" w:rsidRPr="00B42234" w:rsidRDefault="00DD595A" w:rsidP="00BA309B">
            <w:pPr>
              <w:autoSpaceDE w:val="0"/>
              <w:autoSpaceDN w:val="0"/>
              <w:adjustRightInd w:val="0"/>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c>
          <w:tcPr>
            <w:tcW w:w="2160" w:type="dxa"/>
          </w:tcPr>
          <w:p w14:paraId="503E47E2" w14:textId="21F2108D" w:rsidR="008E0E45"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All participants</w:t>
            </w:r>
            <w:r w:rsidR="003E2121">
              <w:rPr>
                <w:b/>
                <w:bCs/>
                <w:iCs/>
                <w:color w:val="000000"/>
                <w:sz w:val="12"/>
                <w:szCs w:val="12"/>
              </w:rPr>
              <w:t xml:space="preserve"> </w:t>
            </w:r>
          </w:p>
          <w:p w14:paraId="1E388158" w14:textId="77777777" w:rsidR="00234DBC"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5AA4B222" w14:textId="548A5DE0" w:rsidR="00DD595A" w:rsidRPr="00B42234" w:rsidRDefault="00DD595A" w:rsidP="00BA309B">
            <w:pPr>
              <w:autoSpaceDE w:val="0"/>
              <w:autoSpaceDN w:val="0"/>
              <w:adjustRightInd w:val="0"/>
              <w:ind w:left="-108" w:right="-18"/>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r>
      <w:tr w:rsidR="00234DBC" w14:paraId="5C797C63" w14:textId="77777777" w:rsidTr="002677DA">
        <w:tc>
          <w:tcPr>
            <w:tcW w:w="1908" w:type="dxa"/>
            <w:shd w:val="clear" w:color="auto" w:fill="E5DFEC" w:themeFill="accent4" w:themeFillTint="33"/>
          </w:tcPr>
          <w:p w14:paraId="2A925D3C" w14:textId="216A6124"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Age</w:t>
            </w:r>
            <w:r w:rsidR="008D6F9F" w:rsidRPr="00B42234">
              <w:rPr>
                <w:b/>
                <w:bCs/>
                <w:iCs/>
                <w:color w:val="000000"/>
                <w:sz w:val="12"/>
                <w:szCs w:val="12"/>
              </w:rPr>
              <w:t xml:space="preserve"> (years)</w:t>
            </w:r>
          </w:p>
        </w:tc>
        <w:tc>
          <w:tcPr>
            <w:tcW w:w="2160" w:type="dxa"/>
            <w:shd w:val="clear" w:color="auto" w:fill="E5DFEC" w:themeFill="accent4" w:themeFillTint="33"/>
          </w:tcPr>
          <w:p w14:paraId="4C0F8B0E" w14:textId="7D850159" w:rsidR="008E0E45" w:rsidRPr="00B42234" w:rsidRDefault="006D3656" w:rsidP="00740EF2">
            <w:pPr>
              <w:autoSpaceDE w:val="0"/>
              <w:autoSpaceDN w:val="0"/>
              <w:adjustRightInd w:val="0"/>
              <w:jc w:val="center"/>
              <w:rPr>
                <w:bCs/>
                <w:iCs/>
                <w:color w:val="000000"/>
                <w:sz w:val="12"/>
                <w:szCs w:val="12"/>
              </w:rPr>
            </w:pPr>
            <w:r>
              <w:rPr>
                <w:bCs/>
                <w:iCs/>
                <w:color w:val="000000"/>
                <w:sz w:val="12"/>
                <w:szCs w:val="12"/>
              </w:rPr>
              <w:t xml:space="preserve">76.5 (6.2; 67 75 91; </w:t>
            </w:r>
            <w:r w:rsidR="003905A0">
              <w:rPr>
                <w:bCs/>
                <w:iCs/>
                <w:color w:val="000000"/>
                <w:sz w:val="12"/>
                <w:szCs w:val="12"/>
              </w:rPr>
              <w:t>n=</w:t>
            </w:r>
            <w:r>
              <w:rPr>
                <w:bCs/>
                <w:iCs/>
                <w:color w:val="000000"/>
                <w:sz w:val="12"/>
                <w:szCs w:val="12"/>
              </w:rPr>
              <w:t>121)</w:t>
            </w:r>
          </w:p>
        </w:tc>
        <w:tc>
          <w:tcPr>
            <w:tcW w:w="2160" w:type="dxa"/>
            <w:shd w:val="clear" w:color="auto" w:fill="E5DFEC" w:themeFill="accent4" w:themeFillTint="33"/>
          </w:tcPr>
          <w:p w14:paraId="0B568423" w14:textId="7291AE49" w:rsidR="008E0E45" w:rsidRPr="00B42234" w:rsidRDefault="00813A46" w:rsidP="00740EF2">
            <w:pPr>
              <w:autoSpaceDE w:val="0"/>
              <w:autoSpaceDN w:val="0"/>
              <w:adjustRightInd w:val="0"/>
              <w:jc w:val="center"/>
              <w:rPr>
                <w:bCs/>
                <w:iCs/>
                <w:color w:val="000000"/>
                <w:sz w:val="12"/>
                <w:szCs w:val="12"/>
              </w:rPr>
            </w:pPr>
            <w:r>
              <w:rPr>
                <w:bCs/>
                <w:iCs/>
                <w:color w:val="000000"/>
                <w:sz w:val="12"/>
                <w:szCs w:val="12"/>
              </w:rPr>
              <w:t xml:space="preserve">74.2 (5.2; 65 73 99;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1117E359" w14:textId="1AB084A3" w:rsidR="008E0E45" w:rsidRPr="00B42234" w:rsidRDefault="000F3B12" w:rsidP="00740EF2">
            <w:pPr>
              <w:autoSpaceDE w:val="0"/>
              <w:autoSpaceDN w:val="0"/>
              <w:adjustRightInd w:val="0"/>
              <w:ind w:left="-108" w:right="-18"/>
              <w:jc w:val="center"/>
              <w:rPr>
                <w:bCs/>
                <w:iCs/>
                <w:color w:val="000000"/>
                <w:sz w:val="12"/>
                <w:szCs w:val="12"/>
              </w:rPr>
            </w:pPr>
            <w:r w:rsidRPr="00B42234">
              <w:rPr>
                <w:bCs/>
                <w:iCs/>
                <w:color w:val="000000"/>
                <w:sz w:val="12"/>
                <w:szCs w:val="12"/>
              </w:rPr>
              <w:t xml:space="preserve">74.6 (5.5; 65 74 99; </w:t>
            </w:r>
            <w:r w:rsidR="003905A0">
              <w:rPr>
                <w:bCs/>
                <w:iCs/>
                <w:color w:val="000000"/>
                <w:sz w:val="12"/>
                <w:szCs w:val="12"/>
              </w:rPr>
              <w:t>n=</w:t>
            </w:r>
            <w:r w:rsidRPr="00B42234">
              <w:rPr>
                <w:bCs/>
                <w:iCs/>
                <w:color w:val="000000"/>
                <w:sz w:val="12"/>
                <w:szCs w:val="12"/>
              </w:rPr>
              <w:t>735)</w:t>
            </w:r>
          </w:p>
        </w:tc>
      </w:tr>
      <w:tr w:rsidR="00405E09" w14:paraId="40A4AB03" w14:textId="77777777" w:rsidTr="002677DA">
        <w:tc>
          <w:tcPr>
            <w:tcW w:w="1908" w:type="dxa"/>
          </w:tcPr>
          <w:p w14:paraId="0660A0E2" w14:textId="5EF43B7E" w:rsidR="00405E09" w:rsidRPr="00B42234" w:rsidRDefault="00405E09" w:rsidP="00777974">
            <w:pPr>
              <w:autoSpaceDE w:val="0"/>
              <w:autoSpaceDN w:val="0"/>
              <w:adjustRightInd w:val="0"/>
              <w:rPr>
                <w:b/>
                <w:bCs/>
                <w:iCs/>
                <w:color w:val="000000"/>
                <w:sz w:val="12"/>
                <w:szCs w:val="12"/>
              </w:rPr>
            </w:pPr>
            <w:r w:rsidRPr="00B42234">
              <w:rPr>
                <w:b/>
                <w:bCs/>
                <w:iCs/>
                <w:color w:val="000000"/>
                <w:sz w:val="12"/>
                <w:szCs w:val="12"/>
              </w:rPr>
              <w:t>Weight (lbs)</w:t>
            </w:r>
          </w:p>
        </w:tc>
        <w:tc>
          <w:tcPr>
            <w:tcW w:w="2160" w:type="dxa"/>
          </w:tcPr>
          <w:p w14:paraId="4408BA45" w14:textId="549F20D8"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159.1 (32.8; 96 154 264; </w:t>
            </w:r>
            <w:r w:rsidR="003905A0">
              <w:rPr>
                <w:bCs/>
                <w:iCs/>
                <w:color w:val="000000"/>
                <w:sz w:val="12"/>
                <w:szCs w:val="12"/>
              </w:rPr>
              <w:t>n=</w:t>
            </w:r>
            <w:r>
              <w:rPr>
                <w:bCs/>
                <w:iCs/>
                <w:color w:val="000000"/>
                <w:sz w:val="12"/>
                <w:szCs w:val="12"/>
              </w:rPr>
              <w:t>121)</w:t>
            </w:r>
          </w:p>
        </w:tc>
        <w:tc>
          <w:tcPr>
            <w:tcW w:w="2160" w:type="dxa"/>
          </w:tcPr>
          <w:p w14:paraId="1DDEBD70" w14:textId="59D82991"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160.1 (30.3; 74 158.8 258; </w:t>
            </w:r>
            <w:r w:rsidR="003905A0">
              <w:rPr>
                <w:bCs/>
                <w:iCs/>
                <w:color w:val="000000"/>
                <w:sz w:val="12"/>
                <w:szCs w:val="12"/>
              </w:rPr>
              <w:t>n=</w:t>
            </w:r>
            <w:r>
              <w:rPr>
                <w:bCs/>
                <w:iCs/>
                <w:color w:val="000000"/>
                <w:sz w:val="12"/>
                <w:szCs w:val="12"/>
              </w:rPr>
              <w:t>614)</w:t>
            </w:r>
          </w:p>
        </w:tc>
        <w:tc>
          <w:tcPr>
            <w:tcW w:w="2160" w:type="dxa"/>
          </w:tcPr>
          <w:p w14:paraId="05163966" w14:textId="5774703D"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159.9 (30.7; 74 158 264; </w:t>
            </w:r>
            <w:r w:rsidR="003905A0">
              <w:rPr>
                <w:bCs/>
                <w:iCs/>
                <w:color w:val="000000"/>
                <w:sz w:val="12"/>
                <w:szCs w:val="12"/>
              </w:rPr>
              <w:t>n=</w:t>
            </w:r>
            <w:r w:rsidRPr="00B42234">
              <w:rPr>
                <w:bCs/>
                <w:iCs/>
                <w:color w:val="000000"/>
                <w:sz w:val="12"/>
                <w:szCs w:val="12"/>
              </w:rPr>
              <w:t>735)</w:t>
            </w:r>
          </w:p>
        </w:tc>
      </w:tr>
      <w:tr w:rsidR="00405E09" w14:paraId="5B74995E" w14:textId="77777777" w:rsidTr="002677DA">
        <w:tc>
          <w:tcPr>
            <w:tcW w:w="1908" w:type="dxa"/>
            <w:shd w:val="clear" w:color="auto" w:fill="E5DFEC" w:themeFill="accent4" w:themeFillTint="33"/>
          </w:tcPr>
          <w:p w14:paraId="53DCB479" w14:textId="11698145" w:rsidR="00405E09" w:rsidRPr="00B42234" w:rsidRDefault="00405E09" w:rsidP="00777974">
            <w:pPr>
              <w:autoSpaceDE w:val="0"/>
              <w:autoSpaceDN w:val="0"/>
              <w:adjustRightInd w:val="0"/>
              <w:rPr>
                <w:b/>
                <w:bCs/>
                <w:iCs/>
                <w:color w:val="000000"/>
                <w:sz w:val="12"/>
                <w:szCs w:val="12"/>
              </w:rPr>
            </w:pPr>
            <w:r w:rsidRPr="00642B7E">
              <w:rPr>
                <w:b/>
                <w:bCs/>
                <w:iCs/>
                <w:color w:val="000000"/>
                <w:sz w:val="12"/>
                <w:szCs w:val="12"/>
              </w:rPr>
              <w:t>Smoking history</w:t>
            </w:r>
            <w:r w:rsidR="002677DA">
              <w:rPr>
                <w:b/>
                <w:bCs/>
                <w:iCs/>
                <w:color w:val="000000"/>
                <w:sz w:val="12"/>
                <w:szCs w:val="12"/>
              </w:rPr>
              <w:t xml:space="preserve"> (pack a year)</w:t>
            </w:r>
          </w:p>
        </w:tc>
        <w:tc>
          <w:tcPr>
            <w:tcW w:w="2160" w:type="dxa"/>
            <w:shd w:val="clear" w:color="auto" w:fill="E5DFEC" w:themeFill="accent4" w:themeFillTint="33"/>
          </w:tcPr>
          <w:p w14:paraId="55045F58" w14:textId="77BBD6CE"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28.0 (36.0; 0 18.4 240; </w:t>
            </w:r>
            <w:r w:rsidR="003905A0">
              <w:rPr>
                <w:bCs/>
                <w:iCs/>
                <w:color w:val="000000"/>
                <w:sz w:val="12"/>
                <w:szCs w:val="12"/>
              </w:rPr>
              <w:t>n=</w:t>
            </w:r>
            <w:r>
              <w:rPr>
                <w:bCs/>
                <w:iCs/>
                <w:color w:val="000000"/>
                <w:sz w:val="12"/>
                <w:szCs w:val="12"/>
              </w:rPr>
              <w:t>120)</w:t>
            </w:r>
          </w:p>
        </w:tc>
        <w:tc>
          <w:tcPr>
            <w:tcW w:w="2160" w:type="dxa"/>
            <w:shd w:val="clear" w:color="auto" w:fill="E5DFEC" w:themeFill="accent4" w:themeFillTint="33"/>
          </w:tcPr>
          <w:p w14:paraId="23CAA78F" w14:textId="54BF940A"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17.9 (24.7; 0 4.35 180;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308AE4B4" w14:textId="7C2CA2F4"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19.6 (27.1; 0 6.5 240; </w:t>
            </w:r>
            <w:r w:rsidR="003905A0">
              <w:rPr>
                <w:bCs/>
                <w:iCs/>
                <w:color w:val="000000"/>
                <w:sz w:val="12"/>
                <w:szCs w:val="12"/>
              </w:rPr>
              <w:t>n=</w:t>
            </w:r>
            <w:r w:rsidRPr="00B42234">
              <w:rPr>
                <w:bCs/>
                <w:iCs/>
                <w:color w:val="000000"/>
                <w:sz w:val="12"/>
                <w:szCs w:val="12"/>
              </w:rPr>
              <w:t>734)</w:t>
            </w:r>
          </w:p>
        </w:tc>
      </w:tr>
      <w:tr w:rsidR="00917353" w14:paraId="62F36192" w14:textId="77777777" w:rsidTr="002677DA">
        <w:tc>
          <w:tcPr>
            <w:tcW w:w="1908" w:type="dxa"/>
          </w:tcPr>
          <w:p w14:paraId="287CA928" w14:textId="2DF2FB40" w:rsidR="00917353" w:rsidRPr="00B42234" w:rsidRDefault="00917353" w:rsidP="00777974">
            <w:pPr>
              <w:autoSpaceDE w:val="0"/>
              <w:autoSpaceDN w:val="0"/>
              <w:adjustRightInd w:val="0"/>
              <w:rPr>
                <w:b/>
                <w:bCs/>
                <w:iCs/>
                <w:color w:val="000000"/>
                <w:sz w:val="12"/>
                <w:szCs w:val="12"/>
              </w:rPr>
            </w:pPr>
            <w:r>
              <w:rPr>
                <w:b/>
                <w:bCs/>
                <w:iCs/>
                <w:color w:val="000000"/>
                <w:sz w:val="12"/>
                <w:szCs w:val="12"/>
              </w:rPr>
              <w:t>Serum LDL (mg/dl)</w:t>
            </w:r>
          </w:p>
        </w:tc>
        <w:tc>
          <w:tcPr>
            <w:tcW w:w="2160" w:type="dxa"/>
          </w:tcPr>
          <w:p w14:paraId="517235A7" w14:textId="14521000"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118.7 (36.2; 11 117 227; n=119)</w:t>
            </w:r>
          </w:p>
        </w:tc>
        <w:tc>
          <w:tcPr>
            <w:tcW w:w="2160" w:type="dxa"/>
          </w:tcPr>
          <w:p w14:paraId="25812482" w14:textId="4BF42C56"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127.2 (32.9; 39 127 247; n=606)</w:t>
            </w:r>
          </w:p>
        </w:tc>
        <w:tc>
          <w:tcPr>
            <w:tcW w:w="2160" w:type="dxa"/>
          </w:tcPr>
          <w:p w14:paraId="666244B9" w14:textId="015C6449"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125.8 (33.6; 11 125 247; n=725)</w:t>
            </w:r>
          </w:p>
        </w:tc>
      </w:tr>
      <w:tr w:rsidR="00234DBC" w14:paraId="2090CD2A" w14:textId="77777777" w:rsidTr="00DB6964">
        <w:tc>
          <w:tcPr>
            <w:tcW w:w="1908" w:type="dxa"/>
            <w:shd w:val="clear" w:color="auto" w:fill="E5DFEC" w:themeFill="accent4" w:themeFillTint="33"/>
          </w:tcPr>
          <w:p w14:paraId="3BA5BE80" w14:textId="5332B8D7"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Sex</w:t>
            </w:r>
          </w:p>
        </w:tc>
        <w:tc>
          <w:tcPr>
            <w:tcW w:w="2160" w:type="dxa"/>
            <w:shd w:val="clear" w:color="auto" w:fill="E5DFEC" w:themeFill="accent4" w:themeFillTint="33"/>
          </w:tcPr>
          <w:p w14:paraId="608A1ADA"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2D34FBAE"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64A81DEC" w14:textId="77777777" w:rsidR="008E0E45" w:rsidRPr="00B42234" w:rsidRDefault="008E0E45" w:rsidP="00740EF2">
            <w:pPr>
              <w:autoSpaceDE w:val="0"/>
              <w:autoSpaceDN w:val="0"/>
              <w:adjustRightInd w:val="0"/>
              <w:jc w:val="center"/>
              <w:rPr>
                <w:bCs/>
                <w:iCs/>
                <w:color w:val="000000"/>
                <w:sz w:val="12"/>
                <w:szCs w:val="12"/>
              </w:rPr>
            </w:pPr>
          </w:p>
        </w:tc>
      </w:tr>
      <w:tr w:rsidR="00234DBC" w14:paraId="79168344" w14:textId="77777777" w:rsidTr="00DB6964">
        <w:tc>
          <w:tcPr>
            <w:tcW w:w="1908" w:type="dxa"/>
            <w:shd w:val="clear" w:color="auto" w:fill="E5DFEC" w:themeFill="accent4" w:themeFillTint="33"/>
          </w:tcPr>
          <w:p w14:paraId="6E1B8358" w14:textId="53FEE63F"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Female</w:t>
            </w:r>
          </w:p>
        </w:tc>
        <w:tc>
          <w:tcPr>
            <w:tcW w:w="2160" w:type="dxa"/>
            <w:shd w:val="clear" w:color="auto" w:fill="E5DFEC" w:themeFill="accent4" w:themeFillTint="33"/>
          </w:tcPr>
          <w:p w14:paraId="308AC4ED" w14:textId="635DF4F2"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43 (35.5)</w:t>
            </w:r>
          </w:p>
        </w:tc>
        <w:tc>
          <w:tcPr>
            <w:tcW w:w="2160" w:type="dxa"/>
            <w:shd w:val="clear" w:color="auto" w:fill="E5DFEC" w:themeFill="accent4" w:themeFillTint="33"/>
          </w:tcPr>
          <w:p w14:paraId="56B1789C" w14:textId="6709A657"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326 (53.1)</w:t>
            </w:r>
          </w:p>
        </w:tc>
        <w:tc>
          <w:tcPr>
            <w:tcW w:w="2160" w:type="dxa"/>
            <w:shd w:val="clear" w:color="auto" w:fill="E5DFEC" w:themeFill="accent4" w:themeFillTint="33"/>
          </w:tcPr>
          <w:p w14:paraId="716CE192" w14:textId="539CB4B8"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369 (50.2)</w:t>
            </w:r>
          </w:p>
        </w:tc>
      </w:tr>
      <w:tr w:rsidR="00234DBC" w14:paraId="080B77B3" w14:textId="77777777" w:rsidTr="00DB6964">
        <w:tc>
          <w:tcPr>
            <w:tcW w:w="1908" w:type="dxa"/>
            <w:shd w:val="clear" w:color="auto" w:fill="E5DFEC" w:themeFill="accent4" w:themeFillTint="33"/>
          </w:tcPr>
          <w:p w14:paraId="6FB6B0D3" w14:textId="74D3E769"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Male</w:t>
            </w:r>
          </w:p>
        </w:tc>
        <w:tc>
          <w:tcPr>
            <w:tcW w:w="2160" w:type="dxa"/>
            <w:shd w:val="clear" w:color="auto" w:fill="E5DFEC" w:themeFill="accent4" w:themeFillTint="33"/>
          </w:tcPr>
          <w:p w14:paraId="4EAA88DC" w14:textId="368AE004"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78 (64.5)</w:t>
            </w:r>
          </w:p>
        </w:tc>
        <w:tc>
          <w:tcPr>
            <w:tcW w:w="2160" w:type="dxa"/>
            <w:shd w:val="clear" w:color="auto" w:fill="E5DFEC" w:themeFill="accent4" w:themeFillTint="33"/>
          </w:tcPr>
          <w:p w14:paraId="7F5143A6" w14:textId="783F49A5"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288 (46.9)</w:t>
            </w:r>
          </w:p>
        </w:tc>
        <w:tc>
          <w:tcPr>
            <w:tcW w:w="2160" w:type="dxa"/>
            <w:shd w:val="clear" w:color="auto" w:fill="E5DFEC" w:themeFill="accent4" w:themeFillTint="33"/>
          </w:tcPr>
          <w:p w14:paraId="6B9D2E70" w14:textId="3DCDE583"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366 (49.8)</w:t>
            </w:r>
          </w:p>
        </w:tc>
      </w:tr>
      <w:tr w:rsidR="00234DBC" w14:paraId="2D869BF0" w14:textId="77777777" w:rsidTr="00DB6964">
        <w:tc>
          <w:tcPr>
            <w:tcW w:w="1908" w:type="dxa"/>
            <w:shd w:val="clear" w:color="auto" w:fill="FFFFFF" w:themeFill="background1"/>
          </w:tcPr>
          <w:p w14:paraId="3245B101" w14:textId="13F3E1DA"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CHD</w:t>
            </w:r>
          </w:p>
        </w:tc>
        <w:tc>
          <w:tcPr>
            <w:tcW w:w="2160" w:type="dxa"/>
            <w:shd w:val="clear" w:color="auto" w:fill="FFFFFF" w:themeFill="background1"/>
          </w:tcPr>
          <w:p w14:paraId="36A43AD9"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5572553F" w14:textId="68E5A25C"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1E3D377E" w14:textId="77777777" w:rsidR="008E0E45" w:rsidRPr="00B42234" w:rsidRDefault="008E0E45" w:rsidP="00740EF2">
            <w:pPr>
              <w:autoSpaceDE w:val="0"/>
              <w:autoSpaceDN w:val="0"/>
              <w:adjustRightInd w:val="0"/>
              <w:jc w:val="center"/>
              <w:rPr>
                <w:bCs/>
                <w:iCs/>
                <w:color w:val="000000"/>
                <w:sz w:val="12"/>
                <w:szCs w:val="12"/>
              </w:rPr>
            </w:pPr>
          </w:p>
        </w:tc>
      </w:tr>
      <w:tr w:rsidR="00234DBC" w14:paraId="3EAF45A9" w14:textId="77777777" w:rsidTr="00DB6964">
        <w:tc>
          <w:tcPr>
            <w:tcW w:w="1908" w:type="dxa"/>
            <w:shd w:val="clear" w:color="auto" w:fill="FFFFFF" w:themeFill="background1"/>
          </w:tcPr>
          <w:p w14:paraId="201924C0" w14:textId="181BF284"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FFFFFF" w:themeFill="background1"/>
          </w:tcPr>
          <w:p w14:paraId="7FA39610" w14:textId="1C34C5A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75 (62.0)</w:t>
            </w:r>
          </w:p>
        </w:tc>
        <w:tc>
          <w:tcPr>
            <w:tcW w:w="2160" w:type="dxa"/>
            <w:shd w:val="clear" w:color="auto" w:fill="FFFFFF" w:themeFill="background1"/>
          </w:tcPr>
          <w:p w14:paraId="41C0EC7B" w14:textId="2AA93C4F"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505 (82.2)</w:t>
            </w:r>
          </w:p>
        </w:tc>
        <w:tc>
          <w:tcPr>
            <w:tcW w:w="2160" w:type="dxa"/>
            <w:shd w:val="clear" w:color="auto" w:fill="FFFFFF" w:themeFill="background1"/>
          </w:tcPr>
          <w:p w14:paraId="213D1083" w14:textId="0C2F9F3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580 (78.9)</w:t>
            </w:r>
          </w:p>
        </w:tc>
      </w:tr>
      <w:tr w:rsidR="00234DBC" w14:paraId="0D0B720C" w14:textId="77777777" w:rsidTr="00DB6964">
        <w:tc>
          <w:tcPr>
            <w:tcW w:w="1908" w:type="dxa"/>
            <w:shd w:val="clear" w:color="auto" w:fill="FFFFFF" w:themeFill="background1"/>
          </w:tcPr>
          <w:p w14:paraId="65103697" w14:textId="03336A4E"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Angina</w:t>
            </w:r>
          </w:p>
        </w:tc>
        <w:tc>
          <w:tcPr>
            <w:tcW w:w="2160" w:type="dxa"/>
            <w:shd w:val="clear" w:color="auto" w:fill="FFFFFF" w:themeFill="background1"/>
          </w:tcPr>
          <w:p w14:paraId="3A0B22A9" w14:textId="2F8EDAD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FFFFFF" w:themeFill="background1"/>
          </w:tcPr>
          <w:p w14:paraId="583D8522" w14:textId="397B60BE"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47 (7.7)</w:t>
            </w:r>
          </w:p>
        </w:tc>
        <w:tc>
          <w:tcPr>
            <w:tcW w:w="2160" w:type="dxa"/>
            <w:shd w:val="clear" w:color="auto" w:fill="FFFFFF" w:themeFill="background1"/>
          </w:tcPr>
          <w:p w14:paraId="4B295E17" w14:textId="19FBBE93"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64 (8.7)</w:t>
            </w:r>
          </w:p>
        </w:tc>
      </w:tr>
      <w:tr w:rsidR="00234DBC" w14:paraId="1800DF8F" w14:textId="77777777" w:rsidTr="00DB6964">
        <w:tc>
          <w:tcPr>
            <w:tcW w:w="1908" w:type="dxa"/>
            <w:shd w:val="clear" w:color="auto" w:fill="FFFFFF" w:themeFill="background1"/>
          </w:tcPr>
          <w:p w14:paraId="0B22FA19" w14:textId="1A1843B5"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Myocardial infraction</w:t>
            </w:r>
          </w:p>
        </w:tc>
        <w:tc>
          <w:tcPr>
            <w:tcW w:w="2160" w:type="dxa"/>
            <w:shd w:val="clear" w:color="auto" w:fill="FFFFFF" w:themeFill="background1"/>
          </w:tcPr>
          <w:p w14:paraId="57E14C59" w14:textId="0E904C1F"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29 (24.0)</w:t>
            </w:r>
          </w:p>
        </w:tc>
        <w:tc>
          <w:tcPr>
            <w:tcW w:w="2160" w:type="dxa"/>
            <w:shd w:val="clear" w:color="auto" w:fill="FFFFFF" w:themeFill="background1"/>
          </w:tcPr>
          <w:p w14:paraId="793AE62B" w14:textId="4D3B1BC9"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62 (10.1)</w:t>
            </w:r>
          </w:p>
        </w:tc>
        <w:tc>
          <w:tcPr>
            <w:tcW w:w="2160" w:type="dxa"/>
            <w:shd w:val="clear" w:color="auto" w:fill="FFFFFF" w:themeFill="background1"/>
          </w:tcPr>
          <w:p w14:paraId="639CF8C7" w14:textId="69CACCB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91 (12.4)</w:t>
            </w:r>
          </w:p>
        </w:tc>
      </w:tr>
      <w:tr w:rsidR="00234DBC" w14:paraId="07B09222" w14:textId="77777777" w:rsidTr="00C75359">
        <w:tc>
          <w:tcPr>
            <w:tcW w:w="1908" w:type="dxa"/>
            <w:shd w:val="clear" w:color="auto" w:fill="E5DFEC" w:themeFill="accent4" w:themeFillTint="33"/>
          </w:tcPr>
          <w:p w14:paraId="748D2EB0" w14:textId="0C82BCC5"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CHF</w:t>
            </w:r>
          </w:p>
        </w:tc>
        <w:tc>
          <w:tcPr>
            <w:tcW w:w="2160" w:type="dxa"/>
            <w:shd w:val="clear" w:color="auto" w:fill="E5DFEC" w:themeFill="accent4" w:themeFillTint="33"/>
          </w:tcPr>
          <w:p w14:paraId="674509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5E8C4A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4714E561" w14:textId="77777777" w:rsidR="008E0E45" w:rsidRPr="00B42234" w:rsidRDefault="008E0E45" w:rsidP="00740EF2">
            <w:pPr>
              <w:autoSpaceDE w:val="0"/>
              <w:autoSpaceDN w:val="0"/>
              <w:adjustRightInd w:val="0"/>
              <w:jc w:val="center"/>
              <w:rPr>
                <w:bCs/>
                <w:iCs/>
                <w:color w:val="000000"/>
                <w:sz w:val="12"/>
                <w:szCs w:val="12"/>
              </w:rPr>
            </w:pPr>
          </w:p>
        </w:tc>
      </w:tr>
      <w:tr w:rsidR="00234DBC" w14:paraId="07C8EFF5" w14:textId="77777777" w:rsidTr="00C75359">
        <w:tc>
          <w:tcPr>
            <w:tcW w:w="1908" w:type="dxa"/>
            <w:shd w:val="clear" w:color="auto" w:fill="E5DFEC" w:themeFill="accent4" w:themeFillTint="33"/>
          </w:tcPr>
          <w:p w14:paraId="1BE2D84D" w14:textId="50519FB6"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E5DFEC" w:themeFill="accent4" w:themeFillTint="33"/>
          </w:tcPr>
          <w:p w14:paraId="6890D36B" w14:textId="1359FFB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104 (86.0)</w:t>
            </w:r>
          </w:p>
        </w:tc>
        <w:tc>
          <w:tcPr>
            <w:tcW w:w="2160" w:type="dxa"/>
            <w:shd w:val="clear" w:color="auto" w:fill="E5DFEC" w:themeFill="accent4" w:themeFillTint="33"/>
          </w:tcPr>
          <w:p w14:paraId="170B9AB9" w14:textId="01688A3D"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590 (96.1)</w:t>
            </w:r>
          </w:p>
        </w:tc>
        <w:tc>
          <w:tcPr>
            <w:tcW w:w="2160" w:type="dxa"/>
            <w:shd w:val="clear" w:color="auto" w:fill="E5DFEC" w:themeFill="accent4" w:themeFillTint="33"/>
          </w:tcPr>
          <w:p w14:paraId="333B5F6F" w14:textId="1CC6CC44"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694 (94.4)</w:t>
            </w:r>
          </w:p>
        </w:tc>
      </w:tr>
      <w:tr w:rsidR="00234DBC" w14:paraId="5D47F8E1" w14:textId="77777777" w:rsidTr="00C75359">
        <w:tc>
          <w:tcPr>
            <w:tcW w:w="1908" w:type="dxa"/>
            <w:shd w:val="clear" w:color="auto" w:fill="E5DFEC" w:themeFill="accent4" w:themeFillTint="33"/>
          </w:tcPr>
          <w:p w14:paraId="42AA3A2F" w14:textId="4D304847"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Yes</w:t>
            </w:r>
          </w:p>
        </w:tc>
        <w:tc>
          <w:tcPr>
            <w:tcW w:w="2160" w:type="dxa"/>
            <w:shd w:val="clear" w:color="auto" w:fill="E5DFEC" w:themeFill="accent4" w:themeFillTint="33"/>
          </w:tcPr>
          <w:p w14:paraId="1786EF0C" w14:textId="3B93BCCB"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E5DFEC" w:themeFill="accent4" w:themeFillTint="33"/>
          </w:tcPr>
          <w:p w14:paraId="2E8D6E43" w14:textId="6FEBE8C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24 (3.9)</w:t>
            </w:r>
          </w:p>
        </w:tc>
        <w:tc>
          <w:tcPr>
            <w:tcW w:w="2160" w:type="dxa"/>
            <w:shd w:val="clear" w:color="auto" w:fill="E5DFEC" w:themeFill="accent4" w:themeFillTint="33"/>
          </w:tcPr>
          <w:p w14:paraId="02CBBE16" w14:textId="6CDCC91E"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41 (5.6)</w:t>
            </w:r>
          </w:p>
        </w:tc>
      </w:tr>
      <w:tr w:rsidR="00D55151" w14:paraId="2D186D6F" w14:textId="77777777" w:rsidTr="00C75359">
        <w:tc>
          <w:tcPr>
            <w:tcW w:w="1908" w:type="dxa"/>
            <w:shd w:val="clear" w:color="auto" w:fill="auto"/>
          </w:tcPr>
          <w:p w14:paraId="2705EA77" w14:textId="7A6D4DBA" w:rsidR="00D55151" w:rsidRPr="00B42234" w:rsidRDefault="00D55151" w:rsidP="00777974">
            <w:pPr>
              <w:autoSpaceDE w:val="0"/>
              <w:autoSpaceDN w:val="0"/>
              <w:adjustRightInd w:val="0"/>
              <w:rPr>
                <w:b/>
                <w:bCs/>
                <w:iCs/>
                <w:color w:val="000000"/>
                <w:sz w:val="12"/>
                <w:szCs w:val="12"/>
              </w:rPr>
            </w:pPr>
            <w:r w:rsidRPr="00B42234">
              <w:rPr>
                <w:b/>
                <w:bCs/>
                <w:iCs/>
                <w:color w:val="000000"/>
                <w:sz w:val="12"/>
                <w:szCs w:val="12"/>
              </w:rPr>
              <w:t>Stroke</w:t>
            </w:r>
          </w:p>
        </w:tc>
        <w:tc>
          <w:tcPr>
            <w:tcW w:w="2160" w:type="dxa"/>
            <w:shd w:val="clear" w:color="auto" w:fill="auto"/>
          </w:tcPr>
          <w:p w14:paraId="2900981F"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16D89C47"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0EF0206B" w14:textId="77777777" w:rsidR="00D55151" w:rsidRPr="00B42234" w:rsidRDefault="00D55151" w:rsidP="00740EF2">
            <w:pPr>
              <w:autoSpaceDE w:val="0"/>
              <w:autoSpaceDN w:val="0"/>
              <w:adjustRightInd w:val="0"/>
              <w:jc w:val="center"/>
              <w:rPr>
                <w:bCs/>
                <w:iCs/>
                <w:color w:val="000000"/>
                <w:sz w:val="12"/>
                <w:szCs w:val="12"/>
              </w:rPr>
            </w:pPr>
          </w:p>
        </w:tc>
      </w:tr>
      <w:tr w:rsidR="00D55151" w14:paraId="2BCE37E6" w14:textId="77777777" w:rsidTr="00C75359">
        <w:tc>
          <w:tcPr>
            <w:tcW w:w="1908" w:type="dxa"/>
            <w:shd w:val="clear" w:color="auto" w:fill="auto"/>
          </w:tcPr>
          <w:p w14:paraId="594C6624" w14:textId="6668F3BD"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auto"/>
          </w:tcPr>
          <w:p w14:paraId="62F76006" w14:textId="5D4A881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86 (71.1)</w:t>
            </w:r>
          </w:p>
        </w:tc>
        <w:tc>
          <w:tcPr>
            <w:tcW w:w="2160" w:type="dxa"/>
            <w:shd w:val="clear" w:color="auto" w:fill="auto"/>
          </w:tcPr>
          <w:p w14:paraId="472BA411" w14:textId="50DE6B6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550 (89.6)</w:t>
            </w:r>
          </w:p>
        </w:tc>
        <w:tc>
          <w:tcPr>
            <w:tcW w:w="2160" w:type="dxa"/>
            <w:shd w:val="clear" w:color="auto" w:fill="auto"/>
          </w:tcPr>
          <w:p w14:paraId="7041EA81" w14:textId="200C23F6"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636 (86.5)</w:t>
            </w:r>
          </w:p>
        </w:tc>
      </w:tr>
      <w:tr w:rsidR="00D55151" w14:paraId="3C3C9001" w14:textId="77777777" w:rsidTr="00C75359">
        <w:tc>
          <w:tcPr>
            <w:tcW w:w="1908" w:type="dxa"/>
            <w:shd w:val="clear" w:color="auto" w:fill="auto"/>
          </w:tcPr>
          <w:p w14:paraId="52552A08" w14:textId="4FE18DF6"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Transient ischemic attack</w:t>
            </w:r>
          </w:p>
        </w:tc>
        <w:tc>
          <w:tcPr>
            <w:tcW w:w="2160" w:type="dxa"/>
            <w:shd w:val="clear" w:color="auto" w:fill="auto"/>
          </w:tcPr>
          <w:p w14:paraId="283A5B8F" w14:textId="23837D1E"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7 (5.8)</w:t>
            </w:r>
          </w:p>
        </w:tc>
        <w:tc>
          <w:tcPr>
            <w:tcW w:w="2160" w:type="dxa"/>
            <w:shd w:val="clear" w:color="auto" w:fill="auto"/>
          </w:tcPr>
          <w:p w14:paraId="61D750F1" w14:textId="359F7AEB"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17 (2.8)</w:t>
            </w:r>
          </w:p>
        </w:tc>
        <w:tc>
          <w:tcPr>
            <w:tcW w:w="2160" w:type="dxa"/>
            <w:shd w:val="clear" w:color="auto" w:fill="auto"/>
          </w:tcPr>
          <w:p w14:paraId="1C491F25" w14:textId="0CCC67D7"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24 (3.3)</w:t>
            </w:r>
          </w:p>
        </w:tc>
      </w:tr>
      <w:tr w:rsidR="00EA35A1" w14:paraId="0F1BFF23" w14:textId="77777777" w:rsidTr="00C75359">
        <w:tc>
          <w:tcPr>
            <w:tcW w:w="1908" w:type="dxa"/>
            <w:shd w:val="clear" w:color="auto" w:fill="auto"/>
          </w:tcPr>
          <w:p w14:paraId="20AC17E0" w14:textId="042288DE" w:rsidR="00EA35A1" w:rsidRPr="00B42234" w:rsidRDefault="00642B7E" w:rsidP="00777974">
            <w:pPr>
              <w:autoSpaceDE w:val="0"/>
              <w:autoSpaceDN w:val="0"/>
              <w:adjustRightInd w:val="0"/>
              <w:rPr>
                <w:bCs/>
                <w:iCs/>
                <w:color w:val="000000"/>
                <w:sz w:val="12"/>
                <w:szCs w:val="12"/>
              </w:rPr>
            </w:pPr>
            <w:commentRangeStart w:id="1"/>
            <w:r>
              <w:rPr>
                <w:bCs/>
                <w:iCs/>
                <w:color w:val="000000"/>
                <w:sz w:val="12"/>
                <w:szCs w:val="12"/>
              </w:rPr>
              <w:t xml:space="preserve">    </w:t>
            </w:r>
            <w:r w:rsidR="00EA35A1" w:rsidRPr="00B42234">
              <w:rPr>
                <w:bCs/>
                <w:iCs/>
                <w:color w:val="000000"/>
                <w:sz w:val="12"/>
                <w:szCs w:val="12"/>
              </w:rPr>
              <w:t>Stroke</w:t>
            </w:r>
          </w:p>
        </w:tc>
        <w:tc>
          <w:tcPr>
            <w:tcW w:w="2160" w:type="dxa"/>
            <w:shd w:val="clear" w:color="auto" w:fill="auto"/>
          </w:tcPr>
          <w:p w14:paraId="051CA759" w14:textId="38746AB8"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28 (23.1)</w:t>
            </w:r>
          </w:p>
        </w:tc>
        <w:tc>
          <w:tcPr>
            <w:tcW w:w="2160" w:type="dxa"/>
            <w:shd w:val="clear" w:color="auto" w:fill="auto"/>
          </w:tcPr>
          <w:p w14:paraId="374CB2EF" w14:textId="78D5FD41"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47 (7.6)</w:t>
            </w:r>
          </w:p>
        </w:tc>
        <w:tc>
          <w:tcPr>
            <w:tcW w:w="2160" w:type="dxa"/>
            <w:shd w:val="clear" w:color="auto" w:fill="auto"/>
          </w:tcPr>
          <w:p w14:paraId="14795E1B" w14:textId="18B863EC" w:rsidR="00EA35A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75 (10.2)</w:t>
            </w:r>
            <w:commentRangeEnd w:id="1"/>
            <w:r w:rsidR="0011451B">
              <w:rPr>
                <w:rStyle w:val="CommentReference"/>
              </w:rPr>
              <w:commentReference w:id="1"/>
            </w:r>
          </w:p>
        </w:tc>
      </w:tr>
    </w:tbl>
    <w:p w14:paraId="28D16555" w14:textId="686590C1" w:rsidR="00777974" w:rsidRPr="007A37D6" w:rsidRDefault="00777974" w:rsidP="00D47B2D">
      <w:pPr>
        <w:autoSpaceDE w:val="0"/>
        <w:autoSpaceDN w:val="0"/>
        <w:adjustRightInd w:val="0"/>
        <w:rPr>
          <w:bCs/>
          <w:iCs/>
          <w:color w:val="000000"/>
          <w:sz w:val="22"/>
          <w:szCs w:val="22"/>
        </w:rPr>
      </w:pPr>
    </w:p>
    <w:p w14:paraId="1C3405C5" w14:textId="77777777" w:rsidR="006D0ED5" w:rsidRPr="009D5804" w:rsidRDefault="006D0ED5" w:rsidP="00E70A85">
      <w:pPr>
        <w:autoSpaceDE w:val="0"/>
        <w:autoSpaceDN w:val="0"/>
        <w:adjustRightInd w:val="0"/>
        <w:spacing w:after="120"/>
        <w:ind w:left="720"/>
        <w:rPr>
          <w:sz w:val="22"/>
          <w:szCs w:val="22"/>
        </w:rPr>
      </w:pPr>
    </w:p>
    <w:p w14:paraId="04293F4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0BD7F25B" w14:textId="3CCE6D88" w:rsidR="0042460C" w:rsidRDefault="00E70A85" w:rsidP="00E70A85">
      <w:pPr>
        <w:autoSpaceDE w:val="0"/>
        <w:autoSpaceDN w:val="0"/>
        <w:adjustRightInd w:val="0"/>
        <w:ind w:left="720"/>
        <w:rPr>
          <w:bCs/>
          <w:iCs/>
          <w:color w:val="000000"/>
          <w:sz w:val="22"/>
          <w:szCs w:val="22"/>
        </w:rPr>
      </w:pPr>
      <w:r>
        <w:rPr>
          <w:b/>
          <w:bCs/>
          <w:i/>
          <w:iCs/>
          <w:color w:val="000000"/>
          <w:sz w:val="22"/>
          <w:szCs w:val="22"/>
          <w:u w:val="single"/>
        </w:rPr>
        <w:t>Methods:</w:t>
      </w:r>
      <w:r>
        <w:rPr>
          <w:b/>
          <w:bCs/>
          <w:i/>
          <w:iCs/>
          <w:color w:val="000000"/>
          <w:sz w:val="22"/>
          <w:szCs w:val="22"/>
        </w:rPr>
        <w:t xml:space="preserve"> </w:t>
      </w:r>
    </w:p>
    <w:p w14:paraId="767955D0" w14:textId="3D493EBA" w:rsidR="0042460C" w:rsidRDefault="006255FE" w:rsidP="00E70A85">
      <w:pPr>
        <w:autoSpaceDE w:val="0"/>
        <w:autoSpaceDN w:val="0"/>
        <w:adjustRightInd w:val="0"/>
        <w:ind w:left="720"/>
        <w:rPr>
          <w:sz w:val="22"/>
          <w:szCs w:val="22"/>
        </w:rPr>
      </w:pPr>
      <w:r>
        <w:rPr>
          <w:bCs/>
          <w:iCs/>
          <w:color w:val="000000"/>
          <w:sz w:val="22"/>
          <w:szCs w:val="22"/>
        </w:rPr>
        <w:t>Two sample</w:t>
      </w:r>
      <w:r w:rsidR="00150BD5">
        <w:rPr>
          <w:bCs/>
          <w:iCs/>
          <w:color w:val="000000"/>
          <w:sz w:val="22"/>
          <w:szCs w:val="22"/>
        </w:rPr>
        <w:t>s</w:t>
      </w:r>
      <w:r>
        <w:rPr>
          <w:bCs/>
          <w:iCs/>
          <w:color w:val="000000"/>
          <w:sz w:val="22"/>
          <w:szCs w:val="22"/>
        </w:rPr>
        <w:t xml:space="preserve"> t test was performed to compare </w:t>
      </w:r>
      <w:r w:rsidRPr="009D5804">
        <w:rPr>
          <w:sz w:val="22"/>
          <w:szCs w:val="22"/>
        </w:rPr>
        <w:t>mean LDL values</w:t>
      </w:r>
      <w:r>
        <w:rPr>
          <w:sz w:val="22"/>
          <w:szCs w:val="22"/>
        </w:rPr>
        <w:t xml:space="preserve"> between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in 5 years and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after 5 years.</w:t>
      </w:r>
    </w:p>
    <w:p w14:paraId="38324134" w14:textId="77777777" w:rsidR="00150BD5" w:rsidRPr="0042460C" w:rsidRDefault="00150BD5" w:rsidP="00E70A85">
      <w:pPr>
        <w:autoSpaceDE w:val="0"/>
        <w:autoSpaceDN w:val="0"/>
        <w:adjustRightInd w:val="0"/>
        <w:ind w:left="720"/>
        <w:rPr>
          <w:bCs/>
          <w:iCs/>
          <w:color w:val="000000"/>
          <w:sz w:val="22"/>
          <w:szCs w:val="22"/>
        </w:rPr>
      </w:pPr>
    </w:p>
    <w:p w14:paraId="09AB8E1B" w14:textId="6997159C" w:rsidR="00E70A85" w:rsidRDefault="00E70A85" w:rsidP="00E70A85">
      <w:pPr>
        <w:autoSpaceDE w:val="0"/>
        <w:autoSpaceDN w:val="0"/>
        <w:adjustRightInd w:val="0"/>
        <w:ind w:left="720"/>
        <w:rPr>
          <w:b/>
          <w:bCs/>
          <w:i/>
          <w:iCs/>
          <w:color w:val="000000"/>
          <w:sz w:val="22"/>
          <w:szCs w:val="22"/>
        </w:rPr>
      </w:pPr>
      <w:r>
        <w:rPr>
          <w:b/>
          <w:bCs/>
          <w:i/>
          <w:iCs/>
          <w:color w:val="000000"/>
          <w:sz w:val="22"/>
          <w:szCs w:val="22"/>
          <w:u w:val="single"/>
        </w:rPr>
        <w:lastRenderedPageBreak/>
        <w:t>Inference</w:t>
      </w:r>
      <w:r>
        <w:rPr>
          <w:b/>
          <w:bCs/>
          <w:i/>
          <w:iCs/>
          <w:color w:val="000000"/>
          <w:sz w:val="22"/>
          <w:szCs w:val="22"/>
        </w:rPr>
        <w:t xml:space="preserve">: </w:t>
      </w:r>
    </w:p>
    <w:p w14:paraId="36AFD109" w14:textId="52C1C6F1" w:rsidR="00933CA1" w:rsidRPr="009D5804" w:rsidRDefault="00E93EC4" w:rsidP="00933CA1">
      <w:pPr>
        <w:autoSpaceDE w:val="0"/>
        <w:autoSpaceDN w:val="0"/>
        <w:adjustRightInd w:val="0"/>
        <w:spacing w:after="120"/>
        <w:ind w:left="720"/>
        <w:rPr>
          <w:sz w:val="22"/>
          <w:szCs w:val="22"/>
        </w:rPr>
      </w:pPr>
      <w:r>
        <w:rPr>
          <w:sz w:val="22"/>
          <w:szCs w:val="22"/>
        </w:rPr>
        <w:t xml:space="preserve">The mean </w:t>
      </w:r>
      <w:r w:rsidR="000C56F2">
        <w:rPr>
          <w:sz w:val="22"/>
          <w:szCs w:val="22"/>
        </w:rPr>
        <w:t xml:space="preserve">serum </w:t>
      </w:r>
      <w:r>
        <w:rPr>
          <w:sz w:val="22"/>
          <w:szCs w:val="22"/>
        </w:rPr>
        <w:t>LDL of</w:t>
      </w:r>
      <w:r w:rsidR="000C56F2">
        <w:rPr>
          <w:sz w:val="22"/>
          <w:szCs w:val="22"/>
        </w:rPr>
        <w:t xml:space="preserve"> the participants who</w:t>
      </w:r>
      <w:r w:rsidR="004063DD">
        <w:rPr>
          <w:sz w:val="22"/>
          <w:szCs w:val="22"/>
        </w:rPr>
        <w:t xml:space="preserve"> died within 5 year</w:t>
      </w:r>
      <w:r>
        <w:rPr>
          <w:sz w:val="22"/>
          <w:szCs w:val="22"/>
        </w:rPr>
        <w:t>s</w:t>
      </w:r>
      <w:r w:rsidR="004063DD">
        <w:rPr>
          <w:sz w:val="22"/>
          <w:szCs w:val="22"/>
        </w:rPr>
        <w:t xml:space="preserve"> is </w:t>
      </w:r>
      <w:r w:rsidR="004C3646">
        <w:rPr>
          <w:sz w:val="22"/>
          <w:szCs w:val="22"/>
        </w:rPr>
        <w:t>118.7</w:t>
      </w:r>
      <w:r>
        <w:rPr>
          <w:sz w:val="22"/>
          <w:szCs w:val="22"/>
        </w:rPr>
        <w:t xml:space="preserve"> mg/dl (n=119) and the mean </w:t>
      </w:r>
      <w:r w:rsidR="000C56F2">
        <w:rPr>
          <w:sz w:val="22"/>
          <w:szCs w:val="22"/>
        </w:rPr>
        <w:t xml:space="preserve">serum </w:t>
      </w:r>
      <w:r w:rsidR="00DD38B5">
        <w:rPr>
          <w:sz w:val="22"/>
          <w:szCs w:val="22"/>
        </w:rPr>
        <w:t xml:space="preserve">LDL of the </w:t>
      </w:r>
      <w:r>
        <w:rPr>
          <w:sz w:val="22"/>
          <w:szCs w:val="22"/>
        </w:rPr>
        <w:t>particip</w:t>
      </w:r>
      <w:r w:rsidR="004C3646">
        <w:rPr>
          <w:sz w:val="22"/>
          <w:szCs w:val="22"/>
        </w:rPr>
        <w:t>ants died after 5 years is 127.2</w:t>
      </w:r>
      <w:r w:rsidR="004F1C45">
        <w:rPr>
          <w:sz w:val="22"/>
          <w:szCs w:val="22"/>
        </w:rPr>
        <w:t xml:space="preserve"> mg/dl (n=606). The estimated</w:t>
      </w:r>
      <w:r w:rsidR="007C7136">
        <w:rPr>
          <w:sz w:val="22"/>
          <w:szCs w:val="22"/>
        </w:rPr>
        <w:t xml:space="preserve"> </w:t>
      </w:r>
      <w:r>
        <w:rPr>
          <w:sz w:val="22"/>
          <w:szCs w:val="22"/>
        </w:rPr>
        <w:t xml:space="preserve">mean </w:t>
      </w:r>
      <w:r w:rsidR="000C56F2">
        <w:rPr>
          <w:sz w:val="22"/>
          <w:szCs w:val="22"/>
        </w:rPr>
        <w:t xml:space="preserve">serum LDL of the </w:t>
      </w:r>
      <w:r>
        <w:rPr>
          <w:sz w:val="22"/>
          <w:szCs w:val="22"/>
        </w:rPr>
        <w:t xml:space="preserve">participants </w:t>
      </w:r>
      <w:r w:rsidR="000C56F2">
        <w:rPr>
          <w:sz w:val="22"/>
          <w:szCs w:val="22"/>
        </w:rPr>
        <w:t xml:space="preserve">who </w:t>
      </w:r>
      <w:r>
        <w:rPr>
          <w:sz w:val="22"/>
          <w:szCs w:val="22"/>
        </w:rPr>
        <w:t>died after 5 years is 8.5 mg</w:t>
      </w:r>
      <w:r w:rsidR="000C56F2">
        <w:rPr>
          <w:sz w:val="22"/>
          <w:szCs w:val="22"/>
        </w:rPr>
        <w:t xml:space="preserve">/dl higher than the </w:t>
      </w:r>
      <w:r>
        <w:rPr>
          <w:sz w:val="22"/>
          <w:szCs w:val="22"/>
        </w:rPr>
        <w:t xml:space="preserve">participants </w:t>
      </w:r>
      <w:r w:rsidR="000C56F2">
        <w:rPr>
          <w:sz w:val="22"/>
          <w:szCs w:val="22"/>
        </w:rPr>
        <w:t xml:space="preserve">who </w:t>
      </w:r>
      <w:r>
        <w:rPr>
          <w:sz w:val="22"/>
          <w:szCs w:val="22"/>
        </w:rPr>
        <w:t>died with</w:t>
      </w:r>
      <w:r w:rsidR="008A7237">
        <w:rPr>
          <w:sz w:val="22"/>
          <w:szCs w:val="22"/>
        </w:rPr>
        <w:t>in</w:t>
      </w:r>
      <w:r>
        <w:rPr>
          <w:sz w:val="22"/>
          <w:szCs w:val="22"/>
        </w:rPr>
        <w:t xml:space="preserve"> 5 years</w:t>
      </w:r>
      <w:r w:rsidR="001A5EFA">
        <w:rPr>
          <w:sz w:val="22"/>
          <w:szCs w:val="22"/>
        </w:rPr>
        <w:t xml:space="preserve">. </w:t>
      </w:r>
      <w:r w:rsidR="001D122F">
        <w:rPr>
          <w:sz w:val="22"/>
          <w:szCs w:val="22"/>
        </w:rPr>
        <w:t>The observed</w:t>
      </w:r>
      <w:r w:rsidR="00F03CC3">
        <w:rPr>
          <w:sz w:val="22"/>
          <w:szCs w:val="22"/>
        </w:rPr>
        <w:t xml:space="preserve"> data </w:t>
      </w:r>
      <w:r w:rsidR="001D122F">
        <w:rPr>
          <w:sz w:val="22"/>
          <w:szCs w:val="22"/>
        </w:rPr>
        <w:t xml:space="preserve">indicate the means </w:t>
      </w:r>
      <w:r w:rsidR="000C56F2">
        <w:rPr>
          <w:sz w:val="22"/>
          <w:szCs w:val="22"/>
        </w:rPr>
        <w:t xml:space="preserve">serum </w:t>
      </w:r>
      <w:r w:rsidR="001D122F">
        <w:rPr>
          <w:sz w:val="22"/>
          <w:szCs w:val="22"/>
        </w:rPr>
        <w:t>LDL for two groups is statistically different</w:t>
      </w:r>
      <w:r w:rsidR="00940829">
        <w:rPr>
          <w:sz w:val="22"/>
          <w:szCs w:val="22"/>
        </w:rPr>
        <w:t xml:space="preserve"> from 0</w:t>
      </w:r>
      <w:r w:rsidR="005B76B9">
        <w:rPr>
          <w:sz w:val="22"/>
          <w:szCs w:val="22"/>
        </w:rPr>
        <w:t xml:space="preserve"> (P</w:t>
      </w:r>
      <w:r w:rsidR="001D122F">
        <w:rPr>
          <w:sz w:val="22"/>
          <w:szCs w:val="22"/>
        </w:rPr>
        <w:t>=0.0186</w:t>
      </w:r>
      <w:r w:rsidR="001A1F5D">
        <w:rPr>
          <w:sz w:val="22"/>
          <w:szCs w:val="22"/>
        </w:rPr>
        <w:t>, 95% CI=(1.44, 15.6</w:t>
      </w:r>
      <w:r w:rsidR="005D61A7">
        <w:rPr>
          <w:sz w:val="22"/>
          <w:szCs w:val="22"/>
        </w:rPr>
        <w:t>)</w:t>
      </w:r>
      <w:r w:rsidR="001D122F">
        <w:rPr>
          <w:sz w:val="22"/>
          <w:szCs w:val="22"/>
        </w:rPr>
        <w:t>).</w:t>
      </w:r>
      <w:r w:rsidR="00F03CC3">
        <w:rPr>
          <w:sz w:val="22"/>
          <w:szCs w:val="22"/>
        </w:rPr>
        <w:t xml:space="preserve"> </w:t>
      </w:r>
      <w:r w:rsidR="00940829">
        <w:rPr>
          <w:sz w:val="22"/>
          <w:szCs w:val="22"/>
        </w:rPr>
        <w:t xml:space="preserve">Therefore, we reject null hypothesis of no association </w:t>
      </w:r>
      <w:r w:rsidR="00273F20">
        <w:rPr>
          <w:sz w:val="22"/>
          <w:szCs w:val="22"/>
        </w:rPr>
        <w:t>between serum LDL values and 5 years survival time</w:t>
      </w:r>
      <w:r w:rsidR="00933CA1">
        <w:rPr>
          <w:sz w:val="22"/>
          <w:szCs w:val="22"/>
        </w:rPr>
        <w:t xml:space="preserve">, and conclude that higher </w:t>
      </w:r>
      <w:r w:rsidR="000C56F2">
        <w:rPr>
          <w:sz w:val="22"/>
          <w:szCs w:val="22"/>
        </w:rPr>
        <w:t xml:space="preserve">LDL values are associated with </w:t>
      </w:r>
      <w:r w:rsidR="00933CA1">
        <w:rPr>
          <w:sz w:val="22"/>
          <w:szCs w:val="22"/>
        </w:rPr>
        <w:t>survival</w:t>
      </w:r>
      <w:r w:rsidR="00273F20">
        <w:rPr>
          <w:sz w:val="22"/>
          <w:szCs w:val="22"/>
        </w:rPr>
        <w:t xml:space="preserve"> time</w:t>
      </w:r>
      <w:r w:rsidR="004F58C8">
        <w:rPr>
          <w:sz w:val="22"/>
          <w:szCs w:val="22"/>
        </w:rPr>
        <w:t xml:space="preserve"> exceed 5 years</w:t>
      </w:r>
      <w:r w:rsidR="00933CA1">
        <w:rPr>
          <w:sz w:val="22"/>
          <w:szCs w:val="22"/>
        </w:rPr>
        <w:t xml:space="preserve">. </w:t>
      </w:r>
    </w:p>
    <w:p w14:paraId="384E657B" w14:textId="6B65AD22" w:rsidR="00E70A85" w:rsidRPr="009D5804" w:rsidRDefault="00E70A85" w:rsidP="00933CA1">
      <w:pPr>
        <w:autoSpaceDE w:val="0"/>
        <w:autoSpaceDN w:val="0"/>
        <w:adjustRightInd w:val="0"/>
        <w:spacing w:after="120"/>
        <w:rPr>
          <w:sz w:val="22"/>
          <w:szCs w:val="22"/>
        </w:rPr>
      </w:pPr>
    </w:p>
    <w:p w14:paraId="3D6C5E21" w14:textId="77777777" w:rsidR="00F76F1A" w:rsidRDefault="00F76F1A" w:rsidP="00F76F1A">
      <w:pPr>
        <w:numPr>
          <w:ilvl w:val="0"/>
          <w:numId w:val="1"/>
        </w:numPr>
        <w:autoSpaceDE w:val="0"/>
        <w:autoSpaceDN w:val="0"/>
        <w:adjustRightInd w:val="0"/>
        <w:spacing w:after="120"/>
        <w:rPr>
          <w:sz w:val="22"/>
          <w:szCs w:val="22"/>
        </w:rPr>
      </w:pPr>
      <w:commentRangeStart w:id="2"/>
      <w:r w:rsidRPr="009D5804">
        <w:rPr>
          <w:sz w:val="22"/>
          <w:szCs w:val="22"/>
        </w:rPr>
        <w:t>Perform</w:t>
      </w:r>
      <w:commentRangeEnd w:id="2"/>
      <w:r w:rsidR="009D6DB8">
        <w:rPr>
          <w:rStyle w:val="CommentReference"/>
        </w:rPr>
        <w:commentReference w:id="2"/>
      </w:r>
      <w:r w:rsidRPr="009D5804">
        <w:rPr>
          <w:sz w:val="22"/>
          <w:szCs w:val="22"/>
        </w:rPr>
        <w:t xml:space="preserve"> a statistical analysis evaluating an association between serum LDL and 5 year all-cause mortality by comparing geometric mean LDL values across groups defined by vital status at 5 years.</w:t>
      </w:r>
    </w:p>
    <w:p w14:paraId="27DDF4B7" w14:textId="70D5DD1C" w:rsidR="0042460C" w:rsidRDefault="00716C73" w:rsidP="00716C73">
      <w:pPr>
        <w:autoSpaceDE w:val="0"/>
        <w:autoSpaceDN w:val="0"/>
        <w:adjustRightInd w:val="0"/>
        <w:ind w:left="720"/>
        <w:rPr>
          <w:b/>
          <w:bCs/>
          <w:i/>
          <w:iCs/>
          <w:color w:val="000000"/>
          <w:sz w:val="22"/>
          <w:szCs w:val="22"/>
          <w:u w:val="single"/>
        </w:rPr>
      </w:pPr>
      <w:commentRangeStart w:id="3"/>
      <w:r>
        <w:rPr>
          <w:b/>
          <w:bCs/>
          <w:i/>
          <w:iCs/>
          <w:color w:val="000000"/>
          <w:sz w:val="22"/>
          <w:szCs w:val="22"/>
          <w:u w:val="single"/>
        </w:rPr>
        <w:t>Methods</w:t>
      </w:r>
      <w:commentRangeEnd w:id="3"/>
      <w:r w:rsidR="0011451B">
        <w:rPr>
          <w:rStyle w:val="CommentReference"/>
        </w:rPr>
        <w:commentReference w:id="3"/>
      </w:r>
    </w:p>
    <w:p w14:paraId="53A70AF0" w14:textId="770A37CC" w:rsidR="00AF6000" w:rsidRDefault="00F045A0" w:rsidP="00AF6000">
      <w:pPr>
        <w:autoSpaceDE w:val="0"/>
        <w:autoSpaceDN w:val="0"/>
        <w:adjustRightInd w:val="0"/>
        <w:ind w:left="720"/>
        <w:rPr>
          <w:sz w:val="22"/>
          <w:szCs w:val="22"/>
        </w:rPr>
      </w:pPr>
      <w:r>
        <w:rPr>
          <w:bCs/>
          <w:iCs/>
          <w:color w:val="000000"/>
          <w:sz w:val="22"/>
          <w:szCs w:val="22"/>
        </w:rPr>
        <w:t>Log transform on LDL data and</w:t>
      </w:r>
      <w:r w:rsidR="006E5469">
        <w:rPr>
          <w:bCs/>
          <w:iCs/>
          <w:color w:val="000000"/>
          <w:sz w:val="22"/>
          <w:szCs w:val="22"/>
        </w:rPr>
        <w:t xml:space="preserve"> perform two sample</w:t>
      </w:r>
      <w:r w:rsidR="000C5216">
        <w:rPr>
          <w:bCs/>
          <w:iCs/>
          <w:color w:val="000000"/>
          <w:sz w:val="22"/>
          <w:szCs w:val="22"/>
        </w:rPr>
        <w:t>s</w:t>
      </w:r>
      <w:r w:rsidR="006E5469">
        <w:rPr>
          <w:bCs/>
          <w:iCs/>
          <w:color w:val="000000"/>
          <w:sz w:val="22"/>
          <w:szCs w:val="22"/>
        </w:rPr>
        <w:t xml:space="preserve"> t test to</w:t>
      </w:r>
      <w:r>
        <w:rPr>
          <w:bCs/>
          <w:iCs/>
          <w:color w:val="000000"/>
          <w:sz w:val="22"/>
          <w:szCs w:val="22"/>
        </w:rPr>
        <w:t xml:space="preserve"> compare geometric mean LDL</w:t>
      </w:r>
      <w:r w:rsidR="00AF6000">
        <w:rPr>
          <w:bCs/>
          <w:iCs/>
          <w:color w:val="000000"/>
          <w:sz w:val="22"/>
          <w:szCs w:val="22"/>
        </w:rPr>
        <w:t xml:space="preserve"> </w:t>
      </w:r>
      <w:r w:rsidR="00AF6000" w:rsidRPr="009D5804">
        <w:rPr>
          <w:sz w:val="22"/>
          <w:szCs w:val="22"/>
        </w:rPr>
        <w:t>values</w:t>
      </w:r>
      <w:r w:rsidR="00AF6000">
        <w:rPr>
          <w:sz w:val="22"/>
          <w:szCs w:val="22"/>
        </w:rPr>
        <w:t xml:space="preserve"> between participants </w:t>
      </w:r>
      <w:r w:rsidR="00431F87">
        <w:rPr>
          <w:sz w:val="22"/>
          <w:szCs w:val="22"/>
        </w:rPr>
        <w:t xml:space="preserve">who </w:t>
      </w:r>
      <w:r w:rsidR="00AF6000">
        <w:rPr>
          <w:sz w:val="22"/>
          <w:szCs w:val="22"/>
        </w:rPr>
        <w:t xml:space="preserve">died in 5 years and participants </w:t>
      </w:r>
      <w:r w:rsidR="00431F87">
        <w:rPr>
          <w:sz w:val="22"/>
          <w:szCs w:val="22"/>
        </w:rPr>
        <w:t xml:space="preserve">who </w:t>
      </w:r>
      <w:r w:rsidR="00AF6000">
        <w:rPr>
          <w:sz w:val="22"/>
          <w:szCs w:val="22"/>
        </w:rPr>
        <w:t>died after 5 years.</w:t>
      </w:r>
    </w:p>
    <w:p w14:paraId="0901D68B" w14:textId="77777777" w:rsidR="0042460C" w:rsidRPr="0042460C" w:rsidRDefault="0042460C" w:rsidP="007C7136">
      <w:pPr>
        <w:autoSpaceDE w:val="0"/>
        <w:autoSpaceDN w:val="0"/>
        <w:adjustRightInd w:val="0"/>
        <w:rPr>
          <w:bCs/>
          <w:iCs/>
          <w:color w:val="000000"/>
          <w:sz w:val="22"/>
          <w:szCs w:val="22"/>
        </w:rPr>
      </w:pPr>
    </w:p>
    <w:p w14:paraId="271F9904" w14:textId="70327289"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B446FEF" w14:textId="1CB8380C" w:rsidR="00716C73" w:rsidRDefault="007C7136" w:rsidP="00716C73">
      <w:pPr>
        <w:autoSpaceDE w:val="0"/>
        <w:autoSpaceDN w:val="0"/>
        <w:adjustRightInd w:val="0"/>
        <w:spacing w:after="120"/>
        <w:ind w:left="720"/>
        <w:rPr>
          <w:sz w:val="22"/>
          <w:szCs w:val="22"/>
        </w:rPr>
      </w:pPr>
      <w:r>
        <w:rPr>
          <w:sz w:val="22"/>
          <w:szCs w:val="22"/>
        </w:rPr>
        <w:t xml:space="preserve">The geometric mean </w:t>
      </w:r>
      <w:r w:rsidR="000C56F2">
        <w:rPr>
          <w:sz w:val="22"/>
          <w:szCs w:val="22"/>
        </w:rPr>
        <w:t xml:space="preserve">serum </w:t>
      </w:r>
      <w:r w:rsidR="007B6466">
        <w:rPr>
          <w:sz w:val="22"/>
          <w:szCs w:val="22"/>
        </w:rPr>
        <w:t xml:space="preserve">LDL of the </w:t>
      </w:r>
      <w:r>
        <w:rPr>
          <w:sz w:val="22"/>
          <w:szCs w:val="22"/>
        </w:rPr>
        <w:t>partici</w:t>
      </w:r>
      <w:r w:rsidR="005E4527">
        <w:rPr>
          <w:sz w:val="22"/>
          <w:szCs w:val="22"/>
        </w:rPr>
        <w:t xml:space="preserve">pants </w:t>
      </w:r>
      <w:r w:rsidR="007B6466">
        <w:rPr>
          <w:sz w:val="22"/>
          <w:szCs w:val="22"/>
        </w:rPr>
        <w:t xml:space="preserve">who </w:t>
      </w:r>
      <w:r w:rsidR="005E4527">
        <w:rPr>
          <w:sz w:val="22"/>
          <w:szCs w:val="22"/>
        </w:rPr>
        <w:t>died within 5 years is 112.0</w:t>
      </w:r>
      <w:r>
        <w:rPr>
          <w:sz w:val="22"/>
          <w:szCs w:val="22"/>
        </w:rPr>
        <w:t xml:space="preserve"> mg/dl (n=119) and the </w:t>
      </w:r>
      <w:r w:rsidR="005B76B9">
        <w:rPr>
          <w:sz w:val="22"/>
          <w:szCs w:val="22"/>
        </w:rPr>
        <w:t xml:space="preserve">geometric </w:t>
      </w:r>
      <w:r w:rsidR="00083599">
        <w:rPr>
          <w:sz w:val="22"/>
          <w:szCs w:val="22"/>
        </w:rPr>
        <w:t xml:space="preserve">mean LDL of the </w:t>
      </w:r>
      <w:r>
        <w:rPr>
          <w:sz w:val="22"/>
          <w:szCs w:val="22"/>
        </w:rPr>
        <w:t>particip</w:t>
      </w:r>
      <w:r w:rsidR="005E4527">
        <w:rPr>
          <w:sz w:val="22"/>
          <w:szCs w:val="22"/>
        </w:rPr>
        <w:t>ants died after 5 years is 122.8</w:t>
      </w:r>
      <w:r>
        <w:rPr>
          <w:sz w:val="22"/>
          <w:szCs w:val="22"/>
        </w:rPr>
        <w:t xml:space="preserve"> mg/dl (n=606). The estimated geomet</w:t>
      </w:r>
      <w:r w:rsidR="007B6466">
        <w:rPr>
          <w:sz w:val="22"/>
          <w:szCs w:val="22"/>
        </w:rPr>
        <w:t xml:space="preserve">ric mean LDL of the </w:t>
      </w:r>
      <w:r>
        <w:rPr>
          <w:sz w:val="22"/>
          <w:szCs w:val="22"/>
        </w:rPr>
        <w:t xml:space="preserve">participants </w:t>
      </w:r>
      <w:r w:rsidR="007B6466">
        <w:rPr>
          <w:sz w:val="22"/>
          <w:szCs w:val="22"/>
        </w:rPr>
        <w:t xml:space="preserve">who </w:t>
      </w:r>
      <w:r>
        <w:rPr>
          <w:sz w:val="22"/>
          <w:szCs w:val="22"/>
        </w:rPr>
        <w:t xml:space="preserve">died after 5 years is 9.65% </w:t>
      </w:r>
      <w:r w:rsidR="00427476">
        <w:rPr>
          <w:sz w:val="22"/>
          <w:szCs w:val="22"/>
        </w:rPr>
        <w:t xml:space="preserve">statistically </w:t>
      </w:r>
      <w:r w:rsidR="007B6466">
        <w:rPr>
          <w:sz w:val="22"/>
          <w:szCs w:val="22"/>
        </w:rPr>
        <w:t>higher than the p</w:t>
      </w:r>
      <w:r>
        <w:rPr>
          <w:sz w:val="22"/>
          <w:szCs w:val="22"/>
        </w:rPr>
        <w:t>a</w:t>
      </w:r>
      <w:r w:rsidR="00427476">
        <w:rPr>
          <w:sz w:val="22"/>
          <w:szCs w:val="22"/>
        </w:rPr>
        <w:t xml:space="preserve">rticipants </w:t>
      </w:r>
      <w:r w:rsidR="007B6466">
        <w:rPr>
          <w:sz w:val="22"/>
          <w:szCs w:val="22"/>
        </w:rPr>
        <w:t xml:space="preserve">who </w:t>
      </w:r>
      <w:r w:rsidR="00427476">
        <w:rPr>
          <w:sz w:val="22"/>
          <w:szCs w:val="22"/>
        </w:rPr>
        <w:t xml:space="preserve">died within 5 </w:t>
      </w:r>
      <w:r w:rsidR="00A90AC6">
        <w:rPr>
          <w:sz w:val="22"/>
          <w:szCs w:val="22"/>
        </w:rPr>
        <w:t xml:space="preserve">years </w:t>
      </w:r>
      <w:commentRangeStart w:id="4"/>
      <w:r w:rsidR="00A90AC6">
        <w:rPr>
          <w:sz w:val="22"/>
          <w:szCs w:val="22"/>
        </w:rPr>
        <w:t>(</w:t>
      </w:r>
      <w:r w:rsidR="005B76B9" w:rsidRPr="00AC1192">
        <w:rPr>
          <w:sz w:val="22"/>
          <w:szCs w:val="22"/>
        </w:rPr>
        <w:t>P</w:t>
      </w:r>
      <w:r w:rsidR="00427476" w:rsidRPr="00AC1192">
        <w:rPr>
          <w:sz w:val="22"/>
          <w:szCs w:val="22"/>
        </w:rPr>
        <w:t>=0.0128, 95% CI 2.01% higher to 17.9% higher).</w:t>
      </w:r>
      <w:r w:rsidR="00427476" w:rsidRPr="00427476">
        <w:t xml:space="preserve"> </w:t>
      </w:r>
      <w:commentRangeEnd w:id="4"/>
      <w:r w:rsidR="009B4284">
        <w:rPr>
          <w:rStyle w:val="CommentReference"/>
        </w:rPr>
        <w:commentReference w:id="4"/>
      </w:r>
      <w:r w:rsidR="000C56F2">
        <w:rPr>
          <w:sz w:val="22"/>
          <w:szCs w:val="22"/>
        </w:rPr>
        <w:t xml:space="preserve">Therefore, we reject null hypothesis of no association between serum LDL values and 5 years survival time, and conclude that higher </w:t>
      </w:r>
      <w:r w:rsidR="004F58C8">
        <w:rPr>
          <w:sz w:val="22"/>
          <w:szCs w:val="22"/>
        </w:rPr>
        <w:t>LDL values are associated with the survival time exceed 5 years</w:t>
      </w:r>
      <w:r w:rsidR="000C56F2">
        <w:rPr>
          <w:sz w:val="22"/>
          <w:szCs w:val="22"/>
        </w:rPr>
        <w:t>.</w:t>
      </w:r>
    </w:p>
    <w:p w14:paraId="5B7FFA8A" w14:textId="77777777" w:rsidR="00E20A43" w:rsidRPr="009D5804" w:rsidRDefault="00E20A43" w:rsidP="00716C73">
      <w:pPr>
        <w:autoSpaceDE w:val="0"/>
        <w:autoSpaceDN w:val="0"/>
        <w:adjustRightInd w:val="0"/>
        <w:spacing w:after="120"/>
        <w:ind w:left="720"/>
        <w:rPr>
          <w:sz w:val="22"/>
          <w:szCs w:val="22"/>
        </w:rPr>
      </w:pPr>
    </w:p>
    <w:p w14:paraId="0163F6B4" w14:textId="624E7809"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sidR="00B86598">
        <w:rPr>
          <w:sz w:val="22"/>
          <w:szCs w:val="22"/>
        </w:rPr>
        <w:t xml:space="preserve"> </w:t>
      </w:r>
    </w:p>
    <w:p w14:paraId="26903F9B" w14:textId="18D526D8" w:rsidR="0042460C" w:rsidRDefault="00716C73" w:rsidP="00716C73">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179B012A" w14:textId="113AEC22" w:rsidR="00767494" w:rsidRPr="00F045A0" w:rsidRDefault="00767494" w:rsidP="00716C73">
      <w:pPr>
        <w:autoSpaceDE w:val="0"/>
        <w:autoSpaceDN w:val="0"/>
        <w:adjustRightInd w:val="0"/>
        <w:ind w:left="720"/>
        <w:rPr>
          <w:bCs/>
          <w:iCs/>
          <w:color w:val="000000"/>
          <w:sz w:val="22"/>
          <w:szCs w:val="22"/>
        </w:rPr>
      </w:pPr>
      <w:r>
        <w:rPr>
          <w:bCs/>
          <w:iCs/>
          <w:color w:val="000000"/>
          <w:sz w:val="22"/>
          <w:szCs w:val="22"/>
        </w:rPr>
        <w:t xml:space="preserve">Dichotomize LDL </w:t>
      </w:r>
      <w:r w:rsidR="0018235A">
        <w:rPr>
          <w:bCs/>
          <w:iCs/>
          <w:color w:val="000000"/>
          <w:sz w:val="22"/>
          <w:szCs w:val="22"/>
        </w:rPr>
        <w:t xml:space="preserve">in groups </w:t>
      </w:r>
      <w:r w:rsidR="00DC6FFF" w:rsidRPr="009D5804">
        <w:rPr>
          <w:sz w:val="22"/>
          <w:szCs w:val="22"/>
        </w:rPr>
        <w:t>defined by</w:t>
      </w:r>
      <w:r w:rsidR="00083599">
        <w:rPr>
          <w:sz w:val="22"/>
          <w:szCs w:val="22"/>
        </w:rPr>
        <w:t xml:space="preserve"> whether the participants</w:t>
      </w:r>
      <w:r w:rsidR="00DC6FFF">
        <w:rPr>
          <w:sz w:val="22"/>
          <w:szCs w:val="22"/>
        </w:rPr>
        <w:t xml:space="preserve"> </w:t>
      </w:r>
      <w:r w:rsidR="00F26B94">
        <w:rPr>
          <w:sz w:val="22"/>
          <w:szCs w:val="22"/>
        </w:rPr>
        <w:t xml:space="preserve">who </w:t>
      </w:r>
      <w:r w:rsidR="00DC6FFF">
        <w:rPr>
          <w:sz w:val="22"/>
          <w:szCs w:val="22"/>
        </w:rPr>
        <w:t xml:space="preserve">have </w:t>
      </w:r>
      <w:r w:rsidR="00DC6FFF" w:rsidRPr="009D5804">
        <w:rPr>
          <w:sz w:val="22"/>
          <w:szCs w:val="22"/>
        </w:rPr>
        <w:t xml:space="preserve">serum LDL </w:t>
      </w:r>
      <w:r w:rsidR="00DC6FFF">
        <w:rPr>
          <w:sz w:val="22"/>
          <w:szCs w:val="22"/>
        </w:rPr>
        <w:t xml:space="preserve">higher than 160 mg/dl </w:t>
      </w:r>
      <w:r>
        <w:rPr>
          <w:bCs/>
          <w:iCs/>
          <w:color w:val="000000"/>
          <w:sz w:val="22"/>
          <w:szCs w:val="22"/>
        </w:rPr>
        <w:t>and perform Chi-Square test</w:t>
      </w:r>
      <w:r w:rsidR="0018235A">
        <w:rPr>
          <w:bCs/>
          <w:iCs/>
          <w:color w:val="000000"/>
          <w:sz w:val="22"/>
          <w:szCs w:val="22"/>
        </w:rPr>
        <w:t xml:space="preserve"> to compare </w:t>
      </w:r>
      <w:r w:rsidR="0018235A" w:rsidRPr="009D5804">
        <w:rPr>
          <w:sz w:val="22"/>
          <w:szCs w:val="22"/>
        </w:rPr>
        <w:t>the probability of death within 5 years across groups</w:t>
      </w:r>
      <w:r>
        <w:rPr>
          <w:bCs/>
          <w:iCs/>
          <w:color w:val="000000"/>
          <w:sz w:val="22"/>
          <w:szCs w:val="22"/>
        </w:rPr>
        <w:t>.</w:t>
      </w:r>
    </w:p>
    <w:p w14:paraId="06E4DE20" w14:textId="77777777" w:rsidR="0042460C" w:rsidRPr="0042460C" w:rsidRDefault="0042460C" w:rsidP="00716C73">
      <w:pPr>
        <w:autoSpaceDE w:val="0"/>
        <w:autoSpaceDN w:val="0"/>
        <w:adjustRightInd w:val="0"/>
        <w:ind w:left="720"/>
        <w:rPr>
          <w:bCs/>
          <w:iCs/>
          <w:color w:val="000000"/>
          <w:sz w:val="22"/>
          <w:szCs w:val="22"/>
        </w:rPr>
      </w:pPr>
    </w:p>
    <w:p w14:paraId="328C8E23" w14:textId="48B02320" w:rsidR="00061E6D" w:rsidRDefault="00716C73" w:rsidP="00061E6D">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AF2AE24" w14:textId="45B994E2" w:rsidR="00D819D7" w:rsidRDefault="00ED0E43" w:rsidP="00D819D7">
      <w:pPr>
        <w:autoSpaceDE w:val="0"/>
        <w:autoSpaceDN w:val="0"/>
        <w:adjustRightInd w:val="0"/>
        <w:ind w:left="720"/>
        <w:rPr>
          <w:bCs/>
          <w:iCs/>
          <w:color w:val="000000"/>
          <w:sz w:val="22"/>
          <w:szCs w:val="22"/>
        </w:rPr>
      </w:pPr>
      <w:r>
        <w:rPr>
          <w:bCs/>
          <w:iCs/>
          <w:color w:val="000000"/>
          <w:sz w:val="22"/>
          <w:szCs w:val="22"/>
        </w:rPr>
        <w:t>The probabilities of death with</w:t>
      </w:r>
      <w:r w:rsidR="00F26B94">
        <w:rPr>
          <w:bCs/>
          <w:iCs/>
          <w:color w:val="000000"/>
          <w:sz w:val="22"/>
          <w:szCs w:val="22"/>
        </w:rPr>
        <w:t>in 5 years for participants who have</w:t>
      </w:r>
      <w:r>
        <w:rPr>
          <w:bCs/>
          <w:iCs/>
          <w:color w:val="000000"/>
          <w:sz w:val="22"/>
          <w:szCs w:val="22"/>
        </w:rPr>
        <w:t xml:space="preserve"> serum LDL </w:t>
      </w:r>
      <w:r w:rsidR="00F26B94">
        <w:rPr>
          <w:bCs/>
          <w:iCs/>
          <w:color w:val="000000"/>
          <w:sz w:val="22"/>
          <w:szCs w:val="22"/>
        </w:rPr>
        <w:t xml:space="preserve">higher than 160 mg/dl and for participants who have serum LDL less than or equal to 160 mg/dl </w:t>
      </w:r>
      <w:r>
        <w:rPr>
          <w:bCs/>
          <w:iCs/>
          <w:color w:val="000000"/>
          <w:sz w:val="22"/>
          <w:szCs w:val="22"/>
        </w:rPr>
        <w:t xml:space="preserve">are 14% and 17%, respectively. </w:t>
      </w:r>
      <w:r w:rsidR="00CC6AB5">
        <w:rPr>
          <w:bCs/>
          <w:iCs/>
          <w:color w:val="000000"/>
          <w:sz w:val="22"/>
          <w:szCs w:val="22"/>
        </w:rPr>
        <w:t xml:space="preserve">The observed probabilities of death within 5 years across groups are not </w:t>
      </w:r>
      <w:r w:rsidR="001E16F5">
        <w:rPr>
          <w:bCs/>
          <w:iCs/>
          <w:color w:val="000000"/>
          <w:sz w:val="22"/>
          <w:szCs w:val="22"/>
        </w:rPr>
        <w:t>statistically different (P=0.375</w:t>
      </w:r>
      <w:r w:rsidR="00CC6AB5">
        <w:rPr>
          <w:bCs/>
          <w:iCs/>
          <w:color w:val="000000"/>
          <w:sz w:val="22"/>
          <w:szCs w:val="22"/>
        </w:rPr>
        <w:t xml:space="preserve">3). </w:t>
      </w:r>
      <w:r>
        <w:rPr>
          <w:bCs/>
          <w:iCs/>
          <w:color w:val="000000"/>
          <w:sz w:val="22"/>
          <w:szCs w:val="22"/>
        </w:rPr>
        <w:t>The estimated risk ratio is 0.8</w:t>
      </w:r>
      <w:r w:rsidR="00B0554E">
        <w:rPr>
          <w:bCs/>
          <w:iCs/>
          <w:color w:val="000000"/>
          <w:sz w:val="22"/>
          <w:szCs w:val="22"/>
        </w:rPr>
        <w:t>0</w:t>
      </w:r>
      <w:r w:rsidR="00CC6AB5">
        <w:rPr>
          <w:bCs/>
          <w:iCs/>
          <w:color w:val="000000"/>
          <w:sz w:val="22"/>
          <w:szCs w:val="22"/>
        </w:rPr>
        <w:t xml:space="preserve"> and 95% CI indicate</w:t>
      </w:r>
      <w:r>
        <w:rPr>
          <w:bCs/>
          <w:iCs/>
          <w:color w:val="000000"/>
          <w:sz w:val="22"/>
          <w:szCs w:val="22"/>
        </w:rPr>
        <w:t xml:space="preserve"> </w:t>
      </w:r>
      <w:r w:rsidR="00CC6AB5">
        <w:rPr>
          <w:bCs/>
          <w:iCs/>
          <w:color w:val="000000"/>
          <w:sz w:val="22"/>
          <w:szCs w:val="22"/>
        </w:rPr>
        <w:t xml:space="preserve">the observed risk ratio is not surprising if the true risk ratio is between 0.49 and 1.31. </w:t>
      </w:r>
      <w:r w:rsidR="0022201F">
        <w:rPr>
          <w:bCs/>
          <w:iCs/>
          <w:color w:val="000000"/>
          <w:sz w:val="22"/>
          <w:szCs w:val="22"/>
        </w:rPr>
        <w:t xml:space="preserve">Therefore, </w:t>
      </w:r>
      <w:r w:rsidR="00D819D7">
        <w:rPr>
          <w:bCs/>
          <w:iCs/>
          <w:color w:val="000000"/>
          <w:sz w:val="22"/>
          <w:szCs w:val="22"/>
        </w:rPr>
        <w:t>we can’t reject the null hypothesis of no association between</w:t>
      </w:r>
      <w:r w:rsidR="00D819D7" w:rsidRPr="009D5804">
        <w:rPr>
          <w:sz w:val="22"/>
          <w:szCs w:val="22"/>
        </w:rPr>
        <w:t xml:space="preserve"> serum LDL and 5 year all-cause mortality</w:t>
      </w:r>
      <w:r w:rsidR="00D819D7">
        <w:rPr>
          <w:sz w:val="22"/>
          <w:szCs w:val="22"/>
        </w:rPr>
        <w:t>.</w:t>
      </w:r>
    </w:p>
    <w:p w14:paraId="490568F2" w14:textId="3E7288B0" w:rsidR="00061E6D" w:rsidRPr="00061E6D" w:rsidRDefault="00061E6D" w:rsidP="00061E6D">
      <w:pPr>
        <w:autoSpaceDE w:val="0"/>
        <w:autoSpaceDN w:val="0"/>
        <w:adjustRightInd w:val="0"/>
        <w:ind w:left="720"/>
        <w:rPr>
          <w:bCs/>
          <w:iCs/>
          <w:color w:val="000000"/>
          <w:sz w:val="22"/>
          <w:szCs w:val="22"/>
        </w:rPr>
      </w:pPr>
    </w:p>
    <w:p w14:paraId="72FBFB47" w14:textId="408428C7"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w:t>
      </w:r>
    </w:p>
    <w:p w14:paraId="196BD73D" w14:textId="5D9EEB51" w:rsidR="001E61C8" w:rsidRPr="0018235A" w:rsidRDefault="00716C73" w:rsidP="0018235A">
      <w:pPr>
        <w:autoSpaceDE w:val="0"/>
        <w:autoSpaceDN w:val="0"/>
        <w:adjustRightInd w:val="0"/>
        <w:ind w:left="720"/>
        <w:rPr>
          <w:b/>
          <w:bCs/>
          <w:i/>
          <w:iCs/>
          <w:color w:val="000000"/>
          <w:sz w:val="22"/>
          <w:szCs w:val="22"/>
        </w:rPr>
      </w:pPr>
      <w:r>
        <w:rPr>
          <w:b/>
          <w:bCs/>
          <w:i/>
          <w:iCs/>
          <w:color w:val="000000"/>
          <w:sz w:val="22"/>
          <w:szCs w:val="22"/>
          <w:u w:val="single"/>
        </w:rPr>
        <w:lastRenderedPageBreak/>
        <w:t>Methods:</w:t>
      </w:r>
      <w:r>
        <w:rPr>
          <w:b/>
          <w:bCs/>
          <w:i/>
          <w:iCs/>
          <w:color w:val="000000"/>
          <w:sz w:val="22"/>
          <w:szCs w:val="22"/>
        </w:rPr>
        <w:t xml:space="preserve"> </w:t>
      </w:r>
    </w:p>
    <w:p w14:paraId="2C5D977F" w14:textId="2620E5CF" w:rsidR="009A11BD" w:rsidRPr="00F045A0" w:rsidRDefault="009A11BD" w:rsidP="009A11BD">
      <w:pPr>
        <w:autoSpaceDE w:val="0"/>
        <w:autoSpaceDN w:val="0"/>
        <w:adjustRightInd w:val="0"/>
        <w:ind w:left="720"/>
        <w:rPr>
          <w:bCs/>
          <w:iCs/>
          <w:color w:val="000000"/>
          <w:sz w:val="22"/>
          <w:szCs w:val="22"/>
        </w:rPr>
      </w:pPr>
      <w:r>
        <w:rPr>
          <w:bCs/>
          <w:iCs/>
          <w:color w:val="000000"/>
          <w:sz w:val="22"/>
          <w:szCs w:val="22"/>
        </w:rPr>
        <w:t xml:space="preserve">Dichotomize LDL </w:t>
      </w:r>
      <w:r w:rsidR="0018235A">
        <w:rPr>
          <w:bCs/>
          <w:iCs/>
          <w:color w:val="000000"/>
          <w:sz w:val="22"/>
          <w:szCs w:val="22"/>
        </w:rPr>
        <w:t>in groups</w:t>
      </w:r>
      <w:r w:rsidR="00957031">
        <w:rPr>
          <w:bCs/>
          <w:iCs/>
          <w:color w:val="000000"/>
          <w:sz w:val="22"/>
          <w:szCs w:val="22"/>
        </w:rPr>
        <w:t xml:space="preserve"> </w:t>
      </w:r>
      <w:r w:rsidR="00957031" w:rsidRPr="009D5804">
        <w:rPr>
          <w:sz w:val="22"/>
          <w:szCs w:val="22"/>
        </w:rPr>
        <w:t>defined by</w:t>
      </w:r>
      <w:r w:rsidR="00957031">
        <w:rPr>
          <w:sz w:val="22"/>
          <w:szCs w:val="22"/>
        </w:rPr>
        <w:t xml:space="preserve"> whether the subjects have </w:t>
      </w:r>
      <w:r w:rsidR="00957031" w:rsidRPr="009D5804">
        <w:rPr>
          <w:sz w:val="22"/>
          <w:szCs w:val="22"/>
        </w:rPr>
        <w:t>serum LDL</w:t>
      </w:r>
      <w:r w:rsidR="00957031">
        <w:rPr>
          <w:sz w:val="22"/>
          <w:szCs w:val="22"/>
        </w:rPr>
        <w:t xml:space="preserve"> higher than 160 mg/dl or not</w:t>
      </w:r>
      <w:r w:rsidR="0018235A">
        <w:rPr>
          <w:bCs/>
          <w:iCs/>
          <w:color w:val="000000"/>
          <w:sz w:val="22"/>
          <w:szCs w:val="22"/>
        </w:rPr>
        <w:t xml:space="preserve"> </w:t>
      </w:r>
      <w:r>
        <w:rPr>
          <w:bCs/>
          <w:iCs/>
          <w:color w:val="000000"/>
          <w:sz w:val="22"/>
          <w:szCs w:val="22"/>
        </w:rPr>
        <w:t>and perform odd</w:t>
      </w:r>
      <w:r w:rsidR="00957031">
        <w:rPr>
          <w:bCs/>
          <w:iCs/>
          <w:color w:val="000000"/>
          <w:sz w:val="22"/>
          <w:szCs w:val="22"/>
        </w:rPr>
        <w:t>s</w:t>
      </w:r>
      <w:r>
        <w:rPr>
          <w:bCs/>
          <w:iCs/>
          <w:color w:val="000000"/>
          <w:sz w:val="22"/>
          <w:szCs w:val="22"/>
        </w:rPr>
        <w:t xml:space="preserve"> ratio test</w:t>
      </w:r>
      <w:r w:rsidR="0018235A">
        <w:rPr>
          <w:bCs/>
          <w:iCs/>
          <w:color w:val="000000"/>
          <w:sz w:val="22"/>
          <w:szCs w:val="22"/>
        </w:rPr>
        <w:t xml:space="preserve"> to compare the odds of death </w:t>
      </w:r>
      <w:r w:rsidR="0018235A" w:rsidRPr="009D5804">
        <w:rPr>
          <w:sz w:val="22"/>
          <w:szCs w:val="22"/>
        </w:rPr>
        <w:t>within 5 years across groups</w:t>
      </w:r>
      <w:r>
        <w:rPr>
          <w:bCs/>
          <w:iCs/>
          <w:color w:val="000000"/>
          <w:sz w:val="22"/>
          <w:szCs w:val="22"/>
        </w:rPr>
        <w:t>.</w:t>
      </w:r>
    </w:p>
    <w:p w14:paraId="0D8D803B" w14:textId="77777777" w:rsidR="0042460C" w:rsidRPr="0042460C" w:rsidRDefault="0042460C" w:rsidP="00ED0E43">
      <w:pPr>
        <w:autoSpaceDE w:val="0"/>
        <w:autoSpaceDN w:val="0"/>
        <w:adjustRightInd w:val="0"/>
        <w:rPr>
          <w:bCs/>
          <w:iCs/>
          <w:color w:val="000000"/>
          <w:sz w:val="22"/>
          <w:szCs w:val="22"/>
        </w:rPr>
      </w:pPr>
    </w:p>
    <w:p w14:paraId="03D9228F" w14:textId="1C6FC41B" w:rsidR="00716C73" w:rsidRDefault="00716C73" w:rsidP="0054202D">
      <w:pPr>
        <w:autoSpaceDE w:val="0"/>
        <w:autoSpaceDN w:val="0"/>
        <w:adjustRightInd w:val="0"/>
        <w:ind w:left="720"/>
        <w:rPr>
          <w:b/>
          <w:bCs/>
          <w:i/>
          <w:iCs/>
          <w:color w:val="000000"/>
          <w:sz w:val="22"/>
          <w:szCs w:val="22"/>
        </w:rPr>
      </w:pPr>
      <w:r>
        <w:rPr>
          <w:b/>
          <w:bCs/>
          <w:i/>
          <w:iCs/>
          <w:color w:val="000000"/>
          <w:sz w:val="22"/>
          <w:szCs w:val="22"/>
          <w:u w:val="single"/>
        </w:rPr>
        <w:t>Inference</w:t>
      </w:r>
    </w:p>
    <w:p w14:paraId="2BA9FDB3" w14:textId="432ADFFC" w:rsidR="0022201F" w:rsidRDefault="00ED0E43" w:rsidP="0022201F">
      <w:pPr>
        <w:autoSpaceDE w:val="0"/>
        <w:autoSpaceDN w:val="0"/>
        <w:adjustRightInd w:val="0"/>
        <w:ind w:left="720"/>
        <w:rPr>
          <w:bCs/>
          <w:iCs/>
          <w:color w:val="000000"/>
          <w:sz w:val="22"/>
          <w:szCs w:val="22"/>
        </w:rPr>
      </w:pPr>
      <w:r>
        <w:rPr>
          <w:bCs/>
          <w:iCs/>
          <w:color w:val="000000"/>
          <w:sz w:val="22"/>
          <w:szCs w:val="22"/>
        </w:rPr>
        <w:t xml:space="preserve">The odds </w:t>
      </w:r>
      <w:r w:rsidR="001E16F5">
        <w:rPr>
          <w:bCs/>
          <w:iCs/>
          <w:color w:val="000000"/>
          <w:sz w:val="22"/>
          <w:szCs w:val="22"/>
        </w:rPr>
        <w:t>of death within 5 years for participants who have serum LDL higher than 160 mg/dl and for participants who have serum LDL less than or equal to 160 mg/dl</w:t>
      </w:r>
      <w:r w:rsidR="00957031">
        <w:rPr>
          <w:bCs/>
          <w:iCs/>
          <w:color w:val="000000"/>
          <w:sz w:val="22"/>
          <w:szCs w:val="22"/>
        </w:rPr>
        <w:t xml:space="preserve"> </w:t>
      </w:r>
      <w:r w:rsidR="009C6456">
        <w:rPr>
          <w:bCs/>
          <w:iCs/>
          <w:color w:val="000000"/>
          <w:sz w:val="22"/>
          <w:szCs w:val="22"/>
        </w:rPr>
        <w:t>are 0.16</w:t>
      </w:r>
      <w:r>
        <w:rPr>
          <w:bCs/>
          <w:iCs/>
          <w:color w:val="000000"/>
          <w:sz w:val="22"/>
          <w:szCs w:val="22"/>
        </w:rPr>
        <w:t xml:space="preserve"> and </w:t>
      </w:r>
      <w:r w:rsidR="009C6456">
        <w:rPr>
          <w:bCs/>
          <w:iCs/>
          <w:color w:val="000000"/>
          <w:sz w:val="22"/>
          <w:szCs w:val="22"/>
        </w:rPr>
        <w:t>0.20</w:t>
      </w:r>
      <w:r>
        <w:rPr>
          <w:bCs/>
          <w:iCs/>
          <w:color w:val="000000"/>
          <w:sz w:val="22"/>
          <w:szCs w:val="22"/>
        </w:rPr>
        <w:t xml:space="preserve">, </w:t>
      </w:r>
      <w:r w:rsidR="00B0554E">
        <w:rPr>
          <w:bCs/>
          <w:iCs/>
          <w:color w:val="000000"/>
          <w:sz w:val="22"/>
          <w:szCs w:val="22"/>
        </w:rPr>
        <w:t xml:space="preserve">respectively. </w:t>
      </w:r>
      <w:r w:rsidR="00957031">
        <w:rPr>
          <w:bCs/>
          <w:iCs/>
          <w:color w:val="000000"/>
          <w:sz w:val="22"/>
          <w:szCs w:val="22"/>
        </w:rPr>
        <w:t>The observed odds</w:t>
      </w:r>
      <w:r w:rsidR="0040052F">
        <w:rPr>
          <w:bCs/>
          <w:iCs/>
          <w:color w:val="000000"/>
          <w:sz w:val="22"/>
          <w:szCs w:val="22"/>
        </w:rPr>
        <w:t xml:space="preserve"> of death within 5 years across groups are not </w:t>
      </w:r>
      <w:r w:rsidR="001E16F5">
        <w:rPr>
          <w:bCs/>
          <w:iCs/>
          <w:color w:val="000000"/>
          <w:sz w:val="22"/>
          <w:szCs w:val="22"/>
        </w:rPr>
        <w:t>statistically different (P=0.375</w:t>
      </w:r>
      <w:r w:rsidR="0040052F">
        <w:rPr>
          <w:bCs/>
          <w:iCs/>
          <w:color w:val="000000"/>
          <w:sz w:val="22"/>
          <w:szCs w:val="22"/>
        </w:rPr>
        <w:t xml:space="preserve">3). </w:t>
      </w:r>
      <w:r w:rsidR="00957031">
        <w:rPr>
          <w:bCs/>
          <w:iCs/>
          <w:color w:val="000000"/>
          <w:sz w:val="22"/>
          <w:szCs w:val="22"/>
        </w:rPr>
        <w:t>The estimated odds</w:t>
      </w:r>
      <w:r w:rsidR="001D1766">
        <w:rPr>
          <w:bCs/>
          <w:iCs/>
          <w:color w:val="000000"/>
          <w:sz w:val="22"/>
          <w:szCs w:val="22"/>
        </w:rPr>
        <w:t xml:space="preserve"> ratio is 0.77</w:t>
      </w:r>
      <w:r w:rsidR="0040052F">
        <w:rPr>
          <w:bCs/>
          <w:iCs/>
          <w:color w:val="000000"/>
          <w:sz w:val="22"/>
          <w:szCs w:val="22"/>
        </w:rPr>
        <w:t xml:space="preserve"> and 95% CI indicate the observed risk ratio is not surp</w:t>
      </w:r>
      <w:r w:rsidR="00957031">
        <w:rPr>
          <w:bCs/>
          <w:iCs/>
          <w:color w:val="000000"/>
          <w:sz w:val="22"/>
          <w:szCs w:val="22"/>
        </w:rPr>
        <w:t>rising if the true odds</w:t>
      </w:r>
      <w:r w:rsidR="0040052F">
        <w:rPr>
          <w:bCs/>
          <w:iCs/>
          <w:color w:val="000000"/>
          <w:sz w:val="22"/>
          <w:szCs w:val="22"/>
        </w:rPr>
        <w:t xml:space="preserve"> ratio is bet</w:t>
      </w:r>
      <w:r w:rsidR="001D1766">
        <w:rPr>
          <w:bCs/>
          <w:iCs/>
          <w:color w:val="000000"/>
          <w:sz w:val="22"/>
          <w:szCs w:val="22"/>
        </w:rPr>
        <w:t>ween 0.41 and 1.39</w:t>
      </w:r>
      <w:r w:rsidR="0040052F">
        <w:rPr>
          <w:bCs/>
          <w:iCs/>
          <w:color w:val="000000"/>
          <w:sz w:val="22"/>
          <w:szCs w:val="22"/>
        </w:rPr>
        <w:t xml:space="preserve">. </w:t>
      </w:r>
      <w:r w:rsidR="0022201F">
        <w:rPr>
          <w:bCs/>
          <w:iCs/>
          <w:color w:val="000000"/>
          <w:sz w:val="22"/>
          <w:szCs w:val="22"/>
        </w:rPr>
        <w:t xml:space="preserve">Therefore, we </w:t>
      </w:r>
      <w:r w:rsidR="00F70B3E">
        <w:rPr>
          <w:bCs/>
          <w:iCs/>
          <w:color w:val="000000"/>
          <w:sz w:val="22"/>
          <w:szCs w:val="22"/>
        </w:rPr>
        <w:t>can’</w:t>
      </w:r>
      <w:r w:rsidR="001258D5">
        <w:rPr>
          <w:bCs/>
          <w:iCs/>
          <w:color w:val="000000"/>
          <w:sz w:val="22"/>
          <w:szCs w:val="22"/>
        </w:rPr>
        <w:t>t reject the null hypothesis of no</w:t>
      </w:r>
      <w:r w:rsidR="0022201F">
        <w:rPr>
          <w:bCs/>
          <w:iCs/>
          <w:color w:val="000000"/>
          <w:sz w:val="22"/>
          <w:szCs w:val="22"/>
        </w:rPr>
        <w:t xml:space="preserve"> association between</w:t>
      </w:r>
      <w:r w:rsidR="0022201F" w:rsidRPr="009D5804">
        <w:rPr>
          <w:sz w:val="22"/>
          <w:szCs w:val="22"/>
        </w:rPr>
        <w:t xml:space="preserve"> serum LDL and 5 year all-cause mortality</w:t>
      </w:r>
      <w:r w:rsidR="0022201F">
        <w:rPr>
          <w:sz w:val="22"/>
          <w:szCs w:val="22"/>
        </w:rPr>
        <w:t>.</w:t>
      </w:r>
    </w:p>
    <w:p w14:paraId="06C2F6BC" w14:textId="77777777" w:rsidR="0054202D" w:rsidRDefault="0054202D" w:rsidP="00F16837">
      <w:pPr>
        <w:autoSpaceDE w:val="0"/>
        <w:autoSpaceDN w:val="0"/>
        <w:adjustRightInd w:val="0"/>
        <w:rPr>
          <w:bCs/>
          <w:iCs/>
          <w:color w:val="000000"/>
          <w:sz w:val="22"/>
          <w:szCs w:val="22"/>
        </w:rPr>
      </w:pPr>
    </w:p>
    <w:p w14:paraId="0080433F" w14:textId="77777777" w:rsidR="0054202D" w:rsidRPr="0054202D" w:rsidRDefault="0054202D" w:rsidP="0054202D">
      <w:pPr>
        <w:autoSpaceDE w:val="0"/>
        <w:autoSpaceDN w:val="0"/>
        <w:adjustRightInd w:val="0"/>
        <w:ind w:left="720"/>
        <w:rPr>
          <w:sz w:val="22"/>
          <w:szCs w:val="22"/>
        </w:rPr>
      </w:pPr>
    </w:p>
    <w:p w14:paraId="47E3D339" w14:textId="225E015D" w:rsidR="00F76F1A" w:rsidRDefault="00F76F1A" w:rsidP="00F76F1A">
      <w:pPr>
        <w:numPr>
          <w:ilvl w:val="0"/>
          <w:numId w:val="1"/>
        </w:numPr>
        <w:autoSpaceDE w:val="0"/>
        <w:autoSpaceDN w:val="0"/>
        <w:adjustRightInd w:val="0"/>
        <w:spacing w:after="120"/>
        <w:rPr>
          <w:sz w:val="22"/>
          <w:szCs w:val="22"/>
        </w:rPr>
      </w:pPr>
      <w:commentRangeStart w:id="5"/>
      <w:r w:rsidRPr="009D5804">
        <w:rPr>
          <w:sz w:val="22"/>
          <w:szCs w:val="22"/>
        </w:rPr>
        <w:t>Perform</w:t>
      </w:r>
      <w:commentRangeEnd w:id="5"/>
      <w:r w:rsidR="001269EB">
        <w:rPr>
          <w:rStyle w:val="CommentReference"/>
        </w:rPr>
        <w:commentReference w:id="5"/>
      </w:r>
      <w:r w:rsidRPr="009D5804">
        <w:rPr>
          <w:sz w:val="22"/>
          <w:szCs w:val="22"/>
        </w:rPr>
        <w:t xml:space="preserve">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sidR="0004589C">
        <w:rPr>
          <w:sz w:val="22"/>
          <w:szCs w:val="22"/>
        </w:rPr>
        <w:t xml:space="preserve"> </w:t>
      </w:r>
    </w:p>
    <w:p w14:paraId="2C89419A" w14:textId="320DF62F"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087D1B9F" w14:textId="546E59B1" w:rsidR="0042460C" w:rsidRDefault="00A95B85" w:rsidP="00716C73">
      <w:pPr>
        <w:autoSpaceDE w:val="0"/>
        <w:autoSpaceDN w:val="0"/>
        <w:adjustRightInd w:val="0"/>
        <w:ind w:left="720"/>
        <w:rPr>
          <w:bCs/>
          <w:iCs/>
          <w:color w:val="000000"/>
          <w:sz w:val="22"/>
          <w:szCs w:val="22"/>
        </w:rPr>
      </w:pPr>
      <w:commentRangeStart w:id="7"/>
      <w:r>
        <w:rPr>
          <w:bCs/>
          <w:iCs/>
          <w:color w:val="000000"/>
          <w:sz w:val="22"/>
          <w:szCs w:val="22"/>
        </w:rPr>
        <w:t xml:space="preserve">Dichotomize LDL in groups </w:t>
      </w:r>
      <w:r w:rsidRPr="009D5804">
        <w:rPr>
          <w:sz w:val="22"/>
          <w:szCs w:val="22"/>
        </w:rPr>
        <w:t>defined by</w:t>
      </w:r>
      <w:r>
        <w:rPr>
          <w:sz w:val="22"/>
          <w:szCs w:val="22"/>
        </w:rPr>
        <w:t xml:space="preserve"> whether the</w:t>
      </w:r>
      <w:r w:rsidR="000828AD">
        <w:rPr>
          <w:sz w:val="22"/>
          <w:szCs w:val="22"/>
        </w:rPr>
        <w:t xml:space="preserve"> participant</w:t>
      </w:r>
      <w:r>
        <w:rPr>
          <w:sz w:val="22"/>
          <w:szCs w:val="22"/>
        </w:rPr>
        <w:t xml:space="preserve">s have </w:t>
      </w:r>
      <w:r w:rsidRPr="009D5804">
        <w:rPr>
          <w:sz w:val="22"/>
          <w:szCs w:val="22"/>
        </w:rPr>
        <w:t>serum LDL</w:t>
      </w:r>
      <w:r w:rsidR="00726CA1">
        <w:rPr>
          <w:sz w:val="22"/>
          <w:szCs w:val="22"/>
        </w:rPr>
        <w:t xml:space="preserve"> higher than 160 mg/dl </w:t>
      </w:r>
      <w:commentRangeEnd w:id="7"/>
      <w:r w:rsidR="00AC0495">
        <w:rPr>
          <w:rStyle w:val="CommentReference"/>
        </w:rPr>
        <w:commentReference w:id="7"/>
      </w:r>
      <w:r w:rsidR="0018235A">
        <w:rPr>
          <w:bCs/>
          <w:iCs/>
          <w:color w:val="000000"/>
          <w:sz w:val="22"/>
          <w:szCs w:val="22"/>
        </w:rPr>
        <w:t>and p</w:t>
      </w:r>
      <w:r w:rsidR="00663164">
        <w:rPr>
          <w:bCs/>
          <w:iCs/>
          <w:color w:val="000000"/>
          <w:sz w:val="22"/>
          <w:szCs w:val="22"/>
        </w:rPr>
        <w:t xml:space="preserve">erform </w:t>
      </w:r>
      <w:r w:rsidR="009438C2">
        <w:rPr>
          <w:bCs/>
          <w:iCs/>
          <w:color w:val="000000"/>
          <w:sz w:val="22"/>
          <w:szCs w:val="22"/>
        </w:rPr>
        <w:t xml:space="preserve">a </w:t>
      </w:r>
      <w:r w:rsidR="00663164">
        <w:rPr>
          <w:bCs/>
          <w:iCs/>
          <w:color w:val="000000"/>
          <w:sz w:val="22"/>
          <w:szCs w:val="22"/>
        </w:rPr>
        <w:t>log-r</w:t>
      </w:r>
      <w:r w:rsidR="0004589C">
        <w:rPr>
          <w:bCs/>
          <w:iCs/>
          <w:color w:val="000000"/>
          <w:sz w:val="22"/>
          <w:szCs w:val="22"/>
        </w:rPr>
        <w:t xml:space="preserve">ank </w:t>
      </w:r>
      <w:r w:rsidR="00663164">
        <w:rPr>
          <w:bCs/>
          <w:iCs/>
          <w:color w:val="000000"/>
          <w:sz w:val="22"/>
          <w:szCs w:val="22"/>
        </w:rPr>
        <w:t xml:space="preserve">test </w:t>
      </w:r>
      <w:r w:rsidR="00E53336">
        <w:rPr>
          <w:bCs/>
          <w:iCs/>
          <w:color w:val="000000"/>
          <w:sz w:val="22"/>
          <w:szCs w:val="22"/>
        </w:rPr>
        <w:t xml:space="preserve">to compare the </w:t>
      </w:r>
      <w:r w:rsidR="0018235A" w:rsidRPr="009D5804">
        <w:rPr>
          <w:sz w:val="22"/>
          <w:szCs w:val="22"/>
        </w:rPr>
        <w:t>instantaneous risk of death across groups</w:t>
      </w:r>
      <w:r w:rsidR="0018235A">
        <w:rPr>
          <w:sz w:val="22"/>
          <w:szCs w:val="22"/>
        </w:rPr>
        <w:t>.</w:t>
      </w:r>
    </w:p>
    <w:p w14:paraId="4299617A" w14:textId="77777777" w:rsidR="0042460C" w:rsidRPr="0042460C" w:rsidRDefault="0042460C" w:rsidP="00716C73">
      <w:pPr>
        <w:autoSpaceDE w:val="0"/>
        <w:autoSpaceDN w:val="0"/>
        <w:adjustRightInd w:val="0"/>
        <w:ind w:left="720"/>
        <w:rPr>
          <w:bCs/>
          <w:iCs/>
          <w:color w:val="000000"/>
          <w:sz w:val="22"/>
          <w:szCs w:val="22"/>
        </w:rPr>
      </w:pPr>
    </w:p>
    <w:p w14:paraId="28A67D86" w14:textId="4734A7BB" w:rsidR="00716C73" w:rsidRDefault="00716C73" w:rsidP="00716C73">
      <w:pPr>
        <w:autoSpaceDE w:val="0"/>
        <w:autoSpaceDN w:val="0"/>
        <w:adjustRightInd w:val="0"/>
        <w:ind w:left="720"/>
        <w:rPr>
          <w:b/>
          <w:bCs/>
          <w:i/>
          <w:iCs/>
          <w:color w:val="000000"/>
          <w:sz w:val="22"/>
          <w:szCs w:val="22"/>
        </w:rPr>
      </w:pPr>
      <w:commentRangeStart w:id="8"/>
      <w:r>
        <w:rPr>
          <w:b/>
          <w:bCs/>
          <w:i/>
          <w:iCs/>
          <w:color w:val="000000"/>
          <w:sz w:val="22"/>
          <w:szCs w:val="22"/>
          <w:u w:val="single"/>
        </w:rPr>
        <w:t>Inference</w:t>
      </w:r>
      <w:r>
        <w:rPr>
          <w:b/>
          <w:bCs/>
          <w:i/>
          <w:iCs/>
          <w:color w:val="000000"/>
          <w:sz w:val="22"/>
          <w:szCs w:val="22"/>
        </w:rPr>
        <w:t xml:space="preserve">: </w:t>
      </w:r>
      <w:commentRangeEnd w:id="8"/>
      <w:r w:rsidR="00710F4B">
        <w:rPr>
          <w:rStyle w:val="CommentReference"/>
        </w:rPr>
        <w:commentReference w:id="8"/>
      </w:r>
    </w:p>
    <w:p w14:paraId="57E103C6" w14:textId="6161C34A" w:rsidR="00E53B9A" w:rsidRDefault="00E53B9A" w:rsidP="0033397B">
      <w:pPr>
        <w:autoSpaceDE w:val="0"/>
        <w:autoSpaceDN w:val="0"/>
        <w:adjustRightInd w:val="0"/>
        <w:spacing w:after="120"/>
        <w:ind w:left="720"/>
        <w:rPr>
          <w:sz w:val="22"/>
          <w:szCs w:val="22"/>
        </w:rPr>
      </w:pPr>
      <w:r>
        <w:rPr>
          <w:sz w:val="22"/>
          <w:szCs w:val="22"/>
        </w:rPr>
        <w:t xml:space="preserve">Based on </w:t>
      </w:r>
      <w:commentRangeStart w:id="9"/>
      <w:r w:rsidR="00E602A6">
        <w:rPr>
          <w:sz w:val="22"/>
          <w:szCs w:val="22"/>
        </w:rPr>
        <w:t>P=0.2664</w:t>
      </w:r>
      <w:commentRangeEnd w:id="9"/>
      <w:r w:rsidR="009D6DB8">
        <w:rPr>
          <w:rStyle w:val="CommentReference"/>
        </w:rPr>
        <w:commentReference w:id="9"/>
      </w:r>
      <w:r>
        <w:rPr>
          <w:sz w:val="22"/>
          <w:szCs w:val="22"/>
        </w:rPr>
        <w:t xml:space="preserve">, </w:t>
      </w:r>
      <w:r w:rsidR="00A00E7C">
        <w:rPr>
          <w:sz w:val="22"/>
          <w:szCs w:val="22"/>
        </w:rPr>
        <w:t xml:space="preserve">it indicates that the survival distribution across groups </w:t>
      </w:r>
      <w:r w:rsidR="005F17AA">
        <w:rPr>
          <w:sz w:val="22"/>
          <w:szCs w:val="22"/>
        </w:rPr>
        <w:t>defined by whether the participant</w:t>
      </w:r>
      <w:r w:rsidR="00A00E7C" w:rsidRPr="009D5804">
        <w:rPr>
          <w:sz w:val="22"/>
          <w:szCs w:val="22"/>
        </w:rPr>
        <w:t>s have high serum LDL</w:t>
      </w:r>
      <w:r w:rsidR="002C771C">
        <w:rPr>
          <w:sz w:val="22"/>
          <w:szCs w:val="22"/>
        </w:rPr>
        <w:t xml:space="preserve"> is not statistically different</w:t>
      </w:r>
      <w:r w:rsidR="00A00E7C">
        <w:rPr>
          <w:sz w:val="22"/>
          <w:szCs w:val="22"/>
        </w:rPr>
        <w:t>. Therefore, w</w:t>
      </w:r>
      <w:r>
        <w:rPr>
          <w:sz w:val="22"/>
          <w:szCs w:val="22"/>
        </w:rPr>
        <w:t xml:space="preserve">e can’t reject the null hypothesis that the probabilities of survival </w:t>
      </w:r>
      <w:r w:rsidR="005F17AA">
        <w:rPr>
          <w:sz w:val="22"/>
          <w:szCs w:val="22"/>
        </w:rPr>
        <w:t xml:space="preserve">are the same for the participants who </w:t>
      </w:r>
      <w:r>
        <w:rPr>
          <w:sz w:val="22"/>
          <w:szCs w:val="22"/>
        </w:rPr>
        <w:t>serum L</w:t>
      </w:r>
      <w:r w:rsidR="005F17AA">
        <w:rPr>
          <w:sz w:val="22"/>
          <w:szCs w:val="22"/>
        </w:rPr>
        <w:t>DL are higher than 160 mg/dl and for the participants who serum LDL are less than or equal to 160 mg/</w:t>
      </w:r>
      <w:commentRangeStart w:id="10"/>
      <w:r w:rsidR="005F17AA">
        <w:rPr>
          <w:sz w:val="22"/>
          <w:szCs w:val="22"/>
        </w:rPr>
        <w:t>dl</w:t>
      </w:r>
      <w:commentRangeEnd w:id="10"/>
      <w:r w:rsidR="00CA6FEC">
        <w:rPr>
          <w:rStyle w:val="CommentReference"/>
        </w:rPr>
        <w:commentReference w:id="10"/>
      </w:r>
      <w:r w:rsidR="005F17AA">
        <w:rPr>
          <w:sz w:val="22"/>
          <w:szCs w:val="22"/>
        </w:rPr>
        <w:t>.</w:t>
      </w:r>
    </w:p>
    <w:p w14:paraId="3A642C47" w14:textId="77777777" w:rsidR="00584F34" w:rsidRDefault="00584F34" w:rsidP="0033397B">
      <w:pPr>
        <w:autoSpaceDE w:val="0"/>
        <w:autoSpaceDN w:val="0"/>
        <w:adjustRightInd w:val="0"/>
        <w:spacing w:after="120"/>
        <w:ind w:left="720"/>
        <w:rPr>
          <w:sz w:val="22"/>
          <w:szCs w:val="22"/>
        </w:rPr>
      </w:pPr>
    </w:p>
    <w:p w14:paraId="04CF6979" w14:textId="10C9B6A2" w:rsidR="00495747" w:rsidRDefault="003A2122" w:rsidP="00716C73">
      <w:pPr>
        <w:autoSpaceDE w:val="0"/>
        <w:autoSpaceDN w:val="0"/>
        <w:adjustRightInd w:val="0"/>
        <w:spacing w:after="120"/>
        <w:ind w:left="720"/>
        <w:rPr>
          <w:sz w:val="22"/>
          <w:szCs w:val="22"/>
        </w:rPr>
      </w:pPr>
      <w:r>
        <w:rPr>
          <w:noProof/>
          <w:sz w:val="22"/>
          <w:szCs w:val="22"/>
        </w:rPr>
        <w:drawing>
          <wp:inline distT="0" distB="0" distL="0" distR="0" wp14:anchorId="25700D9D" wp14:editId="4A98676E">
            <wp:extent cx="4002906" cy="2911373"/>
            <wp:effectExtent l="0" t="0" r="1079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jpg"/>
                    <pic:cNvPicPr/>
                  </pic:nvPicPr>
                  <pic:blipFill>
                    <a:blip r:embed="rId7">
                      <a:extLst>
                        <a:ext uri="{28A0092B-C50C-407E-A947-70E740481C1C}">
                          <a14:useLocalDpi xmlns:a14="http://schemas.microsoft.com/office/drawing/2010/main" val="0"/>
                        </a:ext>
                      </a:extLst>
                    </a:blip>
                    <a:stretch>
                      <a:fillRect/>
                    </a:stretch>
                  </pic:blipFill>
                  <pic:spPr>
                    <a:xfrm>
                      <a:off x="0" y="0"/>
                      <a:ext cx="4003426" cy="2911752"/>
                    </a:xfrm>
                    <a:prstGeom prst="rect">
                      <a:avLst/>
                    </a:prstGeom>
                  </pic:spPr>
                </pic:pic>
              </a:graphicData>
            </a:graphic>
          </wp:inline>
        </w:drawing>
      </w:r>
    </w:p>
    <w:p w14:paraId="4A138AFF" w14:textId="77777777" w:rsidR="00896292" w:rsidRPr="009D5804" w:rsidRDefault="00896292" w:rsidP="00716C73">
      <w:pPr>
        <w:autoSpaceDE w:val="0"/>
        <w:autoSpaceDN w:val="0"/>
        <w:adjustRightInd w:val="0"/>
        <w:spacing w:after="120"/>
        <w:ind w:left="720"/>
        <w:rPr>
          <w:sz w:val="22"/>
          <w:szCs w:val="22"/>
        </w:rPr>
      </w:pPr>
    </w:p>
    <w:p w14:paraId="2E4A63D9" w14:textId="159B3859" w:rsidR="001416B2" w:rsidRDefault="00F76F1A" w:rsidP="00C1528C">
      <w:pPr>
        <w:numPr>
          <w:ilvl w:val="0"/>
          <w:numId w:val="1"/>
        </w:numPr>
        <w:autoSpaceDE w:val="0"/>
        <w:autoSpaceDN w:val="0"/>
        <w:adjustRightInd w:val="0"/>
        <w:spacing w:after="120"/>
        <w:rPr>
          <w:sz w:val="22"/>
          <w:szCs w:val="22"/>
        </w:rPr>
      </w:pPr>
      <w:commentRangeStart w:id="11"/>
      <w:r w:rsidRPr="009D5804">
        <w:rPr>
          <w:sz w:val="22"/>
          <w:szCs w:val="22"/>
        </w:rPr>
        <w:t>Supposing</w:t>
      </w:r>
      <w:commentRangeEnd w:id="11"/>
      <w:r w:rsidR="00A5236A">
        <w:rPr>
          <w:rStyle w:val="CommentReference"/>
        </w:rPr>
        <w:commentReference w:id="11"/>
      </w:r>
      <w:r w:rsidRPr="009D5804">
        <w:rPr>
          <w:sz w:val="22"/>
          <w:szCs w:val="22"/>
        </w:rPr>
        <w:t xml:space="preserve">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r>
        <w:rPr>
          <w:sz w:val="22"/>
          <w:szCs w:val="22"/>
        </w:rPr>
        <w:t xml:space="preserve"> Choose which one is the best method and explain why. </w:t>
      </w:r>
      <w:proofErr w:type="gramStart"/>
      <w:r>
        <w:rPr>
          <w:sz w:val="22"/>
          <w:szCs w:val="22"/>
        </w:rPr>
        <w:t>scientific</w:t>
      </w:r>
      <w:proofErr w:type="gramEnd"/>
      <w:r>
        <w:rPr>
          <w:sz w:val="22"/>
          <w:szCs w:val="22"/>
        </w:rPr>
        <w:t xml:space="preserve"> reason. </w:t>
      </w:r>
    </w:p>
    <w:p w14:paraId="2A7B595C" w14:textId="4BB4A67B" w:rsidR="00C1528C" w:rsidRDefault="00C1528C" w:rsidP="00C1528C">
      <w:pPr>
        <w:autoSpaceDE w:val="0"/>
        <w:autoSpaceDN w:val="0"/>
        <w:adjustRightInd w:val="0"/>
        <w:ind w:left="720"/>
        <w:rPr>
          <w:b/>
          <w:bCs/>
          <w:i/>
          <w:iCs/>
          <w:color w:val="000000"/>
          <w:sz w:val="22"/>
          <w:szCs w:val="22"/>
        </w:rPr>
      </w:pPr>
      <w:r>
        <w:rPr>
          <w:b/>
          <w:bCs/>
          <w:i/>
          <w:iCs/>
          <w:color w:val="000000"/>
          <w:sz w:val="22"/>
          <w:szCs w:val="22"/>
          <w:u w:val="single"/>
        </w:rPr>
        <w:t>Methods:</w:t>
      </w:r>
    </w:p>
    <w:p w14:paraId="270C8B30" w14:textId="7E6DC60B" w:rsidR="00883194" w:rsidRPr="00970118" w:rsidRDefault="00661A2D" w:rsidP="00C1528C">
      <w:pPr>
        <w:autoSpaceDE w:val="0"/>
        <w:autoSpaceDN w:val="0"/>
        <w:adjustRightInd w:val="0"/>
        <w:ind w:left="720"/>
        <w:rPr>
          <w:rFonts w:ascii="PMingLiU" w:eastAsia="PMingLiU" w:hAnsi="PMingLiU" w:cs="PMingLiU"/>
          <w:bCs/>
          <w:iCs/>
          <w:color w:val="000000"/>
          <w:sz w:val="22"/>
          <w:szCs w:val="22"/>
          <w:lang w:eastAsia="zh-TW"/>
        </w:rPr>
      </w:pPr>
      <w:r>
        <w:rPr>
          <w:bCs/>
          <w:iCs/>
          <w:color w:val="000000"/>
          <w:sz w:val="22"/>
          <w:szCs w:val="22"/>
        </w:rPr>
        <w:t xml:space="preserve">I would prefer </w:t>
      </w:r>
      <w:r w:rsidR="00BC20A4">
        <w:rPr>
          <w:bCs/>
          <w:iCs/>
          <w:color w:val="000000"/>
          <w:sz w:val="22"/>
          <w:szCs w:val="22"/>
        </w:rPr>
        <w:t xml:space="preserve">a </w:t>
      </w:r>
      <w:commentRangeStart w:id="12"/>
      <w:r>
        <w:rPr>
          <w:bCs/>
          <w:iCs/>
          <w:color w:val="000000"/>
          <w:sz w:val="22"/>
          <w:szCs w:val="22"/>
        </w:rPr>
        <w:t xml:space="preserve">log-rank test to compare the </w:t>
      </w:r>
      <w:r>
        <w:rPr>
          <w:sz w:val="22"/>
          <w:szCs w:val="22"/>
        </w:rPr>
        <w:t xml:space="preserve">survival distribution </w:t>
      </w:r>
      <w:commentRangeEnd w:id="12"/>
      <w:r w:rsidR="00516B1C">
        <w:rPr>
          <w:rStyle w:val="CommentReference"/>
        </w:rPr>
        <w:commentReference w:id="12"/>
      </w:r>
      <w:r>
        <w:rPr>
          <w:sz w:val="22"/>
          <w:szCs w:val="22"/>
        </w:rPr>
        <w:t xml:space="preserve">across groups defined by whether the participants have </w:t>
      </w:r>
      <w:r w:rsidRPr="009D5804">
        <w:rPr>
          <w:sz w:val="22"/>
          <w:szCs w:val="22"/>
        </w:rPr>
        <w:t>serum LDL</w:t>
      </w:r>
      <w:r>
        <w:rPr>
          <w:sz w:val="22"/>
          <w:szCs w:val="22"/>
        </w:rPr>
        <w:t xml:space="preserve"> higher than 160 mg/dl. </w:t>
      </w:r>
      <w:r w:rsidR="00671464">
        <w:rPr>
          <w:sz w:val="22"/>
          <w:szCs w:val="22"/>
        </w:rPr>
        <w:t xml:space="preserve">I would consider </w:t>
      </w:r>
      <w:commentRangeStart w:id="13"/>
      <w:r w:rsidR="00671464">
        <w:rPr>
          <w:sz w:val="22"/>
          <w:szCs w:val="22"/>
        </w:rPr>
        <w:t>serum LDL values</w:t>
      </w:r>
      <w:r w:rsidR="0033112A">
        <w:rPr>
          <w:sz w:val="22"/>
          <w:szCs w:val="22"/>
        </w:rPr>
        <w:t xml:space="preserve"> as </w:t>
      </w:r>
      <w:r w:rsidR="00970118">
        <w:rPr>
          <w:sz w:val="22"/>
          <w:szCs w:val="22"/>
        </w:rPr>
        <w:t xml:space="preserve">the </w:t>
      </w:r>
      <w:r w:rsidR="0033112A">
        <w:rPr>
          <w:sz w:val="22"/>
          <w:szCs w:val="22"/>
        </w:rPr>
        <w:t>primary of interest</w:t>
      </w:r>
      <w:commentRangeEnd w:id="13"/>
      <w:r w:rsidR="000C70E5">
        <w:rPr>
          <w:rStyle w:val="CommentReference"/>
        </w:rPr>
        <w:commentReference w:id="13"/>
      </w:r>
      <w:r w:rsidR="0033112A">
        <w:rPr>
          <w:sz w:val="22"/>
          <w:szCs w:val="22"/>
        </w:rPr>
        <w:t xml:space="preserve"> and </w:t>
      </w:r>
      <w:r w:rsidR="00970118">
        <w:rPr>
          <w:sz w:val="22"/>
          <w:szCs w:val="22"/>
        </w:rPr>
        <w:t>mortality as t</w:t>
      </w:r>
      <w:r w:rsidR="00671464">
        <w:rPr>
          <w:sz w:val="22"/>
          <w:szCs w:val="22"/>
        </w:rPr>
        <w:t xml:space="preserve">he response, since many research have suggested </w:t>
      </w:r>
      <w:r w:rsidR="00EE037A">
        <w:rPr>
          <w:sz w:val="22"/>
          <w:szCs w:val="22"/>
        </w:rPr>
        <w:t>serum LDL values could be</w:t>
      </w:r>
      <w:r w:rsidR="00970118">
        <w:rPr>
          <w:sz w:val="22"/>
          <w:szCs w:val="22"/>
        </w:rPr>
        <w:t xml:space="preserve"> a risk factor for mortality.</w:t>
      </w:r>
      <w:r w:rsidR="00671464">
        <w:rPr>
          <w:sz w:val="22"/>
          <w:szCs w:val="22"/>
        </w:rPr>
        <w:t xml:space="preserve"> Therefore, investigate the mortality across groups defined by serum LDL values would be more appropriate. </w:t>
      </w:r>
    </w:p>
    <w:p w14:paraId="27446F28" w14:textId="77777777" w:rsidR="00883194" w:rsidRPr="00883194" w:rsidRDefault="00883194" w:rsidP="00C1528C">
      <w:pPr>
        <w:autoSpaceDE w:val="0"/>
        <w:autoSpaceDN w:val="0"/>
        <w:adjustRightInd w:val="0"/>
        <w:ind w:left="720"/>
        <w:rPr>
          <w:bCs/>
          <w:iCs/>
          <w:color w:val="000000"/>
          <w:sz w:val="22"/>
          <w:szCs w:val="22"/>
        </w:rPr>
      </w:pPr>
    </w:p>
    <w:p w14:paraId="25277327" w14:textId="77777777" w:rsidR="00262159" w:rsidRPr="00C1528C" w:rsidRDefault="00262159" w:rsidP="00C1528C">
      <w:pPr>
        <w:autoSpaceDE w:val="0"/>
        <w:autoSpaceDN w:val="0"/>
        <w:adjustRightInd w:val="0"/>
        <w:spacing w:after="120"/>
        <w:ind w:left="720"/>
        <w:rPr>
          <w:sz w:val="22"/>
          <w:szCs w:val="22"/>
        </w:rPr>
      </w:pPr>
    </w:p>
    <w:sectPr w:rsidR="00262159" w:rsidRPr="00C1528C" w:rsidSect="003476FB">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2364F6E" w14:textId="4EF739A0" w:rsidR="0011451B" w:rsidRDefault="0011451B">
      <w:pPr>
        <w:pStyle w:val="CommentText"/>
      </w:pPr>
      <w:r>
        <w:rPr>
          <w:rStyle w:val="CommentReference"/>
        </w:rPr>
        <w:annotationRef/>
      </w:r>
      <w:r>
        <w:t>7/10. Three points deducted for not discussing on your findings.</w:t>
      </w:r>
    </w:p>
  </w:comment>
  <w:comment w:id="1" w:author="Author" w:initials="A">
    <w:p w14:paraId="66D1C2E4" w14:textId="47297833" w:rsidR="0011451B" w:rsidRDefault="0011451B">
      <w:pPr>
        <w:pStyle w:val="CommentText"/>
      </w:pPr>
      <w:r>
        <w:rPr>
          <w:rStyle w:val="CommentReference"/>
        </w:rPr>
        <w:annotationRef/>
      </w:r>
      <w:r>
        <w:t>Good table, although it would have been better to make the number of missing observations for each variables more clear.</w:t>
      </w:r>
      <w:r w:rsidR="00516B1C">
        <w:t xml:space="preserve"> Also, </w:t>
      </w:r>
      <w:r>
        <w:t>a couple significant figures would have been better.</w:t>
      </w:r>
    </w:p>
  </w:comment>
  <w:comment w:id="2" w:author="Author" w:initials="A">
    <w:p w14:paraId="086BBB96" w14:textId="3A87CF90" w:rsidR="009D6DB8" w:rsidRDefault="009D6DB8">
      <w:pPr>
        <w:pStyle w:val="CommentText"/>
      </w:pPr>
      <w:r>
        <w:rPr>
          <w:rStyle w:val="CommentReference"/>
        </w:rPr>
        <w:annotationRef/>
      </w:r>
      <w:r w:rsidR="000C70E5">
        <w:t>6</w:t>
      </w:r>
      <w:r>
        <w:t>.5/10</w:t>
      </w:r>
    </w:p>
  </w:comment>
  <w:comment w:id="3" w:author="Author" w:initials="A">
    <w:p w14:paraId="12177B38" w14:textId="51CD95BC" w:rsidR="0011451B" w:rsidRDefault="0011451B">
      <w:pPr>
        <w:pStyle w:val="CommentText"/>
      </w:pPr>
      <w:r>
        <w:rPr>
          <w:rStyle w:val="CommentReference"/>
        </w:rPr>
        <w:annotationRef/>
      </w:r>
      <w:r w:rsidR="009B4284">
        <w:t>Did you assume equal or unequal variances for your analysis? (-1 point)</w:t>
      </w:r>
      <w:r w:rsidR="001269EB">
        <w:t>. Also, in the method, you need to specify how you got your point estimates (i.e. by exponentiating the coefficients from analysis output)</w:t>
      </w:r>
      <w:r w:rsidR="000C70E5">
        <w:t xml:space="preserve"> (-1 point)</w:t>
      </w:r>
    </w:p>
  </w:comment>
  <w:comment w:id="4" w:author="Author" w:initials="A">
    <w:p w14:paraId="09AE700A" w14:textId="486B03E5" w:rsidR="009B4284" w:rsidRDefault="009B4284">
      <w:pPr>
        <w:pStyle w:val="CommentText"/>
      </w:pPr>
      <w:r>
        <w:rPr>
          <w:rStyle w:val="CommentReference"/>
        </w:rPr>
        <w:annotationRef/>
      </w:r>
      <w:r>
        <w:t>One or two sided p-value? Need to interpret the 95% CI. (-1.5)</w:t>
      </w:r>
    </w:p>
  </w:comment>
  <w:comment w:id="5" w:author="Author" w:initials="A">
    <w:p w14:paraId="3AC8584A" w14:textId="26C31CD2" w:rsidR="001269EB" w:rsidRDefault="001269EB">
      <w:pPr>
        <w:pStyle w:val="CommentText"/>
      </w:pPr>
      <w:r>
        <w:rPr>
          <w:rStyle w:val="CommentReference"/>
        </w:rPr>
        <w:annotationRef/>
      </w:r>
      <w:r w:rsidR="00257BEE">
        <w:t>5</w:t>
      </w:r>
      <w:bookmarkStart w:id="6" w:name="_GoBack"/>
      <w:bookmarkEnd w:id="6"/>
      <w:r w:rsidR="00710F4B">
        <w:t>.5/10</w:t>
      </w:r>
    </w:p>
  </w:comment>
  <w:comment w:id="7" w:author="Author" w:initials="A">
    <w:p w14:paraId="001D6980" w14:textId="6CB217BA" w:rsidR="00710F4B" w:rsidRDefault="00AC0495">
      <w:pPr>
        <w:pStyle w:val="CommentText"/>
      </w:pPr>
      <w:r>
        <w:rPr>
          <w:rStyle w:val="CommentReference"/>
        </w:rPr>
        <w:annotationRef/>
      </w:r>
      <w:r w:rsidR="00710F4B">
        <w:t>Need to mention that you are using KM estimates of the survival probabilities due to censored data in method section. (- 1 point)</w:t>
      </w:r>
    </w:p>
    <w:p w14:paraId="2FFCC2E3" w14:textId="03651178" w:rsidR="00AC0495" w:rsidRDefault="00AC0495">
      <w:pPr>
        <w:pStyle w:val="CommentText"/>
      </w:pPr>
      <w:r>
        <w:t>There was 10 missing LDL values for the group that had LDL ≥ 160 mg/dl that wasn’t taking into account in your analysis (-1 point)</w:t>
      </w:r>
    </w:p>
  </w:comment>
  <w:comment w:id="8" w:author="Author" w:initials="A">
    <w:p w14:paraId="05B6D7CB" w14:textId="443444F2" w:rsidR="00710F4B" w:rsidRDefault="00710F4B">
      <w:pPr>
        <w:pStyle w:val="CommentText"/>
      </w:pPr>
      <w:r>
        <w:rPr>
          <w:rStyle w:val="CommentReference"/>
        </w:rPr>
        <w:annotationRef/>
      </w:r>
      <w:r>
        <w:t>Missing parts on reporting associati</w:t>
      </w:r>
      <w:r w:rsidR="00257BEE">
        <w:t>on (point estimate, 95% CI) (- 3</w:t>
      </w:r>
      <w:r>
        <w:t xml:space="preserve"> points)</w:t>
      </w:r>
    </w:p>
  </w:comment>
  <w:comment w:id="9" w:author="Author" w:initials="A">
    <w:p w14:paraId="1CEBE5E9" w14:textId="3BF737A1" w:rsidR="009D6DB8" w:rsidRDefault="009D6DB8">
      <w:pPr>
        <w:pStyle w:val="CommentText"/>
      </w:pPr>
      <w:r>
        <w:rPr>
          <w:rStyle w:val="CommentReference"/>
        </w:rPr>
        <w:annotationRef/>
      </w:r>
      <w:r>
        <w:t>One or Two sided? (-0.5</w:t>
      </w:r>
      <w:r w:rsidR="00AC0495">
        <w:t xml:space="preserve"> point</w:t>
      </w:r>
      <w:r>
        <w:t>)</w:t>
      </w:r>
      <w:r w:rsidR="00AC0495">
        <w:t>. Also, the 2-sided p-value should be 0.2249 when taking into account the missing values.</w:t>
      </w:r>
    </w:p>
    <w:p w14:paraId="32A88303" w14:textId="77777777" w:rsidR="00710F4B" w:rsidRDefault="00710F4B">
      <w:pPr>
        <w:pStyle w:val="CommentText"/>
      </w:pPr>
    </w:p>
  </w:comment>
  <w:comment w:id="10" w:author="Author" w:initials="A">
    <w:p w14:paraId="5AD32472" w14:textId="52E99631" w:rsidR="00CA6FEC" w:rsidRDefault="00CA6FEC">
      <w:pPr>
        <w:pStyle w:val="CommentText"/>
      </w:pPr>
      <w:r>
        <w:rPr>
          <w:rStyle w:val="CommentReference"/>
        </w:rPr>
        <w:annotationRef/>
      </w:r>
      <w:r>
        <w:t>+1 for KM graph</w:t>
      </w:r>
    </w:p>
    <w:p w14:paraId="30EEC433" w14:textId="77777777" w:rsidR="00CA6FEC" w:rsidRDefault="00CA6FEC">
      <w:pPr>
        <w:pStyle w:val="CommentText"/>
      </w:pPr>
    </w:p>
  </w:comment>
  <w:comment w:id="11" w:author="Author" w:initials="A">
    <w:p w14:paraId="50735AC2" w14:textId="5D941D38" w:rsidR="00A5236A" w:rsidRDefault="00A5236A">
      <w:pPr>
        <w:pStyle w:val="CommentText"/>
      </w:pPr>
      <w:r>
        <w:rPr>
          <w:rStyle w:val="CommentReference"/>
        </w:rPr>
        <w:annotationRef/>
      </w:r>
      <w:r w:rsidR="00E40ACF">
        <w:t>4</w:t>
      </w:r>
      <w:r>
        <w:t>/10. Choice is consistent with reasons given, but not the best for detecting assoc</w:t>
      </w:r>
      <w:r w:rsidR="00516B1C">
        <w:t xml:space="preserve">iations here. Would have to consider the loss of information due to the fact that LDL is dichotomized, and the fact that the log rank test could be non-significant, for example, if the curves were to cross and differences between the 2 groups would “cancel out” (little power). </w:t>
      </w:r>
    </w:p>
  </w:comment>
  <w:comment w:id="12" w:author="Author" w:initials="A">
    <w:p w14:paraId="2D1D845A" w14:textId="5C52383D" w:rsidR="00516B1C" w:rsidRDefault="00516B1C">
      <w:pPr>
        <w:pStyle w:val="CommentText"/>
      </w:pPr>
      <w:r>
        <w:rPr>
          <w:rStyle w:val="CommentReference"/>
        </w:rPr>
        <w:annotationRef/>
      </w:r>
      <w:r>
        <w:t>The log rank test allows for treating survival time as continuous instead of dichotomized, which is a good point</w:t>
      </w:r>
    </w:p>
  </w:comment>
  <w:comment w:id="13" w:author="Author" w:initials="A">
    <w:p w14:paraId="1554B59D" w14:textId="2DF9EBE4" w:rsidR="000C70E5" w:rsidRDefault="000C70E5">
      <w:pPr>
        <w:pStyle w:val="CommentText"/>
      </w:pPr>
      <w:r>
        <w:rPr>
          <w:rStyle w:val="CommentReference"/>
        </w:rPr>
        <w:annotationRef/>
      </w:r>
      <w:r>
        <w:t>Good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64F6E" w15:done="0"/>
  <w15:commentEx w15:paraId="66D1C2E4" w15:done="0"/>
  <w15:commentEx w15:paraId="086BBB96" w15:done="0"/>
  <w15:commentEx w15:paraId="12177B38" w15:done="0"/>
  <w15:commentEx w15:paraId="09AE700A" w15:done="0"/>
  <w15:commentEx w15:paraId="3AC8584A" w15:done="0"/>
  <w15:commentEx w15:paraId="2FFCC2E3" w15:done="0"/>
  <w15:commentEx w15:paraId="05B6D7CB" w15:done="0"/>
  <w15:commentEx w15:paraId="32A88303" w15:done="0"/>
  <w15:commentEx w15:paraId="30EEC433" w15:done="0"/>
  <w15:commentEx w15:paraId="50735AC2" w15:done="0"/>
  <w15:commentEx w15:paraId="2D1D845A" w15:done="0"/>
  <w15:commentEx w15:paraId="1554B5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1A"/>
    <w:rsid w:val="000230F7"/>
    <w:rsid w:val="00031EAB"/>
    <w:rsid w:val="0004589C"/>
    <w:rsid w:val="00061E6D"/>
    <w:rsid w:val="000828AD"/>
    <w:rsid w:val="00083599"/>
    <w:rsid w:val="00095AB5"/>
    <w:rsid w:val="000C5216"/>
    <w:rsid w:val="000C56F2"/>
    <w:rsid w:val="000C70E5"/>
    <w:rsid w:val="000F3B12"/>
    <w:rsid w:val="000F3ED1"/>
    <w:rsid w:val="0010227E"/>
    <w:rsid w:val="001056C0"/>
    <w:rsid w:val="0011451B"/>
    <w:rsid w:val="001258D5"/>
    <w:rsid w:val="001269EB"/>
    <w:rsid w:val="001416B2"/>
    <w:rsid w:val="00150BD5"/>
    <w:rsid w:val="00153975"/>
    <w:rsid w:val="00155B1D"/>
    <w:rsid w:val="0016136B"/>
    <w:rsid w:val="0018235A"/>
    <w:rsid w:val="001A1F5D"/>
    <w:rsid w:val="001A5EFA"/>
    <w:rsid w:val="001D122F"/>
    <w:rsid w:val="001D1766"/>
    <w:rsid w:val="001E16F5"/>
    <w:rsid w:val="001E61C8"/>
    <w:rsid w:val="001F1BBE"/>
    <w:rsid w:val="0022201F"/>
    <w:rsid w:val="00234DBC"/>
    <w:rsid w:val="002575ED"/>
    <w:rsid w:val="00257BEE"/>
    <w:rsid w:val="00262159"/>
    <w:rsid w:val="002677DA"/>
    <w:rsid w:val="00273F20"/>
    <w:rsid w:val="00277270"/>
    <w:rsid w:val="00283D41"/>
    <w:rsid w:val="00293C30"/>
    <w:rsid w:val="002C771C"/>
    <w:rsid w:val="002D738C"/>
    <w:rsid w:val="00306615"/>
    <w:rsid w:val="0033112A"/>
    <w:rsid w:val="0033397B"/>
    <w:rsid w:val="00335F91"/>
    <w:rsid w:val="003404B8"/>
    <w:rsid w:val="003476FB"/>
    <w:rsid w:val="00354822"/>
    <w:rsid w:val="003875D1"/>
    <w:rsid w:val="003905A0"/>
    <w:rsid w:val="003A2122"/>
    <w:rsid w:val="003E1641"/>
    <w:rsid w:val="003E2121"/>
    <w:rsid w:val="003E7B50"/>
    <w:rsid w:val="003F7915"/>
    <w:rsid w:val="0040052F"/>
    <w:rsid w:val="00402B54"/>
    <w:rsid w:val="00405E09"/>
    <w:rsid w:val="004063DD"/>
    <w:rsid w:val="00422A45"/>
    <w:rsid w:val="0042460C"/>
    <w:rsid w:val="00427476"/>
    <w:rsid w:val="00431F87"/>
    <w:rsid w:val="00436066"/>
    <w:rsid w:val="00464173"/>
    <w:rsid w:val="00492AA1"/>
    <w:rsid w:val="00495747"/>
    <w:rsid w:val="004B1B46"/>
    <w:rsid w:val="004C3646"/>
    <w:rsid w:val="004F1C45"/>
    <w:rsid w:val="004F58C8"/>
    <w:rsid w:val="00516B1C"/>
    <w:rsid w:val="0052373D"/>
    <w:rsid w:val="0054202D"/>
    <w:rsid w:val="005520D8"/>
    <w:rsid w:val="005641A5"/>
    <w:rsid w:val="00566C5B"/>
    <w:rsid w:val="00582002"/>
    <w:rsid w:val="00584F34"/>
    <w:rsid w:val="005B76B9"/>
    <w:rsid w:val="005D61A7"/>
    <w:rsid w:val="005E4527"/>
    <w:rsid w:val="005E4E5A"/>
    <w:rsid w:val="005F17AA"/>
    <w:rsid w:val="00607B1F"/>
    <w:rsid w:val="00620648"/>
    <w:rsid w:val="006255FE"/>
    <w:rsid w:val="00642B7E"/>
    <w:rsid w:val="006539BB"/>
    <w:rsid w:val="00661A2D"/>
    <w:rsid w:val="00663164"/>
    <w:rsid w:val="006704A2"/>
    <w:rsid w:val="006707BF"/>
    <w:rsid w:val="00671464"/>
    <w:rsid w:val="0068281B"/>
    <w:rsid w:val="0069676C"/>
    <w:rsid w:val="006D0ED5"/>
    <w:rsid w:val="006D3656"/>
    <w:rsid w:val="006D61FF"/>
    <w:rsid w:val="006E5469"/>
    <w:rsid w:val="00710F4B"/>
    <w:rsid w:val="007155D3"/>
    <w:rsid w:val="00716438"/>
    <w:rsid w:val="00716C73"/>
    <w:rsid w:val="00726CA1"/>
    <w:rsid w:val="00740EF2"/>
    <w:rsid w:val="007601B2"/>
    <w:rsid w:val="00767494"/>
    <w:rsid w:val="007761D6"/>
    <w:rsid w:val="00777974"/>
    <w:rsid w:val="007A37D6"/>
    <w:rsid w:val="007B6466"/>
    <w:rsid w:val="007C3585"/>
    <w:rsid w:val="007C6570"/>
    <w:rsid w:val="007C7136"/>
    <w:rsid w:val="00813A46"/>
    <w:rsid w:val="00817488"/>
    <w:rsid w:val="00861CF9"/>
    <w:rsid w:val="00862FA6"/>
    <w:rsid w:val="00877632"/>
    <w:rsid w:val="00882BF3"/>
    <w:rsid w:val="00883194"/>
    <w:rsid w:val="00892389"/>
    <w:rsid w:val="00892ED9"/>
    <w:rsid w:val="00896292"/>
    <w:rsid w:val="008A7237"/>
    <w:rsid w:val="008D6F9F"/>
    <w:rsid w:val="008E0E45"/>
    <w:rsid w:val="009077F2"/>
    <w:rsid w:val="00917353"/>
    <w:rsid w:val="00933CA1"/>
    <w:rsid w:val="00940829"/>
    <w:rsid w:val="009438C2"/>
    <w:rsid w:val="00957031"/>
    <w:rsid w:val="00970118"/>
    <w:rsid w:val="00977B00"/>
    <w:rsid w:val="009A11BD"/>
    <w:rsid w:val="009B4284"/>
    <w:rsid w:val="009C02D9"/>
    <w:rsid w:val="009C6456"/>
    <w:rsid w:val="009D6DB8"/>
    <w:rsid w:val="00A00E7C"/>
    <w:rsid w:val="00A11526"/>
    <w:rsid w:val="00A47ED4"/>
    <w:rsid w:val="00A5236A"/>
    <w:rsid w:val="00A64E14"/>
    <w:rsid w:val="00A704D5"/>
    <w:rsid w:val="00A77C27"/>
    <w:rsid w:val="00A85EFC"/>
    <w:rsid w:val="00A90AC6"/>
    <w:rsid w:val="00A95B85"/>
    <w:rsid w:val="00AC0495"/>
    <w:rsid w:val="00AC1192"/>
    <w:rsid w:val="00AF6000"/>
    <w:rsid w:val="00B0554E"/>
    <w:rsid w:val="00B12891"/>
    <w:rsid w:val="00B33F65"/>
    <w:rsid w:val="00B42234"/>
    <w:rsid w:val="00B54646"/>
    <w:rsid w:val="00B80926"/>
    <w:rsid w:val="00B86598"/>
    <w:rsid w:val="00BA309B"/>
    <w:rsid w:val="00BC20A4"/>
    <w:rsid w:val="00BC48FE"/>
    <w:rsid w:val="00BD1364"/>
    <w:rsid w:val="00BD38B7"/>
    <w:rsid w:val="00BF0593"/>
    <w:rsid w:val="00C004B2"/>
    <w:rsid w:val="00C02C82"/>
    <w:rsid w:val="00C1528C"/>
    <w:rsid w:val="00C52F5C"/>
    <w:rsid w:val="00C65031"/>
    <w:rsid w:val="00C72FB1"/>
    <w:rsid w:val="00C75359"/>
    <w:rsid w:val="00C81F1F"/>
    <w:rsid w:val="00CA2A7F"/>
    <w:rsid w:val="00CA6FEC"/>
    <w:rsid w:val="00CC6AB5"/>
    <w:rsid w:val="00CD2B35"/>
    <w:rsid w:val="00D43560"/>
    <w:rsid w:val="00D47B2D"/>
    <w:rsid w:val="00D55151"/>
    <w:rsid w:val="00D67D01"/>
    <w:rsid w:val="00D819D7"/>
    <w:rsid w:val="00DB6964"/>
    <w:rsid w:val="00DC6FFF"/>
    <w:rsid w:val="00DD38B5"/>
    <w:rsid w:val="00DD595A"/>
    <w:rsid w:val="00DE18A6"/>
    <w:rsid w:val="00DE32DE"/>
    <w:rsid w:val="00DF52BC"/>
    <w:rsid w:val="00E20A43"/>
    <w:rsid w:val="00E40ACF"/>
    <w:rsid w:val="00E42CCC"/>
    <w:rsid w:val="00E53336"/>
    <w:rsid w:val="00E53B9A"/>
    <w:rsid w:val="00E602A6"/>
    <w:rsid w:val="00E70366"/>
    <w:rsid w:val="00E70A85"/>
    <w:rsid w:val="00E864DB"/>
    <w:rsid w:val="00E93EC4"/>
    <w:rsid w:val="00EA35A1"/>
    <w:rsid w:val="00ED0E43"/>
    <w:rsid w:val="00EE037A"/>
    <w:rsid w:val="00F03CC3"/>
    <w:rsid w:val="00F045A0"/>
    <w:rsid w:val="00F16837"/>
    <w:rsid w:val="00F26B94"/>
    <w:rsid w:val="00F33ED5"/>
    <w:rsid w:val="00F55BAF"/>
    <w:rsid w:val="00F70B3E"/>
    <w:rsid w:val="00F74714"/>
    <w:rsid w:val="00F76F1A"/>
    <w:rsid w:val="00F82255"/>
    <w:rsid w:val="00FD21DC"/>
    <w:rsid w:val="00FD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62E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74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11451B"/>
    <w:rPr>
      <w:sz w:val="16"/>
      <w:szCs w:val="16"/>
    </w:rPr>
  </w:style>
  <w:style w:type="paragraph" w:styleId="CommentText">
    <w:name w:val="annotation text"/>
    <w:basedOn w:val="Normal"/>
    <w:link w:val="CommentTextChar"/>
    <w:uiPriority w:val="99"/>
    <w:semiHidden/>
    <w:unhideWhenUsed/>
    <w:rsid w:val="0011451B"/>
  </w:style>
  <w:style w:type="character" w:customStyle="1" w:styleId="CommentTextChar">
    <w:name w:val="Comment Text Char"/>
    <w:basedOn w:val="DefaultParagraphFont"/>
    <w:link w:val="CommentText"/>
    <w:uiPriority w:val="99"/>
    <w:semiHidden/>
    <w:rsid w:val="001145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451B"/>
    <w:rPr>
      <w:b/>
      <w:bCs/>
    </w:rPr>
  </w:style>
  <w:style w:type="character" w:customStyle="1" w:styleId="CommentSubjectChar">
    <w:name w:val="Comment Subject Char"/>
    <w:basedOn w:val="CommentTextChar"/>
    <w:link w:val="CommentSubject"/>
    <w:uiPriority w:val="99"/>
    <w:semiHidden/>
    <w:rsid w:val="0011451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2014-01-18T20:36:00Z</dcterms:created>
  <dcterms:modified xsi:type="dcterms:W3CDTF">2014-01-19T19:22:00Z</dcterms:modified>
</cp:coreProperties>
</file>