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commentRangeStart w:id="0"/>
      <w:r>
        <w:rPr>
          <w:color w:val="000000"/>
          <w:sz w:val="22"/>
          <w:szCs w:val="22"/>
        </w:rPr>
        <w:t xml:space="preserve">Emerson, </w:t>
      </w:r>
      <w:r w:rsidR="002F0282">
        <w:rPr>
          <w:color w:val="000000"/>
          <w:sz w:val="22"/>
          <w:szCs w:val="22"/>
        </w:rPr>
        <w:t>Winter 2014</w:t>
      </w:r>
      <w:commentRangeEnd w:id="0"/>
      <w:r w:rsidR="00234394">
        <w:rPr>
          <w:rStyle w:val="CommentReference"/>
        </w:rPr>
        <w:commentReference w:id="0"/>
      </w:r>
    </w:p>
    <w:p w:rsidR="00C93A29" w:rsidRPr="0036127B" w:rsidRDefault="00C93A29" w:rsidP="00C93A29">
      <w:pPr>
        <w:autoSpaceDE w:val="0"/>
        <w:autoSpaceDN w:val="0"/>
        <w:adjustRightInd w:val="0"/>
        <w:jc w:val="center"/>
        <w:rPr>
          <w:b/>
          <w:color w:val="000000"/>
          <w:sz w:val="22"/>
          <w:szCs w:val="22"/>
        </w:rPr>
      </w:pPr>
    </w:p>
    <w:p w:rsidR="00C93A29" w:rsidRPr="0036127B" w:rsidRDefault="002F0282" w:rsidP="00C93A29">
      <w:pPr>
        <w:autoSpaceDE w:val="0"/>
        <w:autoSpaceDN w:val="0"/>
        <w:adjustRightInd w:val="0"/>
        <w:jc w:val="center"/>
        <w:rPr>
          <w:b/>
          <w:color w:val="000000"/>
          <w:sz w:val="22"/>
          <w:szCs w:val="22"/>
        </w:rPr>
      </w:pPr>
      <w:commentRangeStart w:id="1"/>
      <w:r>
        <w:rPr>
          <w:b/>
          <w:color w:val="000000"/>
          <w:sz w:val="22"/>
          <w:szCs w:val="22"/>
        </w:rPr>
        <w:t>Homework #1</w:t>
      </w:r>
      <w:commentRangeEnd w:id="1"/>
      <w:r w:rsidR="002B2B7D">
        <w:rPr>
          <w:rStyle w:val="CommentReference"/>
        </w:rPr>
        <w:commentReference w:id="1"/>
      </w:r>
    </w:p>
    <w:p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rsidR="00C93A29" w:rsidRPr="0036127B" w:rsidRDefault="00C93A29" w:rsidP="00410B89">
      <w:pPr>
        <w:autoSpaceDE w:val="0"/>
        <w:autoSpaceDN w:val="0"/>
        <w:adjustRightInd w:val="0"/>
        <w:rPr>
          <w:b/>
          <w:color w:val="000000"/>
          <w:sz w:val="22"/>
          <w:szCs w:val="22"/>
        </w:rPr>
      </w:pPr>
    </w:p>
    <w:p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10"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1D2DC2" w:rsidRDefault="001D2DC2" w:rsidP="0036127B">
      <w:pPr>
        <w:autoSpaceDE w:val="0"/>
        <w:autoSpaceDN w:val="0"/>
        <w:adjustRightInd w:val="0"/>
        <w:rPr>
          <w:color w:val="000000"/>
          <w:sz w:val="22"/>
          <w:szCs w:val="22"/>
        </w:rPr>
      </w:pPr>
    </w:p>
    <w:p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bookmarkStart w:id="2" w:name="_GoBack"/>
      <w:bookmarkEnd w:id="2"/>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1E5158" w:rsidRPr="0020750A" w:rsidRDefault="002F0282" w:rsidP="0020750A">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762DE6" w:rsidRPr="0020750A" w:rsidRDefault="00762DE6" w:rsidP="00C55091">
      <w:pPr>
        <w:numPr>
          <w:ilvl w:val="0"/>
          <w:numId w:val="19"/>
        </w:numPr>
        <w:autoSpaceDE w:val="0"/>
        <w:autoSpaceDN w:val="0"/>
        <w:adjustRightInd w:val="0"/>
        <w:spacing w:after="120"/>
        <w:rPr>
          <w:i/>
          <w:sz w:val="22"/>
          <w:szCs w:val="22"/>
        </w:rPr>
      </w:pPr>
      <w:r w:rsidRPr="0020750A">
        <w:rPr>
          <w:i/>
          <w:sz w:val="22"/>
          <w:szCs w:val="22"/>
        </w:rPr>
        <w:t xml:space="preserve">The observations of time to death in this data are subject to (right) censoring. Nevertheless, problems </w:t>
      </w:r>
      <w:r w:rsidR="00B457A7" w:rsidRPr="0020750A">
        <w:rPr>
          <w:i/>
          <w:sz w:val="22"/>
          <w:szCs w:val="22"/>
        </w:rPr>
        <w:t>2</w:t>
      </w:r>
      <w:r w:rsidRPr="0020750A">
        <w:rPr>
          <w:i/>
          <w:sz w:val="22"/>
          <w:szCs w:val="22"/>
        </w:rPr>
        <w:t xml:space="preserve"> –</w:t>
      </w:r>
      <w:r w:rsidR="009D5804" w:rsidRPr="0020750A">
        <w:rPr>
          <w:i/>
          <w:sz w:val="22"/>
          <w:szCs w:val="22"/>
        </w:rPr>
        <w:t xml:space="preserve"> 6</w:t>
      </w:r>
      <w:r w:rsidRPr="0020750A">
        <w:rPr>
          <w:i/>
          <w:sz w:val="22"/>
          <w:szCs w:val="22"/>
        </w:rPr>
        <w:t xml:space="preserve"> ask you to dichotomize the time to death according to death within 5 years of study enrolment or death after 5 years. Why is this valid? Provide </w:t>
      </w:r>
      <w:r w:rsidR="00261CFB" w:rsidRPr="0020750A">
        <w:rPr>
          <w:i/>
          <w:sz w:val="22"/>
          <w:szCs w:val="22"/>
        </w:rPr>
        <w:t>descriptive statistics</w:t>
      </w:r>
      <w:r w:rsidRPr="0020750A">
        <w:rPr>
          <w:i/>
          <w:sz w:val="22"/>
          <w:szCs w:val="22"/>
        </w:rPr>
        <w:t xml:space="preserve"> that support your answer.</w:t>
      </w:r>
    </w:p>
    <w:p w:rsidR="00171817" w:rsidRDefault="00171817" w:rsidP="00262673">
      <w:pPr>
        <w:autoSpaceDE w:val="0"/>
        <w:autoSpaceDN w:val="0"/>
        <w:adjustRightInd w:val="0"/>
        <w:spacing w:after="120"/>
        <w:rPr>
          <w:sz w:val="22"/>
          <w:szCs w:val="22"/>
        </w:rPr>
      </w:pPr>
      <w:r>
        <w:rPr>
          <w:sz w:val="22"/>
          <w:szCs w:val="22"/>
        </w:rPr>
        <w:t xml:space="preserve">This is valid because we have not lost any patients to follow-up.  </w:t>
      </w:r>
      <w:r w:rsidR="008B5736">
        <w:rPr>
          <w:sz w:val="22"/>
          <w:szCs w:val="22"/>
        </w:rPr>
        <w:t xml:space="preserve">There are 735 total patients, all of whom are accounted for in our data set when we dichotomize time to death to 5 years within study enrollment or death after 5 years.  </w:t>
      </w:r>
      <w:r w:rsidR="00B12532">
        <w:rPr>
          <w:sz w:val="22"/>
          <w:szCs w:val="22"/>
        </w:rPr>
        <w:t xml:space="preserve">One hundred and twenty-one passed away before 5 years, and 614 passed away after 5 years for a total of 735 </w:t>
      </w:r>
      <w:commentRangeStart w:id="3"/>
      <w:r w:rsidR="00B12532">
        <w:rPr>
          <w:sz w:val="22"/>
          <w:szCs w:val="22"/>
        </w:rPr>
        <w:t>patients</w:t>
      </w:r>
      <w:commentRangeEnd w:id="3"/>
      <w:r w:rsidR="00631B7E">
        <w:rPr>
          <w:rStyle w:val="CommentReference"/>
        </w:rPr>
        <w:commentReference w:id="3"/>
      </w:r>
      <w:r w:rsidR="00B12532">
        <w:rPr>
          <w:sz w:val="22"/>
          <w:szCs w:val="22"/>
        </w:rPr>
        <w:t>.</w:t>
      </w:r>
    </w:p>
    <w:tbl>
      <w:tblPr>
        <w:tblW w:w="0" w:type="auto"/>
        <w:tblInd w:w="93" w:type="dxa"/>
        <w:tblLook w:val="04A0" w:firstRow="1" w:lastRow="0" w:firstColumn="1" w:lastColumn="0" w:noHBand="0" w:noVBand="1"/>
      </w:tblPr>
      <w:tblGrid>
        <w:gridCol w:w="1846"/>
        <w:gridCol w:w="1153"/>
        <w:gridCol w:w="908"/>
      </w:tblGrid>
      <w:tr w:rsidR="008B5736" w:rsidRPr="008B5736" w:rsidTr="008B573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Survival (&gt;5 years)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Frequency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Percent</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Pr>
                <w:rFonts w:ascii="Calibri" w:hAnsi="Calibri"/>
                <w:color w:val="000000"/>
                <w:sz w:val="22"/>
                <w:szCs w:val="22"/>
              </w:rPr>
              <w:t>No</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121</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16.46</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Pr>
                <w:rFonts w:ascii="Calibri" w:hAnsi="Calibri"/>
                <w:color w:val="000000"/>
                <w:sz w:val="22"/>
                <w:szCs w:val="22"/>
              </w:rPr>
              <w:t>Yes</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614</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83.54</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735</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100</w:t>
            </w:r>
          </w:p>
        </w:tc>
      </w:tr>
    </w:tbl>
    <w:p w:rsidR="008B5736" w:rsidRDefault="008B5736" w:rsidP="00262673">
      <w:pPr>
        <w:autoSpaceDE w:val="0"/>
        <w:autoSpaceDN w:val="0"/>
        <w:adjustRightInd w:val="0"/>
        <w:spacing w:after="120"/>
        <w:rPr>
          <w:sz w:val="22"/>
          <w:szCs w:val="22"/>
        </w:rPr>
      </w:pPr>
    </w:p>
    <w:p w:rsidR="00261CFB" w:rsidRPr="00B12532" w:rsidRDefault="00762DE6" w:rsidP="00C55091">
      <w:pPr>
        <w:numPr>
          <w:ilvl w:val="0"/>
          <w:numId w:val="19"/>
        </w:numPr>
        <w:autoSpaceDE w:val="0"/>
        <w:autoSpaceDN w:val="0"/>
        <w:adjustRightInd w:val="0"/>
        <w:spacing w:after="120"/>
        <w:rPr>
          <w:i/>
          <w:sz w:val="22"/>
          <w:szCs w:val="22"/>
        </w:rPr>
      </w:pPr>
      <w:commentRangeStart w:id="4"/>
      <w:r w:rsidRPr="00B12532">
        <w:rPr>
          <w:i/>
          <w:sz w:val="22"/>
          <w:szCs w:val="22"/>
        </w:rPr>
        <w:t>Provide</w:t>
      </w:r>
      <w:commentRangeEnd w:id="4"/>
      <w:r w:rsidR="004C55BE">
        <w:rPr>
          <w:rStyle w:val="CommentReference"/>
        </w:rPr>
        <w:commentReference w:id="4"/>
      </w:r>
      <w:r w:rsidRPr="00B12532">
        <w:rPr>
          <w:i/>
          <w:sz w:val="22"/>
          <w:szCs w:val="22"/>
        </w:rPr>
        <w:t xml:space="preserve"> a suitable descriptive statistical analysis for selected variables in this</w:t>
      </w:r>
      <w:r w:rsidR="00261CFB" w:rsidRPr="00B12532">
        <w:rPr>
          <w:i/>
          <w:sz w:val="22"/>
          <w:szCs w:val="22"/>
        </w:rPr>
        <w:t xml:space="preserve"> dataset as might be presented in T</w:t>
      </w:r>
      <w:r w:rsidRPr="00B12532">
        <w:rPr>
          <w:i/>
          <w:sz w:val="22"/>
          <w:szCs w:val="22"/>
        </w:rPr>
        <w:t>able 1 of a manuscript exploring the association between serum LDL and 5 year all-cause mortality</w:t>
      </w:r>
      <w:r w:rsidR="00261CFB" w:rsidRPr="00B12532">
        <w:rPr>
          <w:i/>
          <w:sz w:val="22"/>
          <w:szCs w:val="22"/>
        </w:rPr>
        <w:t xml:space="preserve"> in the medical literature. </w:t>
      </w:r>
      <w:r w:rsidRPr="00B12532">
        <w:rPr>
          <w:i/>
          <w:sz w:val="22"/>
          <w:szCs w:val="22"/>
        </w:rPr>
        <w:t xml:space="preserve">In attention to the two variables of primary interest, you may restrict attention to age, sex, </w:t>
      </w:r>
      <w:r w:rsidR="00C55091" w:rsidRPr="00B12532">
        <w:rPr>
          <w:i/>
          <w:sz w:val="22"/>
          <w:szCs w:val="22"/>
        </w:rPr>
        <w:t>weight, smoking history, and prior history of cardiovascular disease (coronary heart disease (CHD), congestive heart failure (CHF), and stroke.</w:t>
      </w:r>
    </w:p>
    <w:p w:rsidR="00A9045A" w:rsidRDefault="00A9045A" w:rsidP="00A9045A">
      <w:pPr>
        <w:autoSpaceDE w:val="0"/>
        <w:autoSpaceDN w:val="0"/>
        <w:adjustRightInd w:val="0"/>
        <w:spacing w:after="120"/>
        <w:rPr>
          <w:sz w:val="22"/>
          <w:szCs w:val="22"/>
        </w:rPr>
      </w:pPr>
      <w:r>
        <w:rPr>
          <w:sz w:val="22"/>
          <w:szCs w:val="22"/>
        </w:rPr>
        <w:t xml:space="preserve">Time to death was dichotomized into less than 5 years and more than five years of observation time.  History of coronary heart disease (CHD) was also collapsed into two groups, those with no history and those with either a history of angina or coronary disease.  Also, stroke was dichotomized into either no history of a history of a transient ischemic attack or stroke.  </w:t>
      </w:r>
    </w:p>
    <w:p w:rsidR="00A9045A" w:rsidRDefault="006E438F" w:rsidP="00A9045A">
      <w:pPr>
        <w:autoSpaceDE w:val="0"/>
        <w:autoSpaceDN w:val="0"/>
        <w:adjustRightInd w:val="0"/>
        <w:spacing w:after="120"/>
        <w:rPr>
          <w:sz w:val="22"/>
          <w:szCs w:val="22"/>
        </w:rPr>
      </w:pPr>
      <w:r>
        <w:rPr>
          <w:sz w:val="22"/>
          <w:szCs w:val="22"/>
        </w:rPr>
        <w:t xml:space="preserve">A total of 121 patients did not survive beyond 5 years.  This group had a higher proportion of male patients, 64.5% vs. 46.9% and smoked more cigarettes with an average number of pack years smoked of 28 vs. 17.9.  The group that did not survive beyond 5 years also had higher rates of cardiovascular </w:t>
      </w:r>
      <w:r>
        <w:rPr>
          <w:sz w:val="22"/>
          <w:szCs w:val="22"/>
        </w:rPr>
        <w:lastRenderedPageBreak/>
        <w:t>disease.  The proportion with CHD was 38% vs. 18% in the group that survived beyond 5 years, and 14% with CHF vs. 4%, and 29% with a history of stroke compared with 10.4% in the other group.</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153"/>
        <w:gridCol w:w="735"/>
        <w:gridCol w:w="607"/>
        <w:gridCol w:w="1088"/>
        <w:gridCol w:w="901"/>
        <w:gridCol w:w="1123"/>
      </w:tblGrid>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Frequency</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w:t>
            </w:r>
            <w:r w:rsidRPr="00A9045A">
              <w:rPr>
                <w:rFonts w:ascii="Calibri" w:hAnsi="Calibri"/>
                <w:color w:val="000000"/>
                <w:sz w:val="22"/>
                <w:szCs w:val="22"/>
              </w:rPr>
              <w:t>ean</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SD</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Minimum</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Median</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Maximum</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b/>
                <w:color w:val="000000"/>
                <w:sz w:val="22"/>
                <w:szCs w:val="22"/>
              </w:rPr>
            </w:pPr>
            <w:r w:rsidRPr="00A9045A">
              <w:rPr>
                <w:rFonts w:ascii="Calibri" w:hAnsi="Calibri"/>
                <w:b/>
                <w:color w:val="000000"/>
                <w:sz w:val="22"/>
                <w:szCs w:val="22"/>
              </w:rPr>
              <w:t>Survival &lt; 5 years</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LDL (in mg/dL)</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118.7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36.2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227</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Age (in years)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76.5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Male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64.5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Weight (in lbs)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159.1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32.8</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96</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264</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Number of pack years smoked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28.0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36.0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18.</w:t>
            </w:r>
            <w:r>
              <w:rPr>
                <w:rFonts w:ascii="Calibri" w:hAnsi="Calibri"/>
                <w:color w:val="000000"/>
                <w:sz w:val="22"/>
                <w:szCs w:val="22"/>
              </w:rPr>
              <w:t>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240</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CHD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38.0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CHF</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14.0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stroke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28.9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b/>
                <w:color w:val="000000"/>
                <w:sz w:val="22"/>
                <w:szCs w:val="22"/>
              </w:rPr>
            </w:pPr>
            <w:r w:rsidRPr="00A9045A">
              <w:rPr>
                <w:rFonts w:ascii="Calibri" w:hAnsi="Calibri"/>
                <w:b/>
                <w:color w:val="000000"/>
                <w:sz w:val="22"/>
                <w:szCs w:val="22"/>
              </w:rPr>
              <w:t>Survival &gt; 5 years</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LDL (in mg/dL)</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606</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127.2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32.9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247</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Age (in years)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74.2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5.2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99</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Male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46.9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Weight (in lbs)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160.1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30.3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158.</w:t>
            </w:r>
            <w:r>
              <w:rPr>
                <w:rFonts w:ascii="Calibri" w:hAnsi="Calibri"/>
                <w:color w:val="000000"/>
                <w:sz w:val="22"/>
                <w:szCs w:val="22"/>
              </w:rPr>
              <w:t>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258</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Number of pack years smoked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17.9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4.</w:t>
            </w:r>
            <w:r>
              <w:rPr>
                <w:rFonts w:ascii="Calibri" w:hAnsi="Calibri"/>
                <w:color w:val="000000"/>
                <w:sz w:val="22"/>
                <w:szCs w:val="22"/>
              </w:rPr>
              <w:t>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180</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CHD</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17.8</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CHF</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3.9</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0.2</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stroke</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10.4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0.3</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bl>
    <w:p w:rsidR="00A9045A" w:rsidRPr="009D5804" w:rsidRDefault="00A9045A" w:rsidP="00A9045A">
      <w:pPr>
        <w:autoSpaceDE w:val="0"/>
        <w:autoSpaceDN w:val="0"/>
        <w:adjustRightInd w:val="0"/>
        <w:spacing w:after="120"/>
        <w:rPr>
          <w:sz w:val="22"/>
          <w:szCs w:val="22"/>
        </w:rPr>
      </w:pPr>
    </w:p>
    <w:p w:rsidR="00C55091" w:rsidRPr="006E438F" w:rsidRDefault="00C55091" w:rsidP="00261CFB">
      <w:pPr>
        <w:numPr>
          <w:ilvl w:val="0"/>
          <w:numId w:val="19"/>
        </w:numPr>
        <w:autoSpaceDE w:val="0"/>
        <w:autoSpaceDN w:val="0"/>
        <w:adjustRightInd w:val="0"/>
        <w:spacing w:after="120"/>
        <w:rPr>
          <w:i/>
          <w:sz w:val="22"/>
          <w:szCs w:val="22"/>
        </w:rPr>
      </w:pPr>
      <w:commentRangeStart w:id="5"/>
      <w:r w:rsidRPr="006E438F">
        <w:rPr>
          <w:i/>
          <w:sz w:val="22"/>
          <w:szCs w:val="22"/>
        </w:rPr>
        <w:t>P</w:t>
      </w:r>
      <w:commentRangeEnd w:id="5"/>
      <w:r w:rsidR="00F97054">
        <w:rPr>
          <w:rStyle w:val="CommentReference"/>
        </w:rPr>
        <w:commentReference w:id="5"/>
      </w:r>
      <w:r w:rsidRPr="006E438F">
        <w:rPr>
          <w:i/>
          <w:sz w:val="22"/>
          <w:szCs w:val="22"/>
        </w:rPr>
        <w:t>erform a statistical analysis evaluating an association between serum LDL and 5 year all-cause mortality by comparing mean LDL values across groups defined by vital status at 5 years.</w:t>
      </w:r>
    </w:p>
    <w:p w:rsidR="006E438F" w:rsidRDefault="004409CC" w:rsidP="004409CC">
      <w:pPr>
        <w:autoSpaceDE w:val="0"/>
        <w:autoSpaceDN w:val="0"/>
        <w:adjustRightInd w:val="0"/>
        <w:spacing w:after="120"/>
        <w:rPr>
          <w:sz w:val="22"/>
          <w:szCs w:val="22"/>
        </w:rPr>
      </w:pPr>
      <w:r>
        <w:rPr>
          <w:sz w:val="22"/>
          <w:szCs w:val="22"/>
        </w:rPr>
        <w:t>I used a two-sample two-sided t-test</w:t>
      </w:r>
      <w:r w:rsidR="003E1300">
        <w:rPr>
          <w:sz w:val="22"/>
          <w:szCs w:val="22"/>
        </w:rPr>
        <w:t xml:space="preserve"> with equal variance</w:t>
      </w:r>
      <w:r>
        <w:rPr>
          <w:sz w:val="22"/>
          <w:szCs w:val="22"/>
        </w:rPr>
        <w:t xml:space="preserve"> where the null hypothesis</w:t>
      </w:r>
      <w:r w:rsidR="000D3734">
        <w:rPr>
          <w:sz w:val="22"/>
          <w:szCs w:val="22"/>
        </w:rPr>
        <w:t xml:space="preserve"> stated </w:t>
      </w:r>
      <w:r>
        <w:rPr>
          <w:sz w:val="22"/>
          <w:szCs w:val="22"/>
        </w:rPr>
        <w:t xml:space="preserve">there was no difference between the mean LDL values across the two groups by survival at 5 years.  The alternative hypothesis was that there was a difference in mean LDL between the two survival groups.  </w:t>
      </w:r>
    </w:p>
    <w:p w:rsidR="004409CC" w:rsidRDefault="004409CC" w:rsidP="004409CC">
      <w:pPr>
        <w:autoSpaceDE w:val="0"/>
        <w:autoSpaceDN w:val="0"/>
        <w:adjustRightInd w:val="0"/>
        <w:spacing w:after="120"/>
        <w:rPr>
          <w:sz w:val="22"/>
          <w:szCs w:val="22"/>
        </w:rPr>
      </w:pPr>
      <w:r>
        <w:rPr>
          <w:sz w:val="22"/>
          <w:szCs w:val="22"/>
        </w:rPr>
        <w:t>We have evidence to reject the null hypothesis and find a</w:t>
      </w:r>
      <w:r w:rsidR="000D3734">
        <w:rPr>
          <w:sz w:val="22"/>
          <w:szCs w:val="22"/>
        </w:rPr>
        <w:t xml:space="preserve"> statistically significant </w:t>
      </w:r>
      <w:r>
        <w:rPr>
          <w:sz w:val="22"/>
          <w:szCs w:val="22"/>
        </w:rPr>
        <w:t>association between mean LDL and 5-year all-cause mortality</w:t>
      </w:r>
      <w:r w:rsidR="000D3734">
        <w:rPr>
          <w:sz w:val="22"/>
          <w:szCs w:val="22"/>
        </w:rPr>
        <w:t xml:space="preserve"> (p=0.0115)</w:t>
      </w:r>
      <w:r>
        <w:rPr>
          <w:sz w:val="22"/>
          <w:szCs w:val="22"/>
        </w:rPr>
        <w:t>.  Patients who survived &lt; 5 years from the start of the study had a mean LDL that was 8.5mg/dL (with a 95% confidence interval of 1.9 to 15.1) LESS than the group that had survived beyond 5 years</w:t>
      </w:r>
      <w:commentRangeStart w:id="6"/>
      <w:r>
        <w:rPr>
          <w:sz w:val="22"/>
          <w:szCs w:val="22"/>
        </w:rPr>
        <w:t xml:space="preserve">.  </w:t>
      </w:r>
      <w:commentRangeEnd w:id="6"/>
      <w:r w:rsidR="00F97054">
        <w:rPr>
          <w:rStyle w:val="CommentReference"/>
        </w:rPr>
        <w:commentReference w:id="6"/>
      </w:r>
    </w:p>
    <w:p w:rsidR="000D3734" w:rsidRPr="009D5804" w:rsidRDefault="000D3734" w:rsidP="004409CC">
      <w:pPr>
        <w:autoSpaceDE w:val="0"/>
        <w:autoSpaceDN w:val="0"/>
        <w:adjustRightInd w:val="0"/>
        <w:spacing w:after="120"/>
        <w:rPr>
          <w:sz w:val="22"/>
          <w:szCs w:val="22"/>
        </w:rPr>
      </w:pPr>
    </w:p>
    <w:p w:rsidR="00C55091" w:rsidRPr="000D3734" w:rsidRDefault="00C55091" w:rsidP="00261CFB">
      <w:pPr>
        <w:numPr>
          <w:ilvl w:val="0"/>
          <w:numId w:val="19"/>
        </w:numPr>
        <w:autoSpaceDE w:val="0"/>
        <w:autoSpaceDN w:val="0"/>
        <w:adjustRightInd w:val="0"/>
        <w:spacing w:after="120"/>
        <w:rPr>
          <w:i/>
          <w:sz w:val="22"/>
          <w:szCs w:val="22"/>
        </w:rPr>
      </w:pPr>
      <w:r w:rsidRPr="000D3734">
        <w:rPr>
          <w:i/>
          <w:sz w:val="22"/>
          <w:szCs w:val="22"/>
        </w:rPr>
        <w:t>Perform a statistical analysis evaluating an association between serum LDL and 5 year all-cause mortality by comparing geometric mean LDL values across groups defined by vital status at 5 years.</w:t>
      </w:r>
    </w:p>
    <w:p w:rsidR="0042293A" w:rsidRDefault="0042293A" w:rsidP="0042293A">
      <w:pPr>
        <w:autoSpaceDE w:val="0"/>
        <w:autoSpaceDN w:val="0"/>
        <w:adjustRightInd w:val="0"/>
        <w:spacing w:after="120"/>
        <w:rPr>
          <w:sz w:val="22"/>
          <w:szCs w:val="22"/>
        </w:rPr>
      </w:pPr>
      <w:r>
        <w:rPr>
          <w:sz w:val="22"/>
          <w:szCs w:val="22"/>
        </w:rPr>
        <w:t xml:space="preserve">A two-sample two-sided t-test </w:t>
      </w:r>
      <w:commentRangeStart w:id="7"/>
      <w:r>
        <w:rPr>
          <w:sz w:val="22"/>
          <w:szCs w:val="22"/>
        </w:rPr>
        <w:t xml:space="preserve">with unequal variance </w:t>
      </w:r>
      <w:commentRangeEnd w:id="7"/>
      <w:r w:rsidR="00F97054">
        <w:rPr>
          <w:rStyle w:val="CommentReference"/>
        </w:rPr>
        <w:commentReference w:id="7"/>
      </w:r>
      <w:r>
        <w:rPr>
          <w:sz w:val="22"/>
          <w:szCs w:val="22"/>
        </w:rPr>
        <w:t xml:space="preserve">was performed to compare the </w:t>
      </w:r>
      <w:r w:rsidRPr="0042293A">
        <w:rPr>
          <w:sz w:val="22"/>
          <w:szCs w:val="22"/>
        </w:rPr>
        <w:t xml:space="preserve">geometric mean </w:t>
      </w:r>
      <w:r>
        <w:rPr>
          <w:sz w:val="22"/>
          <w:szCs w:val="22"/>
        </w:rPr>
        <w:t>LDL across groups defined by time to death within 5 years.  A log value of  LDL was generated</w:t>
      </w:r>
      <w:r w:rsidR="003531C5">
        <w:rPr>
          <w:sz w:val="22"/>
          <w:szCs w:val="22"/>
        </w:rPr>
        <w:t xml:space="preserve"> and the t-test was run.  The point value and confidence interval were then exponentiated to estimate the geometric mean</w:t>
      </w:r>
      <w:r>
        <w:rPr>
          <w:sz w:val="22"/>
          <w:szCs w:val="22"/>
        </w:rPr>
        <w:t>.  The null hypothesis is that there is no difference in the geometric mean LDL across the two survival groups.  The alternative hypothesis is that there is a difference in the geometric mean LDL across the two survival groups.</w:t>
      </w:r>
    </w:p>
    <w:p w:rsidR="0042293A" w:rsidRDefault="0042293A" w:rsidP="003531C5">
      <w:pPr>
        <w:autoSpaceDE w:val="0"/>
        <w:autoSpaceDN w:val="0"/>
        <w:adjustRightInd w:val="0"/>
        <w:spacing w:after="120"/>
        <w:rPr>
          <w:sz w:val="22"/>
          <w:szCs w:val="22"/>
        </w:rPr>
      </w:pPr>
      <w:commentRangeStart w:id="8"/>
      <w:r>
        <w:rPr>
          <w:sz w:val="22"/>
          <w:szCs w:val="22"/>
        </w:rPr>
        <w:lastRenderedPageBreak/>
        <w:t xml:space="preserve">There is evidence to reject the null hypothesis.  There is a statistically significant difference in the </w:t>
      </w:r>
      <w:r w:rsidR="003531C5">
        <w:rPr>
          <w:sz w:val="22"/>
          <w:szCs w:val="22"/>
        </w:rPr>
        <w:t xml:space="preserve">geometric mean of 0.0002 with a 95% confidence interval of &lt;0.0001 to 0.2366 </w:t>
      </w:r>
      <w:r>
        <w:rPr>
          <w:sz w:val="22"/>
          <w:szCs w:val="22"/>
        </w:rPr>
        <w:t>(p = 0.013).  That is, patients who survived &lt; 5 years had a geometric mean LDL that was 0.0</w:t>
      </w:r>
      <w:r w:rsidR="003531C5">
        <w:rPr>
          <w:sz w:val="22"/>
          <w:szCs w:val="22"/>
        </w:rPr>
        <w:t>002</w:t>
      </w:r>
      <w:r>
        <w:rPr>
          <w:sz w:val="22"/>
          <w:szCs w:val="22"/>
        </w:rPr>
        <w:t xml:space="preserve"> LESS than the group that survived beyond 5 years.</w:t>
      </w:r>
      <w:commentRangeEnd w:id="8"/>
      <w:r w:rsidR="0062640F">
        <w:rPr>
          <w:rStyle w:val="CommentReference"/>
        </w:rPr>
        <w:commentReference w:id="8"/>
      </w:r>
    </w:p>
    <w:p w:rsidR="00C55091" w:rsidRPr="00C63BFC" w:rsidRDefault="00C55091" w:rsidP="00C55091">
      <w:pPr>
        <w:numPr>
          <w:ilvl w:val="0"/>
          <w:numId w:val="19"/>
        </w:numPr>
        <w:autoSpaceDE w:val="0"/>
        <w:autoSpaceDN w:val="0"/>
        <w:adjustRightInd w:val="0"/>
        <w:spacing w:after="120"/>
        <w:rPr>
          <w:i/>
          <w:sz w:val="22"/>
          <w:szCs w:val="22"/>
        </w:rPr>
      </w:pPr>
      <w:r w:rsidRPr="00C63BFC">
        <w:rPr>
          <w:i/>
          <w:sz w:val="22"/>
          <w:szCs w:val="22"/>
        </w:rPr>
        <w:t xml:space="preserve">Perform a statistical analysis evaluating an association between serum LDL and 5 year all-cause mortality by comparing the probability of death within 5 years across groups defined by </w:t>
      </w:r>
      <w:r w:rsidR="00B457A7" w:rsidRPr="00C63BFC">
        <w:rPr>
          <w:i/>
          <w:sz w:val="22"/>
          <w:szCs w:val="22"/>
        </w:rPr>
        <w:t xml:space="preserve">whether the subjects have high serum LDL (“high” = LDL </w:t>
      </w:r>
      <w:r w:rsidR="00B457A7" w:rsidRPr="00C63BFC">
        <w:rPr>
          <w:i/>
          <w:sz w:val="22"/>
          <w:szCs w:val="22"/>
          <w:u w:val="single"/>
        </w:rPr>
        <w:t>&gt;</w:t>
      </w:r>
      <w:r w:rsidR="00B457A7" w:rsidRPr="00C63BFC">
        <w:rPr>
          <w:i/>
          <w:sz w:val="22"/>
          <w:szCs w:val="22"/>
        </w:rPr>
        <w:t xml:space="preserve"> 160 mg/dL).</w:t>
      </w:r>
    </w:p>
    <w:p w:rsidR="00C242C0" w:rsidRPr="002D4AC6" w:rsidRDefault="00C242C0" w:rsidP="0042293A">
      <w:pPr>
        <w:autoSpaceDE w:val="0"/>
        <w:autoSpaceDN w:val="0"/>
        <w:adjustRightInd w:val="0"/>
        <w:spacing w:after="120"/>
        <w:rPr>
          <w:sz w:val="22"/>
          <w:szCs w:val="22"/>
        </w:rPr>
      </w:pPr>
      <w:r w:rsidRPr="002D4AC6">
        <w:rPr>
          <w:sz w:val="22"/>
          <w:szCs w:val="22"/>
        </w:rPr>
        <w:t>LDL was dichotomized into groups where LDL was</w:t>
      </w:r>
      <w:r w:rsidRPr="002D4AC6">
        <w:rPr>
          <w:sz w:val="22"/>
          <w:szCs w:val="22"/>
          <w:u w:val="single"/>
        </w:rPr>
        <w:t xml:space="preserve"> &gt;</w:t>
      </w:r>
      <w:r w:rsidRPr="002D4AC6">
        <w:rPr>
          <w:sz w:val="22"/>
          <w:szCs w:val="22"/>
        </w:rPr>
        <w:t xml:space="preserve"> 160mg/dL</w:t>
      </w:r>
      <w:r w:rsidR="0066231A" w:rsidRPr="002D4AC6">
        <w:rPr>
          <w:sz w:val="22"/>
          <w:szCs w:val="22"/>
        </w:rPr>
        <w:t xml:space="preserve"> and &lt; 160 and compared to the dichotomized survival variable.</w:t>
      </w:r>
      <w:r w:rsidR="00B203E1" w:rsidRPr="002D4AC6">
        <w:rPr>
          <w:sz w:val="22"/>
          <w:szCs w:val="22"/>
        </w:rPr>
        <w:t xml:space="preserve">  The confidence intervals can be calculated using the </w:t>
      </w:r>
      <w:commentRangeStart w:id="9"/>
      <w:r w:rsidR="00B203E1" w:rsidRPr="002D4AC6">
        <w:rPr>
          <w:sz w:val="22"/>
          <w:szCs w:val="22"/>
        </w:rPr>
        <w:t>binomial option</w:t>
      </w:r>
      <w:commentRangeEnd w:id="9"/>
      <w:r w:rsidR="006E7E1C">
        <w:rPr>
          <w:rStyle w:val="CommentReference"/>
        </w:rPr>
        <w:commentReference w:id="9"/>
      </w:r>
      <w:r w:rsidR="002D4AC6" w:rsidRPr="002D4AC6">
        <w:rPr>
          <w:sz w:val="22"/>
          <w:szCs w:val="22"/>
        </w:rPr>
        <w:t xml:space="preserve">.  The probability of survival within 5 years when LDL is &lt;160 mg/dL is 83.0% </w:t>
      </w:r>
      <w:r w:rsidR="002D4AC6" w:rsidRPr="002D4AC6">
        <w:rPr>
          <w:color w:val="000000"/>
          <w:sz w:val="22"/>
          <w:szCs w:val="22"/>
        </w:rPr>
        <w:t xml:space="preserve"> with a 95% confidence interval of 79.8% to 85.9%.  The probability of survival within 5 years when LDL is </w:t>
      </w:r>
      <w:r w:rsidR="002D4AC6" w:rsidRPr="002D4AC6">
        <w:rPr>
          <w:color w:val="000000"/>
          <w:sz w:val="22"/>
          <w:szCs w:val="22"/>
          <w:u w:val="single"/>
        </w:rPr>
        <w:t>&gt;</w:t>
      </w:r>
      <w:r w:rsidR="002D4AC6" w:rsidRPr="002D4AC6">
        <w:rPr>
          <w:color w:val="000000"/>
          <w:sz w:val="22"/>
          <w:szCs w:val="22"/>
        </w:rPr>
        <w:t xml:space="preserve"> 160 mg/dL is 86.3% with a 95% confidence interval of 78.7% to 92.0%.  </w:t>
      </w:r>
    </w:p>
    <w:p w:rsidR="009D5804" w:rsidRPr="00C63BFC" w:rsidRDefault="009D5804" w:rsidP="009D5804">
      <w:pPr>
        <w:numPr>
          <w:ilvl w:val="0"/>
          <w:numId w:val="19"/>
        </w:numPr>
        <w:autoSpaceDE w:val="0"/>
        <w:autoSpaceDN w:val="0"/>
        <w:adjustRightInd w:val="0"/>
        <w:spacing w:after="120"/>
        <w:rPr>
          <w:i/>
          <w:sz w:val="22"/>
          <w:szCs w:val="22"/>
        </w:rPr>
      </w:pPr>
      <w:r w:rsidRPr="00C63BFC">
        <w:rPr>
          <w:i/>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C63BFC">
        <w:rPr>
          <w:i/>
          <w:sz w:val="22"/>
          <w:szCs w:val="22"/>
          <w:u w:val="single"/>
        </w:rPr>
        <w:t>&gt;</w:t>
      </w:r>
      <w:r w:rsidRPr="00C63BFC">
        <w:rPr>
          <w:i/>
          <w:sz w:val="22"/>
          <w:szCs w:val="22"/>
        </w:rPr>
        <w:t xml:space="preserve"> 160 mg/dL).</w:t>
      </w:r>
    </w:p>
    <w:p w:rsidR="000536E1" w:rsidRDefault="000536E1" w:rsidP="000536E1">
      <w:pPr>
        <w:autoSpaceDE w:val="0"/>
        <w:autoSpaceDN w:val="0"/>
        <w:adjustRightInd w:val="0"/>
        <w:spacing w:after="120"/>
        <w:ind w:left="360"/>
        <w:rPr>
          <w:sz w:val="22"/>
          <w:szCs w:val="22"/>
        </w:rPr>
      </w:pPr>
      <w:r w:rsidRPr="000536E1">
        <w:rPr>
          <w:sz w:val="22"/>
          <w:szCs w:val="22"/>
        </w:rPr>
        <w:t>LDL was dichotomized into groups where LDL was</w:t>
      </w:r>
      <w:r w:rsidRPr="000536E1">
        <w:rPr>
          <w:sz w:val="22"/>
          <w:szCs w:val="22"/>
          <w:u w:val="single"/>
        </w:rPr>
        <w:t xml:space="preserve"> &gt;</w:t>
      </w:r>
      <w:r w:rsidRPr="000536E1">
        <w:rPr>
          <w:sz w:val="22"/>
          <w:szCs w:val="22"/>
        </w:rPr>
        <w:t xml:space="preserve"> 160mg/dL and &lt; 160 and compared to the dichotomized survival variable.  As these are two binary variables, we can use </w:t>
      </w:r>
      <w:r w:rsidR="002D4AC6">
        <w:rPr>
          <w:sz w:val="22"/>
          <w:szCs w:val="22"/>
        </w:rPr>
        <w:t xml:space="preserve">the command for cohort studies or logistic regression.  </w:t>
      </w:r>
      <w:commentRangeStart w:id="10"/>
      <w:r w:rsidR="002D4AC6">
        <w:rPr>
          <w:sz w:val="22"/>
          <w:szCs w:val="22"/>
        </w:rPr>
        <w:t>W</w:t>
      </w:r>
      <w:r w:rsidRPr="000536E1">
        <w:rPr>
          <w:sz w:val="22"/>
          <w:szCs w:val="22"/>
        </w:rPr>
        <w:t xml:space="preserve">e calculated that the odds of survival </w:t>
      </w:r>
      <w:r w:rsidR="00CE1060">
        <w:rPr>
          <w:sz w:val="22"/>
          <w:szCs w:val="22"/>
        </w:rPr>
        <w:t>at</w:t>
      </w:r>
      <w:r w:rsidRPr="000536E1">
        <w:rPr>
          <w:sz w:val="22"/>
          <w:szCs w:val="22"/>
        </w:rPr>
        <w:t xml:space="preserve"> 5 years is 1.29 times higher (95% confidence interval 0.732 to 2.279) for patients with a serum LDL above 160mg/dL (p=0.375). </w:t>
      </w:r>
      <w:r>
        <w:rPr>
          <w:sz w:val="22"/>
          <w:szCs w:val="22"/>
        </w:rPr>
        <w:t xml:space="preserve"> In other words, the odds of </w:t>
      </w:r>
      <w:r w:rsidR="00CE1060">
        <w:rPr>
          <w:sz w:val="22"/>
          <w:szCs w:val="22"/>
        </w:rPr>
        <w:t xml:space="preserve">surviving at </w:t>
      </w:r>
      <w:r>
        <w:rPr>
          <w:sz w:val="22"/>
          <w:szCs w:val="22"/>
        </w:rPr>
        <w:t>5 years is estimated to be 29% higher when LDL is greater than or equal to 160 mg/dL.</w:t>
      </w:r>
      <w:commentRangeEnd w:id="10"/>
      <w:r w:rsidR="00236623">
        <w:rPr>
          <w:rStyle w:val="CommentReference"/>
        </w:rPr>
        <w:commentReference w:id="10"/>
      </w:r>
      <w:r>
        <w:rPr>
          <w:sz w:val="22"/>
          <w:szCs w:val="22"/>
        </w:rPr>
        <w:t xml:space="preserve">  The group with the lower LDL tends toward </w:t>
      </w:r>
      <w:r w:rsidR="00CE1060">
        <w:rPr>
          <w:sz w:val="22"/>
          <w:szCs w:val="22"/>
        </w:rPr>
        <w:t xml:space="preserve">poorer </w:t>
      </w:r>
      <w:r>
        <w:rPr>
          <w:sz w:val="22"/>
          <w:szCs w:val="22"/>
        </w:rPr>
        <w:t>survival at 5 years.  These differences are not statistically significant from an odds ratio of 1.  We have insufficient evidence to reject the null hypothesis that there is no association between survival time and LDL levels.</w:t>
      </w:r>
    </w:p>
    <w:p w:rsidR="000536E1" w:rsidRDefault="000536E1" w:rsidP="000536E1">
      <w:pPr>
        <w:autoSpaceDE w:val="0"/>
        <w:autoSpaceDN w:val="0"/>
        <w:adjustRightInd w:val="0"/>
        <w:spacing w:after="120"/>
        <w:ind w:left="360"/>
        <w:rPr>
          <w:sz w:val="22"/>
          <w:szCs w:val="22"/>
        </w:rPr>
      </w:pPr>
    </w:p>
    <w:tbl>
      <w:tblPr>
        <w:tblW w:w="4773" w:type="dxa"/>
        <w:tblInd w:w="93" w:type="dxa"/>
        <w:tblLook w:val="04A0" w:firstRow="1" w:lastRow="0" w:firstColumn="1" w:lastColumn="0" w:noHBand="0" w:noVBand="1"/>
      </w:tblPr>
      <w:tblGrid>
        <w:gridCol w:w="1872"/>
        <w:gridCol w:w="981"/>
        <w:gridCol w:w="1032"/>
        <w:gridCol w:w="888"/>
      </w:tblGrid>
      <w:tr w:rsidR="000536E1" w:rsidRPr="00C242C0" w:rsidTr="00A256B6">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LDL</w:t>
            </w:r>
            <w:r w:rsidRPr="00C242C0">
              <w:rPr>
                <w:rFonts w:ascii="Calibri" w:hAnsi="Calibri"/>
                <w:color w:val="000000"/>
                <w:sz w:val="22"/>
                <w:szCs w:val="22"/>
                <w:u w:val="single"/>
              </w:rPr>
              <w:t>&gt;</w:t>
            </w:r>
            <w:r>
              <w:rPr>
                <w:rFonts w:ascii="Calibri" w:hAnsi="Calibri"/>
                <w:color w:val="000000"/>
                <w:sz w:val="22"/>
                <w:szCs w:val="22"/>
              </w:rPr>
              <w:t>160</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LDL &lt;160</w:t>
            </w:r>
          </w:p>
        </w:tc>
        <w:tc>
          <w:tcPr>
            <w:tcW w:w="888"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Total</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Survival &lt; 5 years</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105</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16</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121</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Survival &gt;5 years</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513</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101</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614</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Total</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618</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117</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735</w:t>
            </w:r>
          </w:p>
        </w:tc>
      </w:tr>
    </w:tbl>
    <w:p w:rsidR="00C63BFC" w:rsidRPr="009D5804" w:rsidRDefault="00C63BFC" w:rsidP="00C63BFC">
      <w:pPr>
        <w:autoSpaceDE w:val="0"/>
        <w:autoSpaceDN w:val="0"/>
        <w:adjustRightInd w:val="0"/>
        <w:spacing w:after="120"/>
        <w:rPr>
          <w:sz w:val="22"/>
          <w:szCs w:val="22"/>
        </w:rPr>
      </w:pPr>
    </w:p>
    <w:p w:rsidR="00B457A7" w:rsidRPr="002D4AC6" w:rsidRDefault="00B457A7" w:rsidP="00B457A7">
      <w:pPr>
        <w:numPr>
          <w:ilvl w:val="0"/>
          <w:numId w:val="19"/>
        </w:numPr>
        <w:autoSpaceDE w:val="0"/>
        <w:autoSpaceDN w:val="0"/>
        <w:adjustRightInd w:val="0"/>
        <w:spacing w:after="120"/>
        <w:rPr>
          <w:i/>
          <w:sz w:val="22"/>
          <w:szCs w:val="22"/>
        </w:rPr>
      </w:pPr>
      <w:commentRangeStart w:id="11"/>
      <w:r w:rsidRPr="002D4AC6">
        <w:rPr>
          <w:i/>
          <w:sz w:val="22"/>
          <w:szCs w:val="22"/>
        </w:rPr>
        <w:t>P</w:t>
      </w:r>
      <w:commentRangeEnd w:id="11"/>
      <w:r w:rsidR="00987AC8">
        <w:rPr>
          <w:rStyle w:val="CommentReference"/>
        </w:rPr>
        <w:commentReference w:id="11"/>
      </w:r>
      <w:r w:rsidRPr="002D4AC6">
        <w:rPr>
          <w:i/>
          <w:sz w:val="22"/>
          <w:szCs w:val="22"/>
        </w:rPr>
        <w:t xml:space="preserve">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2D4AC6">
        <w:rPr>
          <w:i/>
          <w:sz w:val="22"/>
          <w:szCs w:val="22"/>
          <w:u w:val="single"/>
        </w:rPr>
        <w:t>&gt;</w:t>
      </w:r>
      <w:r w:rsidRPr="002D4AC6">
        <w:rPr>
          <w:i/>
          <w:sz w:val="22"/>
          <w:szCs w:val="22"/>
        </w:rPr>
        <w:t xml:space="preserve"> 160 mg/dL).</w:t>
      </w:r>
    </w:p>
    <w:p w:rsidR="006E2663" w:rsidRDefault="002D4AC6" w:rsidP="002D4AC6">
      <w:pPr>
        <w:autoSpaceDE w:val="0"/>
        <w:autoSpaceDN w:val="0"/>
        <w:adjustRightInd w:val="0"/>
        <w:spacing w:after="120"/>
        <w:rPr>
          <w:sz w:val="22"/>
          <w:szCs w:val="22"/>
        </w:rPr>
      </w:pPr>
      <w:r>
        <w:rPr>
          <w:sz w:val="22"/>
          <w:szCs w:val="22"/>
        </w:rPr>
        <w:t>The instantaneous risk of death is best measured using a</w:t>
      </w:r>
      <w:r w:rsidRPr="002D4AC6">
        <w:rPr>
          <w:sz w:val="22"/>
          <w:szCs w:val="22"/>
        </w:rPr>
        <w:t xml:space="preserve"> proportional hazards regression model of the censored time to death on </w:t>
      </w:r>
      <w:r>
        <w:rPr>
          <w:sz w:val="22"/>
          <w:szCs w:val="22"/>
        </w:rPr>
        <w:t xml:space="preserve">untransformed </w:t>
      </w:r>
      <w:r w:rsidR="006E2663">
        <w:rPr>
          <w:sz w:val="22"/>
          <w:szCs w:val="22"/>
        </w:rPr>
        <w:t>LDL levels with</w:t>
      </w:r>
      <w:r>
        <w:rPr>
          <w:sz w:val="22"/>
          <w:szCs w:val="22"/>
        </w:rPr>
        <w:t xml:space="preserve"> </w:t>
      </w:r>
      <w:r w:rsidRPr="002D4AC6">
        <w:rPr>
          <w:sz w:val="22"/>
          <w:szCs w:val="22"/>
        </w:rPr>
        <w:t>robust standard error estimates</w:t>
      </w:r>
      <w:r w:rsidR="006E2663">
        <w:rPr>
          <w:sz w:val="22"/>
          <w:szCs w:val="22"/>
        </w:rPr>
        <w:t xml:space="preserve">.  When comparing the group with the “high” LDL with the normal to low LDL, the instantaneous risk of death is estimated to be 25.0% lower (hazard ratio 0.750) in the “high” LDL group.  This difference is statistically different from a hazard ratio of 1 with a 95% confidence interval of 0.450 to 1.251, where the group with the LDL </w:t>
      </w:r>
      <w:r w:rsidR="006E2663" w:rsidRPr="006E2663">
        <w:rPr>
          <w:sz w:val="22"/>
          <w:szCs w:val="22"/>
          <w:u w:val="single"/>
        </w:rPr>
        <w:t>&gt;</w:t>
      </w:r>
      <w:r w:rsidR="006E2663">
        <w:rPr>
          <w:sz w:val="22"/>
          <w:szCs w:val="22"/>
        </w:rPr>
        <w:t xml:space="preserve"> 160mg/dL tending toward a lower instantaneous risk of death. </w:t>
      </w:r>
    </w:p>
    <w:p w:rsidR="00CE1060" w:rsidRPr="002D4AC6" w:rsidRDefault="00CE1060" w:rsidP="002D4AC6">
      <w:pPr>
        <w:autoSpaceDE w:val="0"/>
        <w:autoSpaceDN w:val="0"/>
        <w:adjustRightInd w:val="0"/>
        <w:spacing w:after="120"/>
        <w:rPr>
          <w:sz w:val="22"/>
          <w:szCs w:val="22"/>
        </w:rPr>
      </w:pPr>
    </w:p>
    <w:p w:rsidR="00261CFB" w:rsidRPr="00CE1060" w:rsidRDefault="00B457A7" w:rsidP="00261CFB">
      <w:pPr>
        <w:numPr>
          <w:ilvl w:val="0"/>
          <w:numId w:val="19"/>
        </w:numPr>
        <w:autoSpaceDE w:val="0"/>
        <w:autoSpaceDN w:val="0"/>
        <w:adjustRightInd w:val="0"/>
        <w:spacing w:after="120"/>
        <w:rPr>
          <w:i/>
          <w:sz w:val="22"/>
          <w:szCs w:val="22"/>
        </w:rPr>
      </w:pPr>
      <w:r w:rsidRPr="00CE1060">
        <w:rPr>
          <w:i/>
          <w:sz w:val="22"/>
          <w:szCs w:val="22"/>
        </w:rPr>
        <w:t>Supposing I had not been so redundant</w:t>
      </w:r>
      <w:r w:rsidR="009D5804" w:rsidRPr="00CE1060">
        <w:rPr>
          <w:i/>
          <w:sz w:val="22"/>
          <w:szCs w:val="22"/>
        </w:rPr>
        <w:t xml:space="preserve"> (in a scientifically inappropriate manner)</w:t>
      </w:r>
      <w:r w:rsidRPr="00CE1060">
        <w:rPr>
          <w:i/>
          <w:sz w:val="22"/>
          <w:szCs w:val="22"/>
        </w:rPr>
        <w:t xml:space="preserve"> and so prescriptive about methods of detecting an association, what analysis would you have preferred </w:t>
      </w:r>
      <w:r w:rsidRPr="00CE1060">
        <w:rPr>
          <w:i/>
          <w:iCs/>
          <w:sz w:val="22"/>
          <w:szCs w:val="22"/>
        </w:rPr>
        <w:t>a priori</w:t>
      </w:r>
      <w:r w:rsidRPr="00CE1060">
        <w:rPr>
          <w:i/>
          <w:sz w:val="22"/>
          <w:szCs w:val="22"/>
        </w:rPr>
        <w:t xml:space="preserve"> in order to answer the question about an association between mortality and serum LDL? Why?</w:t>
      </w:r>
    </w:p>
    <w:p w:rsidR="00CE1060" w:rsidRDefault="00CE1060" w:rsidP="00CE1060">
      <w:pPr>
        <w:autoSpaceDE w:val="0"/>
        <w:autoSpaceDN w:val="0"/>
        <w:adjustRightInd w:val="0"/>
        <w:spacing w:after="120"/>
        <w:rPr>
          <w:sz w:val="22"/>
          <w:szCs w:val="22"/>
        </w:rPr>
      </w:pPr>
      <w:r>
        <w:rPr>
          <w:sz w:val="22"/>
          <w:szCs w:val="22"/>
        </w:rPr>
        <w:lastRenderedPageBreak/>
        <w:t>Our analyses suggest a trend toward improved survival with higher levels of LDL.  This goes against what we could expect to see as LDL, or “bad” cholesterol, is usually associated with increasing risk for cardiovascular disease and most medical and lifestyle interventions are aimed at reducing LDL.  Again, I would have expected a positive association between LDL and 5 year all-cause mortality.  In choosing an analytic method a prior, I would have assumed that the data could be heteros</w:t>
      </w:r>
      <w:r w:rsidR="004A6D86">
        <w:rPr>
          <w:sz w:val="22"/>
          <w:szCs w:val="22"/>
        </w:rPr>
        <w:t>k</w:t>
      </w:r>
      <w:r>
        <w:rPr>
          <w:sz w:val="22"/>
          <w:szCs w:val="22"/>
        </w:rPr>
        <w:t>edastic as the mean LDL could vary across many different variables such as age and pr</w:t>
      </w:r>
      <w:r w:rsidR="008C2337">
        <w:rPr>
          <w:sz w:val="22"/>
          <w:szCs w:val="22"/>
        </w:rPr>
        <w:t>esence of other comorbidities.  With this i</w:t>
      </w:r>
      <w:r w:rsidR="004A6D86">
        <w:rPr>
          <w:sz w:val="22"/>
          <w:szCs w:val="22"/>
        </w:rPr>
        <w:t xml:space="preserve">n mind, simple linear regression </w:t>
      </w:r>
      <w:r w:rsidR="008C2337">
        <w:rPr>
          <w:sz w:val="22"/>
          <w:szCs w:val="22"/>
        </w:rPr>
        <w:t xml:space="preserve">would not be able to definitively detect differences between groups vs. </w:t>
      </w:r>
      <w:r w:rsidR="004A6D86">
        <w:rPr>
          <w:sz w:val="22"/>
          <w:szCs w:val="22"/>
        </w:rPr>
        <w:t>rejecting the null hypothesis.   Heteroskedastisticy could produce biased estimates with logistic regression.  For these reasons, a geometric mean t-test or the hazard ratio could be useful measures of associatio</w:t>
      </w:r>
      <w:commentRangeStart w:id="12"/>
      <w:r w:rsidR="004A6D86">
        <w:rPr>
          <w:sz w:val="22"/>
          <w:szCs w:val="22"/>
        </w:rPr>
        <w:t>n.</w:t>
      </w:r>
      <w:commentRangeEnd w:id="12"/>
      <w:r w:rsidR="002059CE">
        <w:rPr>
          <w:rStyle w:val="CommentReference"/>
        </w:rPr>
        <w:commentReference w:id="12"/>
      </w:r>
    </w:p>
    <w:p w:rsidR="00CE1060" w:rsidRDefault="00CE1060" w:rsidP="00CE1060">
      <w:pPr>
        <w:autoSpaceDE w:val="0"/>
        <w:autoSpaceDN w:val="0"/>
        <w:adjustRightInd w:val="0"/>
        <w:spacing w:after="120"/>
        <w:rPr>
          <w:sz w:val="22"/>
          <w:szCs w:val="22"/>
        </w:rPr>
      </w:pPr>
    </w:p>
    <w:p w:rsidR="005563DD" w:rsidRPr="009D5804" w:rsidRDefault="005563DD"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 </w:t>
      </w:r>
    </w:p>
    <w:sectPr w:rsidR="005563DD" w:rsidRPr="009D5804" w:rsidSect="001E51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234394" w:rsidRDefault="00234394">
      <w:pPr>
        <w:pStyle w:val="CommentText"/>
      </w:pPr>
      <w:r>
        <w:rPr>
          <w:rStyle w:val="CommentReference"/>
        </w:rPr>
        <w:annotationRef/>
      </w:r>
    </w:p>
    <w:p w:rsidR="00234394" w:rsidRDefault="00234394">
      <w:pPr>
        <w:pStyle w:val="CommentText"/>
      </w:pPr>
    </w:p>
    <w:p w:rsidR="00234394" w:rsidRDefault="00234394">
      <w:pPr>
        <w:pStyle w:val="CommentText"/>
      </w:pPr>
      <w:r>
        <w:t>Homework by Student Number 1035.</w:t>
      </w:r>
    </w:p>
    <w:p w:rsidR="00234394" w:rsidRDefault="00234394">
      <w:pPr>
        <w:pStyle w:val="CommentText"/>
      </w:pPr>
    </w:p>
    <w:p w:rsidR="00234394" w:rsidRDefault="00234394">
      <w:pPr>
        <w:pStyle w:val="CommentText"/>
      </w:pPr>
      <w:r>
        <w:t>Graded by Student Number 1521.</w:t>
      </w:r>
    </w:p>
    <w:p w:rsidR="00234394" w:rsidRDefault="00234394">
      <w:pPr>
        <w:pStyle w:val="CommentText"/>
      </w:pPr>
    </w:p>
  </w:comment>
  <w:comment w:id="1" w:author="Author" w:initials="A">
    <w:p w:rsidR="002B2B7D" w:rsidRDefault="002B2B7D">
      <w:pPr>
        <w:pStyle w:val="CommentText"/>
      </w:pPr>
      <w:r>
        <w:rPr>
          <w:rStyle w:val="CommentReference"/>
        </w:rPr>
        <w:annotationRef/>
      </w:r>
      <w:r>
        <w:t>Total: 45 points</w:t>
      </w:r>
    </w:p>
    <w:p w:rsidR="009065BB" w:rsidRDefault="009065BB">
      <w:pPr>
        <w:pStyle w:val="CommentText"/>
      </w:pPr>
    </w:p>
    <w:p w:rsidR="009065BB" w:rsidRDefault="009065BB">
      <w:pPr>
        <w:pStyle w:val="CommentText"/>
      </w:pPr>
      <w:r>
        <w:t>Please see comments below for the scores for each question and rationales.</w:t>
      </w:r>
    </w:p>
  </w:comment>
  <w:comment w:id="3" w:author="Author" w:initials="A">
    <w:p w:rsidR="00631B7E" w:rsidRDefault="00631B7E" w:rsidP="00631B7E">
      <w:pPr>
        <w:pStyle w:val="CommentText"/>
      </w:pPr>
      <w:r>
        <w:rPr>
          <w:rStyle w:val="CommentReference"/>
        </w:rPr>
        <w:annotationRef/>
      </w:r>
      <w:r w:rsidRPr="00A4462A">
        <w:rPr>
          <w:b/>
        </w:rPr>
        <w:t>The grading key instructs: “</w:t>
      </w:r>
      <w:r w:rsidRPr="00A4462A">
        <w:rPr>
          <w:b/>
          <w:u w:val="single"/>
        </w:rPr>
        <w:t>To get any credit</w:t>
      </w:r>
      <w:r w:rsidRPr="00631B7E">
        <w:rPr>
          <w:b/>
          <w:u w:val="single"/>
        </w:rPr>
        <w:t>, the answer must note the minimum time of follow-up for a censored</w:t>
      </w:r>
      <w:r w:rsidRPr="00A4462A">
        <w:rPr>
          <w:b/>
        </w:rPr>
        <w:t xml:space="preserve"> observation.”  </w:t>
      </w:r>
      <w:r>
        <w:t xml:space="preserve">The minimum time of follow-up among censored observations is 1,827 days, or just over 5 years.  Unfortunately this response does not state the minimum time of follow-up and therefore I cannot accord credit.  </w:t>
      </w:r>
    </w:p>
    <w:p w:rsidR="00631B7E" w:rsidRDefault="00631B7E" w:rsidP="00631B7E">
      <w:pPr>
        <w:pStyle w:val="CommentText"/>
      </w:pPr>
    </w:p>
    <w:p w:rsidR="00631B7E" w:rsidRDefault="00F97054" w:rsidP="00631B7E">
      <w:pPr>
        <w:pStyle w:val="CommentText"/>
      </w:pPr>
      <w:r>
        <w:t xml:space="preserve">But </w:t>
      </w:r>
      <w:r w:rsidR="00631B7E">
        <w:t>I think the answer warrants partial credit because you are making a related point in another way.  You are indicating that censoring has not occurred by the five-year point. The status of every person is known at 5 years.   +2</w:t>
      </w:r>
      <w:r>
        <w:t>/4</w:t>
      </w:r>
      <w:r w:rsidR="00631B7E">
        <w:t>.</w:t>
      </w:r>
    </w:p>
  </w:comment>
  <w:comment w:id="4" w:author="Author" w:initials="A">
    <w:p w:rsidR="004C55BE" w:rsidRDefault="004C55BE">
      <w:pPr>
        <w:pStyle w:val="CommentText"/>
      </w:pPr>
      <w:r>
        <w:rPr>
          <w:rStyle w:val="CommentReference"/>
        </w:rPr>
        <w:annotationRef/>
      </w:r>
    </w:p>
    <w:p w:rsidR="004C55BE" w:rsidRDefault="004C55BE">
      <w:pPr>
        <w:pStyle w:val="CommentText"/>
      </w:pPr>
    </w:p>
    <w:p w:rsidR="004C55BE" w:rsidRDefault="004C55BE" w:rsidP="004C55BE">
      <w:pPr>
        <w:pStyle w:val="CommentText"/>
      </w:pPr>
      <w:r>
        <w:t xml:space="preserve">From the grading key: </w:t>
      </w:r>
    </w:p>
    <w:p w:rsidR="004C55BE" w:rsidRDefault="004C55BE" w:rsidP="004C55BE">
      <w:pPr>
        <w:pStyle w:val="CommentText"/>
      </w:pPr>
    </w:p>
    <w:p w:rsidR="004C55BE" w:rsidRDefault="004C55BE" w:rsidP="004C55BE">
      <w:pPr>
        <w:pStyle w:val="CommentText"/>
        <w:numPr>
          <w:ilvl w:val="0"/>
          <w:numId w:val="21"/>
        </w:numPr>
      </w:pPr>
      <w:r>
        <w:t>“</w:t>
      </w:r>
      <w:r>
        <w:t xml:space="preserve">The </w:t>
      </w:r>
      <w:r w:rsidRPr="004C55BE">
        <w:rPr>
          <w:b/>
        </w:rPr>
        <w:t>descr</w:t>
      </w:r>
      <w:r w:rsidRPr="004C55BE">
        <w:rPr>
          <w:b/>
        </w:rPr>
        <w:t xml:space="preserve">iptive statistics presented for </w:t>
      </w:r>
      <w:r w:rsidRPr="004C55BE">
        <w:rPr>
          <w:b/>
        </w:rPr>
        <w:t xml:space="preserve">continuous random variables should include, at a minimum, the sample size in each group, the number of cases with missing data </w:t>
      </w:r>
      <w:r>
        <w:t xml:space="preserve">(this </w:t>
      </w:r>
      <w:r>
        <w:t xml:space="preserve"> </w:t>
      </w:r>
      <w:r>
        <w:t>could be a column, or just a footnote), the mean, and the standard deviation.</w:t>
      </w:r>
      <w:r>
        <w:t>”</w:t>
      </w:r>
    </w:p>
    <w:p w:rsidR="004C55BE" w:rsidRDefault="004C55BE">
      <w:pPr>
        <w:pStyle w:val="CommentText"/>
      </w:pPr>
    </w:p>
    <w:p w:rsidR="004C55BE" w:rsidRDefault="004C55BE" w:rsidP="004C55BE">
      <w:pPr>
        <w:pStyle w:val="CommentText"/>
        <w:numPr>
          <w:ilvl w:val="0"/>
          <w:numId w:val="21"/>
        </w:numPr>
      </w:pPr>
      <w:r>
        <w:t>“</w:t>
      </w:r>
      <w:r>
        <w:t>The stud</w:t>
      </w:r>
      <w:r>
        <w:t xml:space="preserve">ent </w:t>
      </w:r>
      <w:r w:rsidRPr="009065BB">
        <w:rPr>
          <w:b/>
        </w:rPr>
        <w:t xml:space="preserve">should provide some general </w:t>
      </w:r>
      <w:r w:rsidRPr="009065BB">
        <w:rPr>
          <w:b/>
        </w:rPr>
        <w:t xml:space="preserve">comments on what the descriptive statistics tell us </w:t>
      </w:r>
      <w:r w:rsidRPr="009065BB">
        <w:rPr>
          <w:b/>
        </w:rPr>
        <w:t xml:space="preserve"> </w:t>
      </w:r>
      <w:r w:rsidRPr="009065BB">
        <w:rPr>
          <w:b/>
        </w:rPr>
        <w:t xml:space="preserve">relative to the types of patients </w:t>
      </w:r>
      <w:r w:rsidRPr="009065BB">
        <w:rPr>
          <w:b/>
          <w:u w:val="single"/>
        </w:rPr>
        <w:t>and the possibility of confounding</w:t>
      </w:r>
      <w:r>
        <w:t>.</w:t>
      </w:r>
      <w:r>
        <w:t>”</w:t>
      </w:r>
    </w:p>
    <w:p w:rsidR="004C55BE" w:rsidRDefault="004C55BE" w:rsidP="004C55BE">
      <w:pPr>
        <w:pStyle w:val="ListParagraph"/>
      </w:pPr>
    </w:p>
    <w:p w:rsidR="004C55BE" w:rsidRDefault="004C55BE" w:rsidP="004C55BE">
      <w:pPr>
        <w:pStyle w:val="CommentText"/>
      </w:pPr>
      <w:r>
        <w:t xml:space="preserve">While the statistics were clearly presented, these required elements were not present.  </w:t>
      </w:r>
      <w:r w:rsidR="00F97054">
        <w:t>There was no discussion or analysis of potential confounding and there was no listing of the sample size in each group or the number of cases of missing data for each continuous variable.  I tried to take off the minimal amount for this while conforming to the key.  +6/10.</w:t>
      </w:r>
    </w:p>
    <w:p w:rsidR="004C55BE" w:rsidRDefault="004C55BE">
      <w:pPr>
        <w:pStyle w:val="CommentText"/>
      </w:pPr>
    </w:p>
  </w:comment>
  <w:comment w:id="5" w:author="Author" w:initials="A">
    <w:p w:rsidR="00F97054" w:rsidRDefault="00F97054">
      <w:pPr>
        <w:pStyle w:val="CommentText"/>
      </w:pPr>
      <w:r>
        <w:rPr>
          <w:rStyle w:val="CommentReference"/>
        </w:rPr>
        <w:annotationRef/>
      </w:r>
      <w:r>
        <w:t>10/10</w:t>
      </w:r>
    </w:p>
  </w:comment>
  <w:comment w:id="6" w:author="Author" w:initials="A">
    <w:p w:rsidR="00F97054" w:rsidRDefault="00F97054" w:rsidP="00F97054">
      <w:pPr>
        <w:pStyle w:val="CommentText"/>
      </w:pPr>
      <w:r>
        <w:rPr>
          <w:rStyle w:val="CommentReference"/>
        </w:rPr>
        <w:annotationRef/>
      </w:r>
      <w:r>
        <w:t xml:space="preserve">Note from the key: </w:t>
      </w:r>
    </w:p>
    <w:p w:rsidR="00F97054" w:rsidRDefault="00F97054" w:rsidP="00F97054">
      <w:pPr>
        <w:pStyle w:val="CommentText"/>
      </w:pPr>
    </w:p>
    <w:p w:rsidR="00F97054" w:rsidRDefault="00F97054" w:rsidP="00F97054">
      <w:pPr>
        <w:pStyle w:val="CommentText"/>
      </w:pPr>
      <w:r>
        <w:t>Give “</w:t>
      </w:r>
      <w:r>
        <w:t xml:space="preserve">an estimate (and units) of the association (and for two sample problems, it is nice if point estimates of the individual </w:t>
      </w:r>
      <w:r>
        <w:t>groups are given when possible)”</w:t>
      </w:r>
    </w:p>
  </w:comment>
  <w:comment w:id="7" w:author="Author" w:initials="A">
    <w:p w:rsidR="00F97054" w:rsidRDefault="00F97054">
      <w:pPr>
        <w:pStyle w:val="CommentText"/>
      </w:pPr>
      <w:r>
        <w:rPr>
          <w:rStyle w:val="CommentReference"/>
        </w:rPr>
        <w:annotationRef/>
      </w:r>
      <w:r>
        <w:t>That allows for the possibility of unequal variances</w:t>
      </w:r>
    </w:p>
  </w:comment>
  <w:comment w:id="8" w:author="Author" w:initials="A">
    <w:p w:rsidR="0062640F" w:rsidRDefault="0062640F">
      <w:pPr>
        <w:pStyle w:val="CommentText"/>
      </w:pPr>
      <w:r>
        <w:rPr>
          <w:rStyle w:val="CommentReference"/>
        </w:rPr>
        <w:annotationRef/>
      </w:r>
      <w:r>
        <w:t>The figures for the difference in the mean and the 95% confidence interval do not match the key.  I think  you forgot to exponentiate but I am not sure where the calculations or commands went wrong.</w:t>
      </w:r>
    </w:p>
    <w:p w:rsidR="0062640F" w:rsidRDefault="0062640F">
      <w:pPr>
        <w:pStyle w:val="CommentText"/>
      </w:pPr>
    </w:p>
    <w:p w:rsidR="0062640F" w:rsidRDefault="0062640F">
      <w:pPr>
        <w:pStyle w:val="CommentText"/>
      </w:pPr>
      <w:r>
        <w:t>From the key:</w:t>
      </w:r>
    </w:p>
    <w:p w:rsidR="0062640F" w:rsidRDefault="0062640F">
      <w:pPr>
        <w:pStyle w:val="CommentText"/>
      </w:pPr>
    </w:p>
    <w:p w:rsidR="0062640F" w:rsidRDefault="0062640F" w:rsidP="0062640F">
      <w:pPr>
        <w:pStyle w:val="CommentText"/>
      </w:pPr>
      <w:r>
        <w:t>“</w:t>
      </w:r>
      <w:r>
        <w:t xml:space="preserve">Results: Geometric mean serum LDL was 123 mg/dL among the 606 subjects who survived at least </w:t>
      </w:r>
    </w:p>
    <w:p w:rsidR="0062640F" w:rsidRDefault="0062640F" w:rsidP="0062640F">
      <w:pPr>
        <w:pStyle w:val="CommentText"/>
      </w:pPr>
      <w:r>
        <w:t xml:space="preserve">5 years after study enrollment and 112 mg/dL among the 119 subjects who died within 5 years. </w:t>
      </w:r>
    </w:p>
    <w:p w:rsidR="0062640F" w:rsidRDefault="0062640F" w:rsidP="0062640F">
      <w:pPr>
        <w:pStyle w:val="CommentText"/>
      </w:pPr>
      <w:r>
        <w:t xml:space="preserve">Based on a 95% confidence interval computed with an allowance for unequal variances, this </w:t>
      </w:r>
    </w:p>
    <w:p w:rsidR="0062640F" w:rsidRDefault="0062640F" w:rsidP="0062640F">
      <w:pPr>
        <w:pStyle w:val="CommentText"/>
      </w:pPr>
      <w:r>
        <w:t xml:space="preserve">observed tendency of 9.65% higher geometric mean among subjects surviving at least 5 years </w:t>
      </w:r>
    </w:p>
    <w:p w:rsidR="0062640F" w:rsidRDefault="0062640F" w:rsidP="0062640F">
      <w:pPr>
        <w:pStyle w:val="CommentText"/>
      </w:pPr>
      <w:r>
        <w:t xml:space="preserve">would not be judged unusual if the true ratio of population geometric means indicated anywhere </w:t>
      </w:r>
    </w:p>
    <w:p w:rsidR="0062640F" w:rsidRDefault="0062640F" w:rsidP="0062640F">
      <w:pPr>
        <w:pStyle w:val="CommentText"/>
      </w:pPr>
      <w:r>
        <w:t xml:space="preserve">between a 2.01% to 17.9% higher geometric mean LDL among subjects who survive at least 5 </w:t>
      </w:r>
    </w:p>
    <w:p w:rsidR="0062640F" w:rsidRDefault="0062640F" w:rsidP="0062640F">
      <w:pPr>
        <w:pStyle w:val="CommentText"/>
      </w:pPr>
      <w:r>
        <w:t>years.”</w:t>
      </w:r>
    </w:p>
    <w:p w:rsidR="0062640F" w:rsidRDefault="0062640F" w:rsidP="0062640F">
      <w:pPr>
        <w:pStyle w:val="CommentText"/>
      </w:pPr>
    </w:p>
    <w:p w:rsidR="0062640F" w:rsidRDefault="0062640F" w:rsidP="0062640F">
      <w:pPr>
        <w:pStyle w:val="CommentText"/>
      </w:pPr>
      <w:r>
        <w:t>6/10</w:t>
      </w:r>
    </w:p>
  </w:comment>
  <w:comment w:id="9" w:author="Author" w:initials="A">
    <w:p w:rsidR="006E7E1C" w:rsidRDefault="006E7E1C">
      <w:pPr>
        <w:pStyle w:val="CommentText"/>
      </w:pPr>
      <w:r>
        <w:rPr>
          <w:rStyle w:val="CommentReference"/>
        </w:rPr>
        <w:annotationRef/>
      </w:r>
      <w:r>
        <w:t>From the key: use “</w:t>
      </w:r>
      <w:r w:rsidRPr="006E7E1C">
        <w:t>either the chi squared test or Fisher’s exact test</w:t>
      </w:r>
      <w:r>
        <w:t xml:space="preserve">.” </w:t>
      </w:r>
    </w:p>
    <w:p w:rsidR="006E7E1C" w:rsidRDefault="006E7E1C">
      <w:pPr>
        <w:pStyle w:val="CommentText"/>
      </w:pPr>
    </w:p>
    <w:p w:rsidR="005A420B" w:rsidRDefault="006E7E1C">
      <w:pPr>
        <w:pStyle w:val="CommentText"/>
      </w:pPr>
      <w:r>
        <w:t xml:space="preserve">Your </w:t>
      </w:r>
      <w:r w:rsidR="005A420B">
        <w:t>point estimates</w:t>
      </w:r>
      <w:r>
        <w:t xml:space="preserve"> are similar to those in the key, except </w:t>
      </w:r>
      <w:r w:rsidR="005A420B">
        <w:t xml:space="preserve">that </w:t>
      </w:r>
      <w:r>
        <w:t xml:space="preserve">the key expresses the figures in terms of the proportions of subjects who died and you express the figures in terms of the proportions that survived. </w:t>
      </w:r>
    </w:p>
    <w:p w:rsidR="005A420B" w:rsidRDefault="005A420B">
      <w:pPr>
        <w:pStyle w:val="CommentText"/>
      </w:pPr>
    </w:p>
    <w:p w:rsidR="005A420B" w:rsidRDefault="005A420B">
      <w:pPr>
        <w:pStyle w:val="CommentText"/>
      </w:pPr>
      <w:r>
        <w:t>Missing: reporting the difference in groups and the CI for the difference in groups.</w:t>
      </w:r>
    </w:p>
    <w:p w:rsidR="005A420B" w:rsidRDefault="005A420B">
      <w:pPr>
        <w:pStyle w:val="CommentText"/>
      </w:pPr>
    </w:p>
    <w:p w:rsidR="006E7E1C" w:rsidRDefault="005A420B">
      <w:pPr>
        <w:pStyle w:val="CommentText"/>
      </w:pPr>
      <w:r>
        <w:t xml:space="preserve">8/10  </w:t>
      </w:r>
    </w:p>
  </w:comment>
  <w:comment w:id="10" w:author="Author" w:initials="A">
    <w:p w:rsidR="00236623" w:rsidRDefault="00236623" w:rsidP="00236623">
      <w:pPr>
        <w:pStyle w:val="CommentText"/>
      </w:pPr>
      <w:r>
        <w:rPr>
          <w:rStyle w:val="CommentReference"/>
        </w:rPr>
        <w:annotationRef/>
      </w:r>
      <w:r>
        <w:t>Key: Use Fisher’s exact test.  “</w:t>
      </w:r>
      <w:r>
        <w:t xml:space="preserve">Based on a 95% confidence interval, this observed odds ratio of 0.735 for the comparison of the high LDL group to the low LDL group would not be judged unusual if the true odds ratio were anywhere between 0.373 to 1.36. A Fisher’s exact test two-sided p value </w:t>
      </w:r>
      <w:r>
        <w:t>[was]</w:t>
      </w:r>
      <w:r>
        <w:t xml:space="preserve"> 0.396</w:t>
      </w:r>
      <w:r>
        <w:t>.”</w:t>
      </w:r>
    </w:p>
    <w:p w:rsidR="00236623" w:rsidRDefault="00236623" w:rsidP="00236623">
      <w:pPr>
        <w:pStyle w:val="CommentText"/>
      </w:pPr>
    </w:p>
    <w:p w:rsidR="00236623" w:rsidRDefault="00236623" w:rsidP="00236623">
      <w:pPr>
        <w:pStyle w:val="CommentText"/>
      </w:pPr>
      <w:r>
        <w:t xml:space="preserve">Your odds ratio, CI and p-value do not match the key.  I’m not sure why.  Perhaps it may be due to the test or command you used.  Note </w:t>
      </w:r>
      <w:r w:rsidR="009F5BCA">
        <w:t xml:space="preserve">that </w:t>
      </w:r>
      <w:r>
        <w:t>the key says to use the Fisher’s exact test.</w:t>
      </w:r>
    </w:p>
    <w:p w:rsidR="00236623" w:rsidRDefault="00236623" w:rsidP="00236623">
      <w:pPr>
        <w:pStyle w:val="CommentText"/>
      </w:pPr>
    </w:p>
    <w:p w:rsidR="00236623" w:rsidRDefault="00236623" w:rsidP="00236623">
      <w:pPr>
        <w:pStyle w:val="CommentText"/>
      </w:pPr>
      <w:r>
        <w:t>4/10</w:t>
      </w:r>
    </w:p>
  </w:comment>
  <w:comment w:id="11" w:author="Author" w:initials="A">
    <w:p w:rsidR="00987AC8" w:rsidRDefault="00987AC8">
      <w:pPr>
        <w:pStyle w:val="CommentText"/>
      </w:pPr>
      <w:r>
        <w:rPr>
          <w:rStyle w:val="CommentReference"/>
        </w:rPr>
        <w:annotationRef/>
      </w:r>
      <w:r w:rsidR="0083072E">
        <w:t xml:space="preserve">The grading key advises using the log-rank test as the typical test and gives Kaplan-Meier curves and their interpretation.  </w:t>
      </w:r>
    </w:p>
    <w:p w:rsidR="0083072E" w:rsidRDefault="0083072E">
      <w:pPr>
        <w:pStyle w:val="CommentText"/>
      </w:pPr>
    </w:p>
    <w:p w:rsidR="0083072E" w:rsidRDefault="0083072E">
      <w:pPr>
        <w:pStyle w:val="CommentText"/>
      </w:pPr>
      <w:r>
        <w:t>The key also gives and discusses a p-value.</w:t>
      </w:r>
    </w:p>
    <w:p w:rsidR="0083072E" w:rsidRDefault="0083072E">
      <w:pPr>
        <w:pStyle w:val="CommentText"/>
      </w:pPr>
    </w:p>
    <w:p w:rsidR="0083072E" w:rsidRDefault="0083072E">
      <w:pPr>
        <w:pStyle w:val="CommentText"/>
      </w:pPr>
      <w:r>
        <w:t xml:space="preserve">For some reason, your hazard ratio is slightly off from the one in the key (0.750 compared to 0.718) and your CI is also slightly off (0.450, 1.251) compared to (0.420, 1.22).  I’m not sure why.  </w:t>
      </w:r>
    </w:p>
    <w:p w:rsidR="0083072E" w:rsidRDefault="0083072E">
      <w:pPr>
        <w:pStyle w:val="CommentText"/>
      </w:pPr>
    </w:p>
    <w:p w:rsidR="0083072E" w:rsidRDefault="0083072E">
      <w:pPr>
        <w:pStyle w:val="CommentText"/>
      </w:pPr>
      <w:r>
        <w:t>5/10</w:t>
      </w:r>
    </w:p>
  </w:comment>
  <w:comment w:id="12" w:author="Author" w:initials="A">
    <w:p w:rsidR="009F5BCA" w:rsidRDefault="002059CE">
      <w:pPr>
        <w:pStyle w:val="CommentText"/>
      </w:pPr>
      <w:r>
        <w:rPr>
          <w:rStyle w:val="CommentReference"/>
        </w:rPr>
        <w:annotationRef/>
      </w:r>
    </w:p>
    <w:p w:rsidR="009F5BCA" w:rsidRDefault="009F5BCA">
      <w:pPr>
        <w:pStyle w:val="CommentText"/>
      </w:pPr>
      <w:r>
        <w:t xml:space="preserve"> </w:t>
      </w:r>
    </w:p>
    <w:p w:rsidR="009F5BCA" w:rsidRDefault="009F5BCA" w:rsidP="009F5BCA">
      <w:pPr>
        <w:pStyle w:val="CommentText"/>
      </w:pPr>
      <w:r>
        <w:t>Scoring instructions from the key: “</w:t>
      </w:r>
      <w:r>
        <w:t>assign 2 points for mentioning each of the points I discuss below, and assign up to 4 points for making a final decision consistent with those points.</w:t>
      </w:r>
      <w:r>
        <w:t>”</w:t>
      </w:r>
    </w:p>
    <w:p w:rsidR="009F5BCA" w:rsidRDefault="009F5BCA">
      <w:pPr>
        <w:pStyle w:val="CommentText"/>
      </w:pPr>
    </w:p>
    <w:p w:rsidR="009F5BCA" w:rsidRDefault="009F5BCA" w:rsidP="009F5BCA">
      <w:pPr>
        <w:pStyle w:val="CommentText"/>
      </w:pPr>
      <w:r>
        <w:t>This answer does not contain the</w:t>
      </w:r>
      <w:r>
        <w:t xml:space="preserve"> points made in the key</w:t>
      </w:r>
      <w:r>
        <w:t>.</w:t>
      </w:r>
      <w:r>
        <w:t xml:space="preserve">  But the preference for geometric means across survival groups largely fits the conclusion </w:t>
      </w:r>
      <w:r>
        <w:t>in the key</w:t>
      </w:r>
      <w:r>
        <w:t xml:space="preserve">.  Moreover, I think your point about </w:t>
      </w:r>
      <w:r>
        <w:t>h</w:t>
      </w:r>
      <w:r>
        <w:t xml:space="preserve">eteroskedasticity and linear regression is correct. </w:t>
      </w:r>
    </w:p>
    <w:p w:rsidR="009F5BCA" w:rsidRDefault="009F5BCA">
      <w:pPr>
        <w:pStyle w:val="CommentText"/>
      </w:pPr>
    </w:p>
    <w:p w:rsidR="009F5BCA" w:rsidRDefault="009F5BCA">
      <w:pPr>
        <w:pStyle w:val="CommentText"/>
      </w:pPr>
    </w:p>
    <w:p w:rsidR="002059CE" w:rsidRDefault="002059CE">
      <w:pPr>
        <w:pStyle w:val="CommentText"/>
      </w:pPr>
      <w:r>
        <w:t>+4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27" w:rsidRDefault="00921527">
      <w:r>
        <w:separator/>
      </w:r>
    </w:p>
  </w:endnote>
  <w:endnote w:type="continuationSeparator" w:id="0">
    <w:p w:rsidR="00921527" w:rsidRDefault="0092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E0" w:rsidRDefault="00ED6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E0" w:rsidRDefault="00ED6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E0" w:rsidRDefault="00ED6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27" w:rsidRDefault="00921527">
      <w:r>
        <w:separator/>
      </w:r>
    </w:p>
  </w:footnote>
  <w:footnote w:type="continuationSeparator" w:id="0">
    <w:p w:rsidR="00921527" w:rsidRDefault="00921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E0" w:rsidRDefault="00ED6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79" w:rsidRDefault="00086779" w:rsidP="002F0282">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233B6">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233B6">
      <w:rPr>
        <w:noProof/>
        <w:snapToGrid w:val="0"/>
      </w:rPr>
      <w:t>4</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E0" w:rsidRDefault="00ED6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2F1CF1"/>
    <w:multiLevelType w:val="hybridMultilevel"/>
    <w:tmpl w:val="F9B66146"/>
    <w:lvl w:ilvl="0" w:tplc="0EE6E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2"/>
  </w:num>
  <w:num w:numId="5">
    <w:abstractNumId w:val="17"/>
  </w:num>
  <w:num w:numId="6">
    <w:abstractNumId w:val="19"/>
  </w:num>
  <w:num w:numId="7">
    <w:abstractNumId w:val="10"/>
  </w:num>
  <w:num w:numId="8">
    <w:abstractNumId w:val="12"/>
  </w:num>
  <w:num w:numId="9">
    <w:abstractNumId w:val="8"/>
  </w:num>
  <w:num w:numId="10">
    <w:abstractNumId w:val="1"/>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63C2"/>
    <w:rsid w:val="000536E1"/>
    <w:rsid w:val="00054A42"/>
    <w:rsid w:val="00060C13"/>
    <w:rsid w:val="000817A7"/>
    <w:rsid w:val="00086779"/>
    <w:rsid w:val="00097520"/>
    <w:rsid w:val="000A3E09"/>
    <w:rsid w:val="000D3734"/>
    <w:rsid w:val="000F52B6"/>
    <w:rsid w:val="0010428A"/>
    <w:rsid w:val="00132AEC"/>
    <w:rsid w:val="00132BA1"/>
    <w:rsid w:val="00140EC9"/>
    <w:rsid w:val="00160820"/>
    <w:rsid w:val="00171817"/>
    <w:rsid w:val="00195B2D"/>
    <w:rsid w:val="001D2DC2"/>
    <w:rsid w:val="001E36FF"/>
    <w:rsid w:val="001E5158"/>
    <w:rsid w:val="00202909"/>
    <w:rsid w:val="002059CE"/>
    <w:rsid w:val="0020750A"/>
    <w:rsid w:val="0021517E"/>
    <w:rsid w:val="002213A5"/>
    <w:rsid w:val="0022654E"/>
    <w:rsid w:val="00234394"/>
    <w:rsid w:val="00236623"/>
    <w:rsid w:val="0024368C"/>
    <w:rsid w:val="002500B6"/>
    <w:rsid w:val="00261CFB"/>
    <w:rsid w:val="00262673"/>
    <w:rsid w:val="00291B22"/>
    <w:rsid w:val="00297EC0"/>
    <w:rsid w:val="002B2B7D"/>
    <w:rsid w:val="002D4AC6"/>
    <w:rsid w:val="002D5B86"/>
    <w:rsid w:val="002F0282"/>
    <w:rsid w:val="003471E3"/>
    <w:rsid w:val="003531C5"/>
    <w:rsid w:val="00353B06"/>
    <w:rsid w:val="0036127B"/>
    <w:rsid w:val="00385CD1"/>
    <w:rsid w:val="003A6D85"/>
    <w:rsid w:val="003B4EAC"/>
    <w:rsid w:val="003C0FBE"/>
    <w:rsid w:val="003D318C"/>
    <w:rsid w:val="003E1300"/>
    <w:rsid w:val="00410B89"/>
    <w:rsid w:val="00415759"/>
    <w:rsid w:val="0042293A"/>
    <w:rsid w:val="0042294F"/>
    <w:rsid w:val="00422D91"/>
    <w:rsid w:val="004409CC"/>
    <w:rsid w:val="00443606"/>
    <w:rsid w:val="004514C0"/>
    <w:rsid w:val="00452963"/>
    <w:rsid w:val="004664FD"/>
    <w:rsid w:val="004A6D86"/>
    <w:rsid w:val="004C55BE"/>
    <w:rsid w:val="004D1289"/>
    <w:rsid w:val="004D1292"/>
    <w:rsid w:val="00501EC4"/>
    <w:rsid w:val="00510B41"/>
    <w:rsid w:val="00511C56"/>
    <w:rsid w:val="00523AA4"/>
    <w:rsid w:val="005563DD"/>
    <w:rsid w:val="00567523"/>
    <w:rsid w:val="00586C10"/>
    <w:rsid w:val="00597FA7"/>
    <w:rsid w:val="005A420B"/>
    <w:rsid w:val="005B14E3"/>
    <w:rsid w:val="005C35DF"/>
    <w:rsid w:val="005C5726"/>
    <w:rsid w:val="005D7E06"/>
    <w:rsid w:val="005E10EC"/>
    <w:rsid w:val="005E415C"/>
    <w:rsid w:val="006138F9"/>
    <w:rsid w:val="006152BE"/>
    <w:rsid w:val="0062265F"/>
    <w:rsid w:val="0062640F"/>
    <w:rsid w:val="006268D1"/>
    <w:rsid w:val="00631B7E"/>
    <w:rsid w:val="006336A9"/>
    <w:rsid w:val="0063762C"/>
    <w:rsid w:val="006508C5"/>
    <w:rsid w:val="00654208"/>
    <w:rsid w:val="00656742"/>
    <w:rsid w:val="0066231A"/>
    <w:rsid w:val="00673A26"/>
    <w:rsid w:val="00676B73"/>
    <w:rsid w:val="006B1E11"/>
    <w:rsid w:val="006C49EE"/>
    <w:rsid w:val="006D0F02"/>
    <w:rsid w:val="006E16C5"/>
    <w:rsid w:val="006E2663"/>
    <w:rsid w:val="006E438F"/>
    <w:rsid w:val="006E5205"/>
    <w:rsid w:val="006E7E1C"/>
    <w:rsid w:val="007356DE"/>
    <w:rsid w:val="007366CC"/>
    <w:rsid w:val="00741AE1"/>
    <w:rsid w:val="00751474"/>
    <w:rsid w:val="00762DE6"/>
    <w:rsid w:val="007667B6"/>
    <w:rsid w:val="00767D4A"/>
    <w:rsid w:val="00785A87"/>
    <w:rsid w:val="007B4E60"/>
    <w:rsid w:val="008233B6"/>
    <w:rsid w:val="0083072E"/>
    <w:rsid w:val="00836540"/>
    <w:rsid w:val="0087636D"/>
    <w:rsid w:val="008A45D9"/>
    <w:rsid w:val="008B5736"/>
    <w:rsid w:val="008C2337"/>
    <w:rsid w:val="008F73A3"/>
    <w:rsid w:val="00905BC9"/>
    <w:rsid w:val="00905E82"/>
    <w:rsid w:val="009065BB"/>
    <w:rsid w:val="00921527"/>
    <w:rsid w:val="0094708F"/>
    <w:rsid w:val="00987AC8"/>
    <w:rsid w:val="009B2370"/>
    <w:rsid w:val="009C542B"/>
    <w:rsid w:val="009D5804"/>
    <w:rsid w:val="009F413F"/>
    <w:rsid w:val="009F5BCA"/>
    <w:rsid w:val="00A0233D"/>
    <w:rsid w:val="00A05CD5"/>
    <w:rsid w:val="00A31D8C"/>
    <w:rsid w:val="00A4205F"/>
    <w:rsid w:val="00A44034"/>
    <w:rsid w:val="00A4462A"/>
    <w:rsid w:val="00A9045A"/>
    <w:rsid w:val="00AD29C0"/>
    <w:rsid w:val="00B04F23"/>
    <w:rsid w:val="00B12532"/>
    <w:rsid w:val="00B12B84"/>
    <w:rsid w:val="00B15F79"/>
    <w:rsid w:val="00B17CB5"/>
    <w:rsid w:val="00B203E1"/>
    <w:rsid w:val="00B212A5"/>
    <w:rsid w:val="00B42150"/>
    <w:rsid w:val="00B43F52"/>
    <w:rsid w:val="00B457A7"/>
    <w:rsid w:val="00B4705C"/>
    <w:rsid w:val="00B70375"/>
    <w:rsid w:val="00B814FA"/>
    <w:rsid w:val="00C15CDE"/>
    <w:rsid w:val="00C242C0"/>
    <w:rsid w:val="00C34EBC"/>
    <w:rsid w:val="00C55091"/>
    <w:rsid w:val="00C634F2"/>
    <w:rsid w:val="00C63BFC"/>
    <w:rsid w:val="00C642DD"/>
    <w:rsid w:val="00C74FEC"/>
    <w:rsid w:val="00C93A29"/>
    <w:rsid w:val="00CE1060"/>
    <w:rsid w:val="00D16C04"/>
    <w:rsid w:val="00D517E3"/>
    <w:rsid w:val="00D72BD7"/>
    <w:rsid w:val="00DC01FF"/>
    <w:rsid w:val="00DD6B80"/>
    <w:rsid w:val="00DE3817"/>
    <w:rsid w:val="00E642DA"/>
    <w:rsid w:val="00E741C7"/>
    <w:rsid w:val="00E81610"/>
    <w:rsid w:val="00E91856"/>
    <w:rsid w:val="00ED47B6"/>
    <w:rsid w:val="00ED66E0"/>
    <w:rsid w:val="00F15D49"/>
    <w:rsid w:val="00F25D49"/>
    <w:rsid w:val="00F507B9"/>
    <w:rsid w:val="00F51AEA"/>
    <w:rsid w:val="00F97054"/>
    <w:rsid w:val="00FA2C0B"/>
    <w:rsid w:val="00FB663C"/>
    <w:rsid w:val="00FE4CD6"/>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6E1"/>
    <w:pPr>
      <w:ind w:left="720"/>
      <w:contextualSpacing/>
    </w:pPr>
  </w:style>
  <w:style w:type="character" w:styleId="CommentReference">
    <w:name w:val="annotation reference"/>
    <w:basedOn w:val="DefaultParagraphFont"/>
    <w:rsid w:val="00A4462A"/>
    <w:rPr>
      <w:sz w:val="16"/>
      <w:szCs w:val="16"/>
    </w:rPr>
  </w:style>
  <w:style w:type="paragraph" w:styleId="CommentText">
    <w:name w:val="annotation text"/>
    <w:basedOn w:val="Normal"/>
    <w:link w:val="CommentTextChar"/>
    <w:rsid w:val="00A4462A"/>
  </w:style>
  <w:style w:type="character" w:customStyle="1" w:styleId="CommentTextChar">
    <w:name w:val="Comment Text Char"/>
    <w:basedOn w:val="DefaultParagraphFont"/>
    <w:link w:val="CommentText"/>
    <w:rsid w:val="00A4462A"/>
  </w:style>
  <w:style w:type="paragraph" w:styleId="CommentSubject">
    <w:name w:val="annotation subject"/>
    <w:basedOn w:val="CommentText"/>
    <w:next w:val="CommentText"/>
    <w:link w:val="CommentSubjectChar"/>
    <w:rsid w:val="00A4462A"/>
    <w:rPr>
      <w:b/>
      <w:bCs/>
    </w:rPr>
  </w:style>
  <w:style w:type="character" w:customStyle="1" w:styleId="CommentSubjectChar">
    <w:name w:val="Comment Subject Char"/>
    <w:basedOn w:val="CommentTextChar"/>
    <w:link w:val="CommentSubject"/>
    <w:rsid w:val="00A4462A"/>
    <w:rPr>
      <w:b/>
      <w:bCs/>
    </w:rPr>
  </w:style>
  <w:style w:type="paragraph" w:styleId="BalloonText">
    <w:name w:val="Balloon Text"/>
    <w:basedOn w:val="Normal"/>
    <w:link w:val="BalloonTextChar"/>
    <w:rsid w:val="00A4462A"/>
    <w:rPr>
      <w:rFonts w:ascii="Tahoma" w:hAnsi="Tahoma" w:cs="Tahoma"/>
      <w:sz w:val="16"/>
      <w:szCs w:val="16"/>
    </w:rPr>
  </w:style>
  <w:style w:type="character" w:customStyle="1" w:styleId="BalloonTextChar">
    <w:name w:val="Balloon Text Char"/>
    <w:basedOn w:val="DefaultParagraphFont"/>
    <w:link w:val="BalloonText"/>
    <w:rsid w:val="00A44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6E1"/>
    <w:pPr>
      <w:ind w:left="720"/>
      <w:contextualSpacing/>
    </w:pPr>
  </w:style>
  <w:style w:type="character" w:styleId="CommentReference">
    <w:name w:val="annotation reference"/>
    <w:basedOn w:val="DefaultParagraphFont"/>
    <w:rsid w:val="00A4462A"/>
    <w:rPr>
      <w:sz w:val="16"/>
      <w:szCs w:val="16"/>
    </w:rPr>
  </w:style>
  <w:style w:type="paragraph" w:styleId="CommentText">
    <w:name w:val="annotation text"/>
    <w:basedOn w:val="Normal"/>
    <w:link w:val="CommentTextChar"/>
    <w:rsid w:val="00A4462A"/>
  </w:style>
  <w:style w:type="character" w:customStyle="1" w:styleId="CommentTextChar">
    <w:name w:val="Comment Text Char"/>
    <w:basedOn w:val="DefaultParagraphFont"/>
    <w:link w:val="CommentText"/>
    <w:rsid w:val="00A4462A"/>
  </w:style>
  <w:style w:type="paragraph" w:styleId="CommentSubject">
    <w:name w:val="annotation subject"/>
    <w:basedOn w:val="CommentText"/>
    <w:next w:val="CommentText"/>
    <w:link w:val="CommentSubjectChar"/>
    <w:rsid w:val="00A4462A"/>
    <w:rPr>
      <w:b/>
      <w:bCs/>
    </w:rPr>
  </w:style>
  <w:style w:type="character" w:customStyle="1" w:styleId="CommentSubjectChar">
    <w:name w:val="Comment Subject Char"/>
    <w:basedOn w:val="CommentTextChar"/>
    <w:link w:val="CommentSubject"/>
    <w:rsid w:val="00A4462A"/>
    <w:rPr>
      <w:b/>
      <w:bCs/>
    </w:rPr>
  </w:style>
  <w:style w:type="paragraph" w:styleId="BalloonText">
    <w:name w:val="Balloon Text"/>
    <w:basedOn w:val="Normal"/>
    <w:link w:val="BalloonTextChar"/>
    <w:rsid w:val="00A4462A"/>
    <w:rPr>
      <w:rFonts w:ascii="Tahoma" w:hAnsi="Tahoma" w:cs="Tahoma"/>
      <w:sz w:val="16"/>
      <w:szCs w:val="16"/>
    </w:rPr>
  </w:style>
  <w:style w:type="character" w:customStyle="1" w:styleId="BalloonTextChar">
    <w:name w:val="Balloon Text Char"/>
    <w:basedOn w:val="DefaultParagraphFont"/>
    <w:link w:val="BalloonText"/>
    <w:rsid w:val="00A44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81015841">
      <w:bodyDiv w:val="1"/>
      <w:marLeft w:val="0"/>
      <w:marRight w:val="0"/>
      <w:marTop w:val="0"/>
      <w:marBottom w:val="0"/>
      <w:divBdr>
        <w:top w:val="none" w:sz="0" w:space="0" w:color="auto"/>
        <w:left w:val="none" w:sz="0" w:space="0" w:color="auto"/>
        <w:bottom w:val="none" w:sz="0" w:space="0" w:color="auto"/>
        <w:right w:val="none" w:sz="0" w:space="0" w:color="auto"/>
      </w:divBdr>
    </w:div>
    <w:div w:id="496001732">
      <w:bodyDiv w:val="1"/>
      <w:marLeft w:val="0"/>
      <w:marRight w:val="0"/>
      <w:marTop w:val="0"/>
      <w:marBottom w:val="0"/>
      <w:divBdr>
        <w:top w:val="none" w:sz="0" w:space="0" w:color="auto"/>
        <w:left w:val="none" w:sz="0" w:space="0" w:color="auto"/>
        <w:bottom w:val="none" w:sz="0" w:space="0" w:color="auto"/>
        <w:right w:val="none" w:sz="0" w:space="0" w:color="auto"/>
      </w:divBdr>
    </w:div>
    <w:div w:id="795486123">
      <w:bodyDiv w:val="1"/>
      <w:marLeft w:val="0"/>
      <w:marRight w:val="0"/>
      <w:marTop w:val="0"/>
      <w:marBottom w:val="0"/>
      <w:divBdr>
        <w:top w:val="none" w:sz="0" w:space="0" w:color="auto"/>
        <w:left w:val="none" w:sz="0" w:space="0" w:color="auto"/>
        <w:bottom w:val="none" w:sz="0" w:space="0" w:color="auto"/>
        <w:right w:val="none" w:sz="0" w:space="0" w:color="auto"/>
      </w:divBdr>
    </w:div>
    <w:div w:id="86024115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819957235">
      <w:bodyDiv w:val="1"/>
      <w:marLeft w:val="0"/>
      <w:marRight w:val="0"/>
      <w:marTop w:val="0"/>
      <w:marBottom w:val="0"/>
      <w:divBdr>
        <w:top w:val="none" w:sz="0" w:space="0" w:color="auto"/>
        <w:left w:val="none" w:sz="0" w:space="0" w:color="auto"/>
        <w:bottom w:val="none" w:sz="0" w:space="0" w:color="auto"/>
        <w:right w:val="none" w:sz="0" w:space="0" w:color="auto"/>
      </w:divBdr>
    </w:div>
    <w:div w:id="205306788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merson@uw.edu"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08B1E-B01C-4CAC-9A71-E590E17B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7999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9611</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2014-01-14T23:19:00Z</dcterms:created>
  <dcterms:modified xsi:type="dcterms:W3CDTF">2014-01-14T23:19:00Z</dcterms:modified>
</cp:coreProperties>
</file>