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rsidR="0062265F" w:rsidRPr="0062265F" w:rsidRDefault="0062265F" w:rsidP="00476DDB">
      <w:pPr>
        <w:autoSpaceDE w:val="0"/>
        <w:autoSpaceDN w:val="0"/>
        <w:adjustRightInd w:val="0"/>
        <w:rPr>
          <w:i/>
          <w:iCs/>
          <w:color w:val="000000"/>
          <w:sz w:val="22"/>
          <w:szCs w:val="22"/>
        </w:rPr>
      </w:pPr>
    </w:p>
    <w:p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 xml:space="preserve">associations between death from any cause and serum low density lipoprotein (LDL) levels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w:t>
      </w:r>
      <w:proofErr w:type="spellStart"/>
      <w:r w:rsidR="00FB663C" w:rsidRPr="009D5804">
        <w:rPr>
          <w:sz w:val="22"/>
          <w:szCs w:val="22"/>
        </w:rPr>
        <w:t>Stata</w:t>
      </w:r>
      <w:proofErr w:type="spellEnd"/>
      <w:r w:rsidR="00FB663C" w:rsidRPr="009D5804">
        <w:rPr>
          <w:sz w:val="22"/>
          <w:szCs w:val="22"/>
        </w:rPr>
        <w:t xml:space="preserve"> using the following code in a .do file. </w:t>
      </w:r>
    </w:p>
    <w:p w:rsidR="00261CFB" w:rsidRPr="009D5804" w:rsidRDefault="00261CFB" w:rsidP="00261CFB">
      <w:pPr>
        <w:autoSpaceDE w:val="0"/>
        <w:autoSpaceDN w:val="0"/>
        <w:adjustRightInd w:val="0"/>
        <w:rPr>
          <w:sz w:val="22"/>
          <w:szCs w:val="22"/>
        </w:rPr>
      </w:pPr>
    </w:p>
    <w:p w:rsidR="00FB663C" w:rsidRPr="0022654E" w:rsidRDefault="00FB663C" w:rsidP="00FB663C">
      <w:pPr>
        <w:pStyle w:val="HTMLPreformatted"/>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rsidR="00FB663C" w:rsidRPr="0022654E" w:rsidRDefault="00FB663C" w:rsidP="00FB663C">
      <w:pPr>
        <w:pStyle w:val="HTMLPreformatted"/>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alb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rsidR="00FB663C" w:rsidRPr="0022654E" w:rsidRDefault="00FB663C" w:rsidP="00FB663C">
      <w:pPr>
        <w:pStyle w:val="HTMLPreformatted"/>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rsidR="00FB663C" w:rsidRPr="0022654E" w:rsidRDefault="00FB663C" w:rsidP="00FB663C">
      <w:pPr>
        <w:pStyle w:val="HTMLPreformatted"/>
      </w:pPr>
      <w:r w:rsidRPr="0022654E">
        <w:t xml:space="preserve">    </w:t>
      </w:r>
      <w:proofErr w:type="gramStart"/>
      <w:r w:rsidRPr="0022654E">
        <w:t>using</w:t>
      </w:r>
      <w:proofErr w:type="gramEnd"/>
      <w:r w:rsidRPr="0022654E">
        <w:t xml:space="preserve"> http://www.emersonstatistics.com/datasets/mri.txt </w:t>
      </w:r>
    </w:p>
    <w:p w:rsidR="00476DDB" w:rsidRDefault="00476DDB" w:rsidP="00C55091">
      <w:pPr>
        <w:autoSpaceDE w:val="0"/>
        <w:autoSpaceDN w:val="0"/>
        <w:adjustRightInd w:val="0"/>
        <w:rPr>
          <w:rFonts w:ascii="Courier New" w:hAnsi="Courier New" w:cs="Courier New"/>
          <w:sz w:val="22"/>
          <w:szCs w:val="22"/>
        </w:rPr>
      </w:pPr>
    </w:p>
    <w:p w:rsidR="00C55091" w:rsidRPr="009D5804" w:rsidRDefault="00C55091" w:rsidP="00C55091">
      <w:pPr>
        <w:autoSpaceDE w:val="0"/>
        <w:autoSpaceDN w:val="0"/>
        <w:adjustRightInd w:val="0"/>
        <w:rPr>
          <w:sz w:val="22"/>
          <w:szCs w:val="22"/>
        </w:rPr>
      </w:pPr>
      <w:r w:rsidRPr="009D5804">
        <w:rPr>
          <w:sz w:val="22"/>
          <w:szCs w:val="22"/>
        </w:rPr>
        <w:t>Recommendations for risk of cardiovascular disease according to serum LDL (low density lipoprotein) levels are as follows (taken from the Mayo Clinic website):</w:t>
      </w:r>
    </w:p>
    <w:tbl>
      <w:tblPr>
        <w:tblStyle w:val="TableGrid"/>
        <w:tblW w:w="0" w:type="auto"/>
        <w:jc w:val="center"/>
        <w:tblLook w:val="0000"/>
      </w:tblPr>
      <w:tblGrid>
        <w:gridCol w:w="2141"/>
        <w:gridCol w:w="4523"/>
      </w:tblGrid>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Below 70 mg/</w:t>
            </w:r>
            <w:proofErr w:type="spellStart"/>
            <w:r w:rsidRPr="009D5804">
              <w:rPr>
                <w:sz w:val="22"/>
                <w:szCs w:val="22"/>
              </w:rPr>
              <w:t>dL</w:t>
            </w:r>
            <w:proofErr w:type="spellEnd"/>
          </w:p>
        </w:tc>
        <w:tc>
          <w:tcPr>
            <w:tcW w:w="0" w:type="auto"/>
          </w:tcPr>
          <w:p w:rsidR="00C55091" w:rsidRPr="009D5804" w:rsidRDefault="00C55091" w:rsidP="00A44034">
            <w:pPr>
              <w:spacing w:line="360" w:lineRule="atLeast"/>
              <w:jc w:val="center"/>
              <w:rPr>
                <w:sz w:val="22"/>
                <w:szCs w:val="22"/>
              </w:rPr>
            </w:pPr>
            <w:r w:rsidRPr="009D5804">
              <w:rPr>
                <w:sz w:val="22"/>
                <w:szCs w:val="22"/>
              </w:rPr>
              <w:t>Ideal for people at very high risk of heart disease</w:t>
            </w:r>
          </w:p>
        </w:tc>
      </w:tr>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Below 100 mg/</w:t>
            </w:r>
            <w:proofErr w:type="spellStart"/>
            <w:r w:rsidRPr="009D5804">
              <w:rPr>
                <w:sz w:val="22"/>
                <w:szCs w:val="22"/>
              </w:rPr>
              <w:t>dL</w:t>
            </w:r>
            <w:proofErr w:type="spellEnd"/>
          </w:p>
        </w:tc>
        <w:tc>
          <w:tcPr>
            <w:tcW w:w="0" w:type="auto"/>
          </w:tcPr>
          <w:p w:rsidR="00C55091" w:rsidRPr="009D5804" w:rsidRDefault="00C55091" w:rsidP="00A44034">
            <w:pPr>
              <w:spacing w:line="360" w:lineRule="atLeast"/>
              <w:jc w:val="center"/>
              <w:rPr>
                <w:sz w:val="22"/>
                <w:szCs w:val="22"/>
              </w:rPr>
            </w:pPr>
            <w:r w:rsidRPr="009D5804">
              <w:rPr>
                <w:sz w:val="22"/>
                <w:szCs w:val="22"/>
              </w:rPr>
              <w:t>Ideal for people at risk of heart disease</w:t>
            </w:r>
          </w:p>
        </w:tc>
      </w:tr>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100-129 mg/</w:t>
            </w:r>
            <w:proofErr w:type="spellStart"/>
            <w:r w:rsidRPr="009D5804">
              <w:rPr>
                <w:sz w:val="22"/>
                <w:szCs w:val="22"/>
              </w:rPr>
              <w:t>dL</w:t>
            </w:r>
            <w:proofErr w:type="spellEnd"/>
          </w:p>
        </w:tc>
        <w:tc>
          <w:tcPr>
            <w:tcW w:w="0" w:type="auto"/>
          </w:tcPr>
          <w:p w:rsidR="00C55091" w:rsidRPr="009D5804" w:rsidRDefault="00C55091" w:rsidP="00A44034">
            <w:pPr>
              <w:spacing w:line="360" w:lineRule="atLeast"/>
              <w:jc w:val="center"/>
              <w:rPr>
                <w:sz w:val="22"/>
                <w:szCs w:val="22"/>
              </w:rPr>
            </w:pPr>
            <w:r w:rsidRPr="009D5804">
              <w:rPr>
                <w:sz w:val="22"/>
                <w:szCs w:val="22"/>
              </w:rPr>
              <w:t>Near ideal</w:t>
            </w:r>
          </w:p>
        </w:tc>
      </w:tr>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130-159 mg/</w:t>
            </w:r>
            <w:proofErr w:type="spellStart"/>
            <w:r w:rsidRPr="009D5804">
              <w:rPr>
                <w:sz w:val="22"/>
                <w:szCs w:val="22"/>
              </w:rPr>
              <w:t>dL</w:t>
            </w:r>
            <w:proofErr w:type="spellEnd"/>
          </w:p>
        </w:tc>
        <w:tc>
          <w:tcPr>
            <w:tcW w:w="0" w:type="auto"/>
          </w:tcPr>
          <w:p w:rsidR="00C55091" w:rsidRPr="009D5804" w:rsidRDefault="00C55091" w:rsidP="00A44034">
            <w:pPr>
              <w:spacing w:line="360" w:lineRule="atLeast"/>
              <w:jc w:val="center"/>
              <w:rPr>
                <w:sz w:val="22"/>
                <w:szCs w:val="22"/>
              </w:rPr>
            </w:pPr>
            <w:r w:rsidRPr="009D5804">
              <w:rPr>
                <w:sz w:val="22"/>
                <w:szCs w:val="22"/>
              </w:rPr>
              <w:t>Borderline high</w:t>
            </w:r>
          </w:p>
        </w:tc>
      </w:tr>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160-189 mg/</w:t>
            </w:r>
            <w:proofErr w:type="spellStart"/>
            <w:r w:rsidRPr="009D5804">
              <w:rPr>
                <w:sz w:val="22"/>
                <w:szCs w:val="22"/>
              </w:rPr>
              <w:t>dL</w:t>
            </w:r>
            <w:proofErr w:type="spellEnd"/>
          </w:p>
        </w:tc>
        <w:tc>
          <w:tcPr>
            <w:tcW w:w="0" w:type="auto"/>
          </w:tcPr>
          <w:p w:rsidR="00C55091" w:rsidRPr="009D5804" w:rsidRDefault="00C55091" w:rsidP="00A44034">
            <w:pPr>
              <w:spacing w:line="360" w:lineRule="atLeast"/>
              <w:jc w:val="center"/>
              <w:rPr>
                <w:sz w:val="22"/>
                <w:szCs w:val="22"/>
              </w:rPr>
            </w:pPr>
            <w:r w:rsidRPr="009D5804">
              <w:rPr>
                <w:sz w:val="22"/>
                <w:szCs w:val="22"/>
              </w:rPr>
              <w:t>High</w:t>
            </w:r>
          </w:p>
        </w:tc>
      </w:tr>
      <w:tr w:rsidR="00C55091" w:rsidRPr="009D5804" w:rsidTr="00A44034">
        <w:trPr>
          <w:jc w:val="center"/>
        </w:trPr>
        <w:tc>
          <w:tcPr>
            <w:tcW w:w="0" w:type="auto"/>
          </w:tcPr>
          <w:p w:rsidR="00C55091" w:rsidRPr="009D5804" w:rsidRDefault="00C55091" w:rsidP="00A44034">
            <w:pPr>
              <w:spacing w:line="360" w:lineRule="atLeast"/>
              <w:jc w:val="center"/>
              <w:rPr>
                <w:sz w:val="22"/>
                <w:szCs w:val="22"/>
              </w:rPr>
            </w:pPr>
            <w:r w:rsidRPr="009D5804">
              <w:rPr>
                <w:sz w:val="22"/>
                <w:szCs w:val="22"/>
              </w:rPr>
              <w:t>190 mg/</w:t>
            </w:r>
            <w:proofErr w:type="spellStart"/>
            <w:r w:rsidRPr="009D5804">
              <w:rPr>
                <w:sz w:val="22"/>
                <w:szCs w:val="22"/>
              </w:rPr>
              <w:t>dL</w:t>
            </w:r>
            <w:proofErr w:type="spellEnd"/>
            <w:r w:rsidRPr="009D5804">
              <w:rPr>
                <w:sz w:val="22"/>
                <w:szCs w:val="22"/>
              </w:rPr>
              <w:t xml:space="preserve"> and above</w:t>
            </w:r>
          </w:p>
        </w:tc>
        <w:tc>
          <w:tcPr>
            <w:tcW w:w="0" w:type="auto"/>
          </w:tcPr>
          <w:p w:rsidR="00C55091" w:rsidRPr="009D5804" w:rsidRDefault="00C55091" w:rsidP="00A44034">
            <w:pPr>
              <w:spacing w:line="360" w:lineRule="atLeast"/>
              <w:jc w:val="center"/>
              <w:rPr>
                <w:sz w:val="22"/>
                <w:szCs w:val="22"/>
              </w:rPr>
            </w:pPr>
            <w:r w:rsidRPr="009D5804">
              <w:rPr>
                <w:sz w:val="22"/>
                <w:szCs w:val="22"/>
              </w:rPr>
              <w:t>Very high</w:t>
            </w:r>
          </w:p>
        </w:tc>
      </w:tr>
    </w:tbl>
    <w:p w:rsidR="001E5158" w:rsidRPr="009D5804" w:rsidRDefault="001E5158" w:rsidP="00261CFB">
      <w:pPr>
        <w:autoSpaceDE w:val="0"/>
        <w:autoSpaceDN w:val="0"/>
        <w:adjustRightInd w:val="0"/>
        <w:spacing w:after="120"/>
        <w:rPr>
          <w:sz w:val="22"/>
          <w:szCs w:val="22"/>
        </w:rPr>
      </w:pPr>
    </w:p>
    <w:p w:rsidR="00C47CF9" w:rsidRPr="00C47CF9" w:rsidRDefault="00762DE6" w:rsidP="00C47CF9">
      <w:pPr>
        <w:numPr>
          <w:ilvl w:val="0"/>
          <w:numId w:val="19"/>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tbl>
      <w:tblPr>
        <w:tblpPr w:leftFromText="180" w:rightFromText="180" w:vertAnchor="text" w:horzAnchor="page" w:tblpX="2326" w:tblpY="126"/>
        <w:tblW w:w="6220" w:type="dxa"/>
        <w:tblCellMar>
          <w:left w:w="0" w:type="dxa"/>
          <w:right w:w="0" w:type="dxa"/>
        </w:tblCellMar>
        <w:tblLook w:val="04A0"/>
      </w:tblPr>
      <w:tblGrid>
        <w:gridCol w:w="2244"/>
        <w:gridCol w:w="960"/>
        <w:gridCol w:w="960"/>
        <w:gridCol w:w="960"/>
        <w:gridCol w:w="960"/>
        <w:gridCol w:w="960"/>
      </w:tblGrid>
      <w:tr w:rsidR="00C47CF9" w:rsidTr="00C47CF9">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r>
              <w:rPr>
                <w:rFonts w:ascii="Calibri" w:hAnsi="Calibri"/>
                <w:b/>
                <w:bCs/>
                <w:color w:val="000000"/>
                <w:sz w:val="22"/>
                <w:szCs w:val="22"/>
              </w:rPr>
              <w:t>Variable</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proofErr w:type="spellStart"/>
            <w:r>
              <w:rPr>
                <w:rFonts w:ascii="Calibri" w:hAnsi="Calibri"/>
                <w:b/>
                <w:bCs/>
                <w:color w:val="000000"/>
                <w:sz w:val="22"/>
                <w:szCs w:val="22"/>
              </w:rPr>
              <w:t>Obs</w:t>
            </w:r>
            <w:proofErr w:type="spellEnd"/>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r>
              <w:rPr>
                <w:rFonts w:ascii="Calibri" w:hAnsi="Calibri"/>
                <w:b/>
                <w:bCs/>
                <w:color w:val="000000"/>
                <w:sz w:val="22"/>
                <w:szCs w:val="22"/>
              </w:rPr>
              <w:t>Mean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r>
              <w:rPr>
                <w:rFonts w:ascii="Calibri" w:hAnsi="Calibri"/>
                <w:b/>
                <w:bCs/>
                <w:color w:val="000000"/>
                <w:sz w:val="22"/>
                <w:szCs w:val="22"/>
              </w:rPr>
              <w:t>Std. Dev.</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r>
              <w:rPr>
                <w:rFonts w:ascii="Calibri" w:hAnsi="Calibri"/>
                <w:b/>
                <w:bCs/>
                <w:color w:val="000000"/>
                <w:sz w:val="22"/>
                <w:szCs w:val="22"/>
              </w:rPr>
              <w:t>Min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b/>
                <w:bCs/>
                <w:color w:val="000000"/>
                <w:sz w:val="22"/>
                <w:szCs w:val="22"/>
              </w:rPr>
            </w:pPr>
            <w:r>
              <w:rPr>
                <w:rFonts w:ascii="Calibri" w:hAnsi="Calibri"/>
                <w:b/>
                <w:bCs/>
                <w:color w:val="000000"/>
                <w:sz w:val="22"/>
                <w:szCs w:val="22"/>
              </w:rPr>
              <w:t>Max</w:t>
            </w:r>
          </w:p>
        </w:tc>
      </w:tr>
      <w:tr w:rsidR="00C47CF9" w:rsidTr="00C47CF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Observation time (years)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5.327021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0.296818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5.002053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7CF9" w:rsidRDefault="00C47CF9" w:rsidP="00C47CF9">
            <w:pPr>
              <w:jc w:val="right"/>
              <w:rPr>
                <w:rFonts w:ascii="Calibri" w:hAnsi="Calibri"/>
                <w:color w:val="000000"/>
                <w:sz w:val="22"/>
                <w:szCs w:val="22"/>
              </w:rPr>
            </w:pPr>
            <w:r>
              <w:rPr>
                <w:rFonts w:ascii="Calibri" w:hAnsi="Calibri"/>
                <w:color w:val="000000"/>
                <w:sz w:val="22"/>
                <w:szCs w:val="22"/>
              </w:rPr>
              <w:t>5.91102</w:t>
            </w:r>
          </w:p>
        </w:tc>
      </w:tr>
    </w:tbl>
    <w:p w:rsidR="00C47CF9" w:rsidRDefault="00C47CF9" w:rsidP="00407BBA">
      <w:pPr>
        <w:autoSpaceDE w:val="0"/>
        <w:autoSpaceDN w:val="0"/>
        <w:adjustRightInd w:val="0"/>
        <w:spacing w:after="120"/>
        <w:rPr>
          <w:sz w:val="22"/>
          <w:szCs w:val="22"/>
        </w:rPr>
      </w:pPr>
    </w:p>
    <w:p w:rsidR="00C47CF9" w:rsidRDefault="00C47CF9" w:rsidP="00407BBA">
      <w:pPr>
        <w:autoSpaceDE w:val="0"/>
        <w:autoSpaceDN w:val="0"/>
        <w:adjustRightInd w:val="0"/>
        <w:spacing w:after="120"/>
        <w:rPr>
          <w:sz w:val="22"/>
          <w:szCs w:val="22"/>
        </w:rPr>
      </w:pPr>
    </w:p>
    <w:p w:rsidR="00C47CF9" w:rsidRDefault="00C47CF9" w:rsidP="00407BBA">
      <w:pPr>
        <w:autoSpaceDE w:val="0"/>
        <w:autoSpaceDN w:val="0"/>
        <w:adjustRightInd w:val="0"/>
        <w:spacing w:after="120"/>
        <w:rPr>
          <w:sz w:val="22"/>
          <w:szCs w:val="22"/>
        </w:rPr>
      </w:pPr>
    </w:p>
    <w:p w:rsidR="00C47CF9" w:rsidRDefault="00C47CF9" w:rsidP="00407BBA">
      <w:pPr>
        <w:autoSpaceDE w:val="0"/>
        <w:autoSpaceDN w:val="0"/>
        <w:adjustRightInd w:val="0"/>
        <w:spacing w:after="120"/>
        <w:rPr>
          <w:sz w:val="22"/>
          <w:szCs w:val="22"/>
        </w:rPr>
      </w:pPr>
      <w:r>
        <w:rPr>
          <w:sz w:val="22"/>
          <w:szCs w:val="22"/>
        </w:rPr>
        <w:t>Table 1: Observation time (in years) for patients with right-censored observations</w:t>
      </w:r>
    </w:p>
    <w:p w:rsidR="00407BBA" w:rsidRPr="00407BBA" w:rsidRDefault="00407BBA" w:rsidP="00407BBA">
      <w:pPr>
        <w:autoSpaceDE w:val="0"/>
        <w:autoSpaceDN w:val="0"/>
        <w:adjustRightInd w:val="0"/>
        <w:spacing w:after="120"/>
        <w:rPr>
          <w:sz w:val="22"/>
          <w:szCs w:val="22"/>
        </w:rPr>
      </w:pPr>
      <w:r>
        <w:rPr>
          <w:sz w:val="22"/>
          <w:szCs w:val="22"/>
        </w:rPr>
        <w:t xml:space="preserve">The first censoring event occurred after 5 years of study enrollment (the minimum observation time until censoring is 5.002 years), so dichotomizing the time to death according to death within 5 years of study enrollment is a valid approach. </w:t>
      </w:r>
    </w:p>
    <w:p w:rsidR="005A13AF" w:rsidRPr="008E498B" w:rsidRDefault="005A13AF" w:rsidP="008E498B">
      <w:pPr>
        <w:autoSpaceDE w:val="0"/>
        <w:autoSpaceDN w:val="0"/>
        <w:adjustRightInd w:val="0"/>
        <w:spacing w:after="120"/>
        <w:rPr>
          <w:sz w:val="22"/>
          <w:szCs w:val="22"/>
        </w:rPr>
      </w:pPr>
    </w:p>
    <w:p w:rsidR="00261CFB" w:rsidRDefault="00762DE6"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tbl>
      <w:tblPr>
        <w:tblStyle w:val="TableGrid"/>
        <w:tblW w:w="0" w:type="auto"/>
        <w:tblLook w:val="04A0"/>
      </w:tblPr>
      <w:tblGrid>
        <w:gridCol w:w="1352"/>
        <w:gridCol w:w="1159"/>
        <w:gridCol w:w="1049"/>
        <w:gridCol w:w="656"/>
        <w:gridCol w:w="1158"/>
        <w:gridCol w:w="781"/>
        <w:gridCol w:w="656"/>
        <w:gridCol w:w="1158"/>
        <w:gridCol w:w="812"/>
        <w:gridCol w:w="795"/>
      </w:tblGrid>
      <w:tr w:rsidR="00E35138" w:rsidTr="00E35138">
        <w:tc>
          <w:tcPr>
            <w:tcW w:w="1352" w:type="dxa"/>
          </w:tcPr>
          <w:p w:rsidR="00E35138" w:rsidRDefault="00E35138" w:rsidP="008E498B">
            <w:pPr>
              <w:autoSpaceDE w:val="0"/>
              <w:autoSpaceDN w:val="0"/>
              <w:adjustRightInd w:val="0"/>
              <w:spacing w:after="120"/>
              <w:rPr>
                <w:sz w:val="22"/>
                <w:szCs w:val="22"/>
              </w:rPr>
            </w:pPr>
          </w:p>
        </w:tc>
        <w:tc>
          <w:tcPr>
            <w:tcW w:w="2864" w:type="dxa"/>
            <w:gridSpan w:val="3"/>
          </w:tcPr>
          <w:p w:rsidR="00E35138" w:rsidRDefault="00E35138" w:rsidP="00E35138">
            <w:pPr>
              <w:autoSpaceDE w:val="0"/>
              <w:autoSpaceDN w:val="0"/>
              <w:adjustRightInd w:val="0"/>
              <w:spacing w:after="120"/>
              <w:jc w:val="center"/>
              <w:rPr>
                <w:sz w:val="22"/>
                <w:szCs w:val="22"/>
              </w:rPr>
            </w:pPr>
            <w:r>
              <w:rPr>
                <w:sz w:val="22"/>
                <w:szCs w:val="22"/>
              </w:rPr>
              <w:t>High LDL (&gt;160mg/</w:t>
            </w:r>
            <w:proofErr w:type="spellStart"/>
            <w:r>
              <w:rPr>
                <w:sz w:val="22"/>
                <w:szCs w:val="22"/>
              </w:rPr>
              <w:t>dL</w:t>
            </w:r>
            <w:proofErr w:type="spellEnd"/>
            <w:r>
              <w:rPr>
                <w:sz w:val="22"/>
                <w:szCs w:val="22"/>
              </w:rPr>
              <w:t>)</w:t>
            </w:r>
          </w:p>
        </w:tc>
        <w:tc>
          <w:tcPr>
            <w:tcW w:w="2595" w:type="dxa"/>
            <w:gridSpan w:val="3"/>
          </w:tcPr>
          <w:p w:rsidR="00E35138" w:rsidRDefault="00E35138" w:rsidP="00E35138">
            <w:pPr>
              <w:autoSpaceDE w:val="0"/>
              <w:autoSpaceDN w:val="0"/>
              <w:adjustRightInd w:val="0"/>
              <w:spacing w:after="120"/>
              <w:jc w:val="center"/>
              <w:rPr>
                <w:sz w:val="22"/>
                <w:szCs w:val="22"/>
              </w:rPr>
            </w:pPr>
            <w:r>
              <w:rPr>
                <w:sz w:val="22"/>
                <w:szCs w:val="22"/>
              </w:rPr>
              <w:t>Low LDL (&lt;160mg/</w:t>
            </w:r>
            <w:proofErr w:type="spellStart"/>
            <w:r>
              <w:rPr>
                <w:sz w:val="22"/>
                <w:szCs w:val="22"/>
              </w:rPr>
              <w:t>dL</w:t>
            </w:r>
            <w:proofErr w:type="spellEnd"/>
            <w:r>
              <w:rPr>
                <w:sz w:val="22"/>
                <w:szCs w:val="22"/>
              </w:rPr>
              <w:t>)</w:t>
            </w:r>
          </w:p>
        </w:tc>
        <w:tc>
          <w:tcPr>
            <w:tcW w:w="2765" w:type="dxa"/>
            <w:gridSpan w:val="3"/>
          </w:tcPr>
          <w:p w:rsidR="00E35138" w:rsidRDefault="00E35138" w:rsidP="00E35138">
            <w:pPr>
              <w:autoSpaceDE w:val="0"/>
              <w:autoSpaceDN w:val="0"/>
              <w:adjustRightInd w:val="0"/>
              <w:spacing w:after="120"/>
              <w:jc w:val="center"/>
              <w:rPr>
                <w:sz w:val="22"/>
                <w:szCs w:val="22"/>
              </w:rPr>
            </w:pPr>
            <w:r>
              <w:rPr>
                <w:sz w:val="22"/>
                <w:szCs w:val="22"/>
              </w:rPr>
              <w:t>Total</w:t>
            </w:r>
          </w:p>
        </w:tc>
      </w:tr>
      <w:tr w:rsidR="00E35138" w:rsidTr="00E35138">
        <w:tc>
          <w:tcPr>
            <w:tcW w:w="1352" w:type="dxa"/>
          </w:tcPr>
          <w:p w:rsidR="00E35138" w:rsidRDefault="00E35138" w:rsidP="008E498B">
            <w:pPr>
              <w:autoSpaceDE w:val="0"/>
              <w:autoSpaceDN w:val="0"/>
              <w:adjustRightInd w:val="0"/>
              <w:spacing w:after="120"/>
              <w:rPr>
                <w:sz w:val="22"/>
                <w:szCs w:val="22"/>
              </w:rPr>
            </w:pPr>
          </w:p>
        </w:tc>
        <w:tc>
          <w:tcPr>
            <w:tcW w:w="1159" w:type="dxa"/>
          </w:tcPr>
          <w:p w:rsidR="00E35138" w:rsidRDefault="00E35138" w:rsidP="008E498B">
            <w:pPr>
              <w:autoSpaceDE w:val="0"/>
              <w:autoSpaceDN w:val="0"/>
              <w:adjustRightInd w:val="0"/>
              <w:spacing w:after="120"/>
              <w:rPr>
                <w:sz w:val="22"/>
                <w:szCs w:val="22"/>
              </w:rPr>
            </w:pPr>
            <w:r>
              <w:rPr>
                <w:sz w:val="22"/>
                <w:szCs w:val="22"/>
              </w:rPr>
              <w:t>N (</w:t>
            </w:r>
            <w:proofErr w:type="spellStart"/>
            <w:r>
              <w:rPr>
                <w:sz w:val="22"/>
                <w:szCs w:val="22"/>
              </w:rPr>
              <w:t>nmissing</w:t>
            </w:r>
            <w:proofErr w:type="spellEnd"/>
            <w:r>
              <w:rPr>
                <w:sz w:val="22"/>
                <w:szCs w:val="22"/>
              </w:rPr>
              <w:t>)</w:t>
            </w:r>
          </w:p>
        </w:tc>
        <w:tc>
          <w:tcPr>
            <w:tcW w:w="1049" w:type="dxa"/>
          </w:tcPr>
          <w:p w:rsidR="00E35138" w:rsidRDefault="00E35138" w:rsidP="000B5CDA">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656" w:type="dxa"/>
          </w:tcPr>
          <w:p w:rsidR="00E35138" w:rsidRDefault="00E35138" w:rsidP="000B5CDA">
            <w:pPr>
              <w:autoSpaceDE w:val="0"/>
              <w:autoSpaceDN w:val="0"/>
              <w:adjustRightInd w:val="0"/>
              <w:spacing w:after="120"/>
              <w:rPr>
                <w:sz w:val="22"/>
                <w:szCs w:val="22"/>
              </w:rPr>
            </w:pPr>
            <w:r>
              <w:rPr>
                <w:sz w:val="22"/>
                <w:szCs w:val="22"/>
              </w:rPr>
              <w:t>Min-max</w:t>
            </w:r>
          </w:p>
        </w:tc>
        <w:tc>
          <w:tcPr>
            <w:tcW w:w="1158" w:type="dxa"/>
          </w:tcPr>
          <w:p w:rsidR="00E35138" w:rsidRDefault="00E35138" w:rsidP="000B5CDA">
            <w:pPr>
              <w:autoSpaceDE w:val="0"/>
              <w:autoSpaceDN w:val="0"/>
              <w:adjustRightInd w:val="0"/>
              <w:spacing w:after="120"/>
              <w:rPr>
                <w:sz w:val="22"/>
                <w:szCs w:val="22"/>
              </w:rPr>
            </w:pPr>
            <w:r>
              <w:rPr>
                <w:sz w:val="22"/>
                <w:szCs w:val="22"/>
              </w:rPr>
              <w:t>N (</w:t>
            </w:r>
            <w:proofErr w:type="spellStart"/>
            <w:r>
              <w:rPr>
                <w:sz w:val="22"/>
                <w:szCs w:val="22"/>
              </w:rPr>
              <w:t>nmissing</w:t>
            </w:r>
            <w:proofErr w:type="spellEnd"/>
            <w:r>
              <w:rPr>
                <w:sz w:val="22"/>
                <w:szCs w:val="22"/>
              </w:rPr>
              <w:t>)</w:t>
            </w:r>
          </w:p>
        </w:tc>
        <w:tc>
          <w:tcPr>
            <w:tcW w:w="781" w:type="dxa"/>
          </w:tcPr>
          <w:p w:rsidR="00E35138" w:rsidRDefault="00E35138" w:rsidP="000B5CDA">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656" w:type="dxa"/>
          </w:tcPr>
          <w:p w:rsidR="00E35138" w:rsidRDefault="00E35138" w:rsidP="000B5CDA">
            <w:pPr>
              <w:autoSpaceDE w:val="0"/>
              <w:autoSpaceDN w:val="0"/>
              <w:adjustRightInd w:val="0"/>
              <w:spacing w:after="120"/>
              <w:rPr>
                <w:sz w:val="22"/>
                <w:szCs w:val="22"/>
              </w:rPr>
            </w:pPr>
            <w:r>
              <w:rPr>
                <w:sz w:val="22"/>
                <w:szCs w:val="22"/>
              </w:rPr>
              <w:t>Min-max</w:t>
            </w:r>
          </w:p>
        </w:tc>
        <w:tc>
          <w:tcPr>
            <w:tcW w:w="1158" w:type="dxa"/>
          </w:tcPr>
          <w:p w:rsidR="00E35138" w:rsidRDefault="00E35138" w:rsidP="000B5CDA">
            <w:pPr>
              <w:autoSpaceDE w:val="0"/>
              <w:autoSpaceDN w:val="0"/>
              <w:adjustRightInd w:val="0"/>
              <w:spacing w:after="120"/>
              <w:rPr>
                <w:sz w:val="22"/>
                <w:szCs w:val="22"/>
              </w:rPr>
            </w:pPr>
            <w:r>
              <w:rPr>
                <w:sz w:val="22"/>
                <w:szCs w:val="22"/>
              </w:rPr>
              <w:t>N (</w:t>
            </w:r>
            <w:proofErr w:type="spellStart"/>
            <w:r>
              <w:rPr>
                <w:sz w:val="22"/>
                <w:szCs w:val="22"/>
              </w:rPr>
              <w:t>nmissing</w:t>
            </w:r>
            <w:proofErr w:type="spellEnd"/>
            <w:r>
              <w:rPr>
                <w:sz w:val="22"/>
                <w:szCs w:val="22"/>
              </w:rPr>
              <w:t>)</w:t>
            </w:r>
          </w:p>
        </w:tc>
        <w:tc>
          <w:tcPr>
            <w:tcW w:w="812" w:type="dxa"/>
          </w:tcPr>
          <w:p w:rsidR="00E35138" w:rsidRDefault="00E35138" w:rsidP="000B5CDA">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795" w:type="dxa"/>
          </w:tcPr>
          <w:p w:rsidR="00E35138" w:rsidRDefault="00E35138" w:rsidP="000B5CDA">
            <w:pPr>
              <w:autoSpaceDE w:val="0"/>
              <w:autoSpaceDN w:val="0"/>
              <w:adjustRightInd w:val="0"/>
              <w:spacing w:after="120"/>
              <w:rPr>
                <w:sz w:val="22"/>
                <w:szCs w:val="22"/>
              </w:rPr>
            </w:pPr>
            <w:r>
              <w:rPr>
                <w:sz w:val="22"/>
                <w:szCs w:val="22"/>
              </w:rPr>
              <w:t>Min-max</w:t>
            </w:r>
          </w:p>
        </w:tc>
      </w:tr>
      <w:tr w:rsidR="00C32363" w:rsidTr="00E35138">
        <w:tc>
          <w:tcPr>
            <w:tcW w:w="1352" w:type="dxa"/>
          </w:tcPr>
          <w:p w:rsidR="00C32363" w:rsidRDefault="00C32363" w:rsidP="008E498B">
            <w:pPr>
              <w:autoSpaceDE w:val="0"/>
              <w:autoSpaceDN w:val="0"/>
              <w:adjustRightInd w:val="0"/>
              <w:spacing w:after="120"/>
              <w:rPr>
                <w:sz w:val="22"/>
                <w:szCs w:val="22"/>
              </w:rPr>
            </w:pPr>
            <w:r>
              <w:rPr>
                <w:sz w:val="22"/>
                <w:szCs w:val="22"/>
              </w:rPr>
              <w:t>Age (years)</w:t>
            </w:r>
          </w:p>
        </w:tc>
        <w:tc>
          <w:tcPr>
            <w:tcW w:w="1159" w:type="dxa"/>
          </w:tcPr>
          <w:p w:rsidR="00C32363" w:rsidRDefault="00C32363" w:rsidP="008E498B">
            <w:pPr>
              <w:autoSpaceDE w:val="0"/>
              <w:autoSpaceDN w:val="0"/>
              <w:adjustRightInd w:val="0"/>
              <w:spacing w:after="120"/>
              <w:rPr>
                <w:sz w:val="22"/>
                <w:szCs w:val="22"/>
              </w:rPr>
            </w:pPr>
            <w:r>
              <w:rPr>
                <w:sz w:val="22"/>
                <w:szCs w:val="22"/>
              </w:rPr>
              <w:t>622 (0)</w:t>
            </w:r>
          </w:p>
        </w:tc>
        <w:tc>
          <w:tcPr>
            <w:tcW w:w="1049" w:type="dxa"/>
          </w:tcPr>
          <w:p w:rsidR="00C32363" w:rsidRDefault="00C32363" w:rsidP="000B5CDA">
            <w:pPr>
              <w:autoSpaceDE w:val="0"/>
              <w:autoSpaceDN w:val="0"/>
              <w:adjustRightInd w:val="0"/>
              <w:spacing w:after="120"/>
              <w:rPr>
                <w:sz w:val="22"/>
                <w:szCs w:val="22"/>
              </w:rPr>
            </w:pPr>
            <w:r>
              <w:rPr>
                <w:sz w:val="22"/>
                <w:szCs w:val="22"/>
              </w:rPr>
              <w:t>74.7 (5.6)</w:t>
            </w:r>
          </w:p>
        </w:tc>
        <w:tc>
          <w:tcPr>
            <w:tcW w:w="656" w:type="dxa"/>
          </w:tcPr>
          <w:p w:rsidR="00C32363" w:rsidRDefault="00C32363" w:rsidP="000B5CDA">
            <w:pPr>
              <w:autoSpaceDE w:val="0"/>
              <w:autoSpaceDN w:val="0"/>
              <w:adjustRightInd w:val="0"/>
              <w:spacing w:after="120"/>
              <w:rPr>
                <w:sz w:val="22"/>
                <w:szCs w:val="22"/>
              </w:rPr>
            </w:pPr>
            <w:r>
              <w:rPr>
                <w:sz w:val="22"/>
                <w:szCs w:val="22"/>
              </w:rPr>
              <w:t>65-94</w:t>
            </w:r>
          </w:p>
        </w:tc>
        <w:tc>
          <w:tcPr>
            <w:tcW w:w="1158" w:type="dxa"/>
          </w:tcPr>
          <w:p w:rsidR="00C32363" w:rsidRDefault="00C32363" w:rsidP="000B5CDA">
            <w:pPr>
              <w:autoSpaceDE w:val="0"/>
              <w:autoSpaceDN w:val="0"/>
              <w:adjustRightInd w:val="0"/>
              <w:spacing w:after="120"/>
              <w:rPr>
                <w:sz w:val="22"/>
                <w:szCs w:val="22"/>
              </w:rPr>
            </w:pPr>
            <w:r>
              <w:rPr>
                <w:sz w:val="22"/>
                <w:szCs w:val="22"/>
              </w:rPr>
              <w:t>113 (0)</w:t>
            </w:r>
          </w:p>
        </w:tc>
        <w:tc>
          <w:tcPr>
            <w:tcW w:w="781" w:type="dxa"/>
          </w:tcPr>
          <w:p w:rsidR="00C32363" w:rsidRDefault="00C32363" w:rsidP="000B5CDA">
            <w:pPr>
              <w:autoSpaceDE w:val="0"/>
              <w:autoSpaceDN w:val="0"/>
              <w:adjustRightInd w:val="0"/>
              <w:spacing w:after="120"/>
              <w:rPr>
                <w:sz w:val="22"/>
                <w:szCs w:val="22"/>
              </w:rPr>
            </w:pPr>
            <w:r>
              <w:rPr>
                <w:sz w:val="22"/>
                <w:szCs w:val="22"/>
              </w:rPr>
              <w:t>74.5 (5.4)</w:t>
            </w:r>
          </w:p>
        </w:tc>
        <w:tc>
          <w:tcPr>
            <w:tcW w:w="656" w:type="dxa"/>
          </w:tcPr>
          <w:p w:rsidR="00C32363" w:rsidRDefault="00C32363" w:rsidP="000B5CDA">
            <w:pPr>
              <w:autoSpaceDE w:val="0"/>
              <w:autoSpaceDN w:val="0"/>
              <w:adjustRightInd w:val="0"/>
              <w:spacing w:after="120"/>
              <w:rPr>
                <w:sz w:val="22"/>
                <w:szCs w:val="22"/>
              </w:rPr>
            </w:pPr>
            <w:r>
              <w:rPr>
                <w:sz w:val="22"/>
                <w:szCs w:val="22"/>
              </w:rPr>
              <w:t>65-99</w:t>
            </w:r>
          </w:p>
        </w:tc>
        <w:tc>
          <w:tcPr>
            <w:tcW w:w="1158" w:type="dxa"/>
          </w:tcPr>
          <w:p w:rsidR="00C32363" w:rsidRDefault="00C32363" w:rsidP="008E498B">
            <w:pPr>
              <w:autoSpaceDE w:val="0"/>
              <w:autoSpaceDN w:val="0"/>
              <w:adjustRightInd w:val="0"/>
              <w:spacing w:after="120"/>
              <w:rPr>
                <w:sz w:val="22"/>
                <w:szCs w:val="22"/>
              </w:rPr>
            </w:pPr>
            <w:r>
              <w:rPr>
                <w:sz w:val="22"/>
                <w:szCs w:val="22"/>
              </w:rPr>
              <w:t>735 (0)</w:t>
            </w:r>
          </w:p>
        </w:tc>
        <w:tc>
          <w:tcPr>
            <w:tcW w:w="812" w:type="dxa"/>
          </w:tcPr>
          <w:p w:rsidR="00C32363" w:rsidRDefault="00C32363" w:rsidP="008E498B">
            <w:pPr>
              <w:autoSpaceDE w:val="0"/>
              <w:autoSpaceDN w:val="0"/>
              <w:adjustRightInd w:val="0"/>
              <w:spacing w:after="120"/>
              <w:rPr>
                <w:sz w:val="22"/>
                <w:szCs w:val="22"/>
              </w:rPr>
            </w:pPr>
            <w:r>
              <w:rPr>
                <w:sz w:val="22"/>
                <w:szCs w:val="22"/>
              </w:rPr>
              <w:t>74.6 (5.5)</w:t>
            </w:r>
          </w:p>
        </w:tc>
        <w:tc>
          <w:tcPr>
            <w:tcW w:w="795" w:type="dxa"/>
          </w:tcPr>
          <w:p w:rsidR="00C32363" w:rsidRDefault="00C32363" w:rsidP="008E498B">
            <w:pPr>
              <w:autoSpaceDE w:val="0"/>
              <w:autoSpaceDN w:val="0"/>
              <w:adjustRightInd w:val="0"/>
              <w:spacing w:after="120"/>
              <w:rPr>
                <w:sz w:val="22"/>
                <w:szCs w:val="22"/>
              </w:rPr>
            </w:pPr>
            <w:r>
              <w:rPr>
                <w:sz w:val="22"/>
                <w:szCs w:val="22"/>
              </w:rPr>
              <w:t>65-99</w:t>
            </w:r>
          </w:p>
        </w:tc>
      </w:tr>
      <w:tr w:rsidR="00C32363" w:rsidTr="00E35138">
        <w:tc>
          <w:tcPr>
            <w:tcW w:w="1352" w:type="dxa"/>
          </w:tcPr>
          <w:p w:rsidR="00C32363" w:rsidRDefault="00C32363" w:rsidP="008E498B">
            <w:pPr>
              <w:autoSpaceDE w:val="0"/>
              <w:autoSpaceDN w:val="0"/>
              <w:adjustRightInd w:val="0"/>
              <w:spacing w:after="120"/>
              <w:rPr>
                <w:sz w:val="22"/>
                <w:szCs w:val="22"/>
              </w:rPr>
            </w:pPr>
            <w:r>
              <w:rPr>
                <w:sz w:val="22"/>
                <w:szCs w:val="22"/>
              </w:rPr>
              <w:t>Weight</w:t>
            </w:r>
          </w:p>
        </w:tc>
        <w:tc>
          <w:tcPr>
            <w:tcW w:w="1159" w:type="dxa"/>
          </w:tcPr>
          <w:p w:rsidR="00C32363" w:rsidRDefault="00C32363" w:rsidP="008E498B">
            <w:pPr>
              <w:autoSpaceDE w:val="0"/>
              <w:autoSpaceDN w:val="0"/>
              <w:adjustRightInd w:val="0"/>
              <w:spacing w:after="120"/>
              <w:rPr>
                <w:sz w:val="22"/>
                <w:szCs w:val="22"/>
              </w:rPr>
            </w:pPr>
            <w:r>
              <w:rPr>
                <w:sz w:val="22"/>
                <w:szCs w:val="22"/>
              </w:rPr>
              <w:t>622 (0)</w:t>
            </w:r>
          </w:p>
        </w:tc>
        <w:tc>
          <w:tcPr>
            <w:tcW w:w="1049" w:type="dxa"/>
          </w:tcPr>
          <w:p w:rsidR="00C32363" w:rsidRDefault="00C32363" w:rsidP="000B5CDA">
            <w:pPr>
              <w:autoSpaceDE w:val="0"/>
              <w:autoSpaceDN w:val="0"/>
              <w:adjustRightInd w:val="0"/>
              <w:spacing w:after="120"/>
              <w:rPr>
                <w:sz w:val="22"/>
                <w:szCs w:val="22"/>
              </w:rPr>
            </w:pPr>
            <w:r>
              <w:rPr>
                <w:sz w:val="22"/>
                <w:szCs w:val="22"/>
              </w:rPr>
              <w:t>163.5 (30.8)</w:t>
            </w:r>
          </w:p>
        </w:tc>
        <w:tc>
          <w:tcPr>
            <w:tcW w:w="656" w:type="dxa"/>
          </w:tcPr>
          <w:p w:rsidR="00C32363" w:rsidRDefault="00C32363" w:rsidP="000B5CDA">
            <w:pPr>
              <w:autoSpaceDE w:val="0"/>
              <w:autoSpaceDN w:val="0"/>
              <w:adjustRightInd w:val="0"/>
              <w:spacing w:after="120"/>
              <w:rPr>
                <w:sz w:val="22"/>
                <w:szCs w:val="22"/>
              </w:rPr>
            </w:pPr>
            <w:r>
              <w:rPr>
                <w:sz w:val="22"/>
                <w:szCs w:val="22"/>
              </w:rPr>
              <w:t>74-257</w:t>
            </w:r>
          </w:p>
        </w:tc>
        <w:tc>
          <w:tcPr>
            <w:tcW w:w="1158" w:type="dxa"/>
          </w:tcPr>
          <w:p w:rsidR="00C32363" w:rsidRDefault="00C32363" w:rsidP="000B5CDA">
            <w:pPr>
              <w:autoSpaceDE w:val="0"/>
              <w:autoSpaceDN w:val="0"/>
              <w:adjustRightInd w:val="0"/>
              <w:spacing w:after="120"/>
              <w:rPr>
                <w:sz w:val="22"/>
                <w:szCs w:val="22"/>
              </w:rPr>
            </w:pPr>
            <w:r>
              <w:rPr>
                <w:sz w:val="22"/>
                <w:szCs w:val="22"/>
              </w:rPr>
              <w:t>113 (0)</w:t>
            </w:r>
          </w:p>
        </w:tc>
        <w:tc>
          <w:tcPr>
            <w:tcW w:w="781" w:type="dxa"/>
          </w:tcPr>
          <w:p w:rsidR="00C32363" w:rsidRDefault="00C32363" w:rsidP="000B5CDA">
            <w:pPr>
              <w:autoSpaceDE w:val="0"/>
              <w:autoSpaceDN w:val="0"/>
              <w:adjustRightInd w:val="0"/>
              <w:spacing w:after="120"/>
              <w:rPr>
                <w:sz w:val="22"/>
                <w:szCs w:val="22"/>
              </w:rPr>
            </w:pPr>
            <w:r>
              <w:rPr>
                <w:sz w:val="22"/>
                <w:szCs w:val="22"/>
              </w:rPr>
              <w:t>159 (31)</w:t>
            </w:r>
          </w:p>
        </w:tc>
        <w:tc>
          <w:tcPr>
            <w:tcW w:w="656" w:type="dxa"/>
          </w:tcPr>
          <w:p w:rsidR="00C32363" w:rsidRDefault="00C32363" w:rsidP="000B5CDA">
            <w:pPr>
              <w:autoSpaceDE w:val="0"/>
              <w:autoSpaceDN w:val="0"/>
              <w:adjustRightInd w:val="0"/>
              <w:spacing w:after="120"/>
              <w:rPr>
                <w:sz w:val="22"/>
                <w:szCs w:val="22"/>
              </w:rPr>
            </w:pPr>
            <w:r>
              <w:rPr>
                <w:sz w:val="22"/>
                <w:szCs w:val="22"/>
              </w:rPr>
              <w:t>86-264</w:t>
            </w:r>
          </w:p>
        </w:tc>
        <w:tc>
          <w:tcPr>
            <w:tcW w:w="1158" w:type="dxa"/>
          </w:tcPr>
          <w:p w:rsidR="00C32363" w:rsidRDefault="00C32363" w:rsidP="008E498B">
            <w:pPr>
              <w:autoSpaceDE w:val="0"/>
              <w:autoSpaceDN w:val="0"/>
              <w:adjustRightInd w:val="0"/>
              <w:spacing w:after="120"/>
              <w:rPr>
                <w:sz w:val="22"/>
                <w:szCs w:val="22"/>
              </w:rPr>
            </w:pPr>
            <w:r>
              <w:rPr>
                <w:sz w:val="22"/>
                <w:szCs w:val="22"/>
              </w:rPr>
              <w:t>735 (0)</w:t>
            </w:r>
          </w:p>
        </w:tc>
        <w:tc>
          <w:tcPr>
            <w:tcW w:w="812" w:type="dxa"/>
          </w:tcPr>
          <w:p w:rsidR="00C32363" w:rsidRDefault="00C32363" w:rsidP="008E498B">
            <w:pPr>
              <w:autoSpaceDE w:val="0"/>
              <w:autoSpaceDN w:val="0"/>
              <w:adjustRightInd w:val="0"/>
              <w:spacing w:after="120"/>
              <w:rPr>
                <w:sz w:val="22"/>
                <w:szCs w:val="22"/>
              </w:rPr>
            </w:pPr>
            <w:r>
              <w:rPr>
                <w:sz w:val="22"/>
                <w:szCs w:val="22"/>
              </w:rPr>
              <w:t>160 (30.7)</w:t>
            </w:r>
          </w:p>
        </w:tc>
        <w:tc>
          <w:tcPr>
            <w:tcW w:w="795" w:type="dxa"/>
          </w:tcPr>
          <w:p w:rsidR="00C32363" w:rsidRDefault="00C32363" w:rsidP="008E498B">
            <w:pPr>
              <w:autoSpaceDE w:val="0"/>
              <w:autoSpaceDN w:val="0"/>
              <w:adjustRightInd w:val="0"/>
              <w:spacing w:after="120"/>
              <w:rPr>
                <w:sz w:val="22"/>
                <w:szCs w:val="22"/>
              </w:rPr>
            </w:pPr>
            <w:r>
              <w:rPr>
                <w:sz w:val="22"/>
                <w:szCs w:val="22"/>
              </w:rPr>
              <w:t>74-264</w:t>
            </w:r>
          </w:p>
        </w:tc>
      </w:tr>
      <w:tr w:rsidR="00C32363" w:rsidTr="00E35138">
        <w:tc>
          <w:tcPr>
            <w:tcW w:w="1352" w:type="dxa"/>
          </w:tcPr>
          <w:p w:rsidR="00C32363" w:rsidRDefault="00C32363" w:rsidP="008E498B">
            <w:pPr>
              <w:autoSpaceDE w:val="0"/>
              <w:autoSpaceDN w:val="0"/>
              <w:adjustRightInd w:val="0"/>
              <w:spacing w:after="120"/>
              <w:rPr>
                <w:sz w:val="22"/>
                <w:szCs w:val="22"/>
              </w:rPr>
            </w:pPr>
            <w:r>
              <w:rPr>
                <w:sz w:val="22"/>
                <w:szCs w:val="22"/>
              </w:rPr>
              <w:t>Pack years</w:t>
            </w:r>
          </w:p>
        </w:tc>
        <w:tc>
          <w:tcPr>
            <w:tcW w:w="1159" w:type="dxa"/>
          </w:tcPr>
          <w:p w:rsidR="00C32363" w:rsidRDefault="00C32363" w:rsidP="008E498B">
            <w:pPr>
              <w:autoSpaceDE w:val="0"/>
              <w:autoSpaceDN w:val="0"/>
              <w:adjustRightInd w:val="0"/>
              <w:spacing w:after="120"/>
              <w:rPr>
                <w:sz w:val="22"/>
                <w:szCs w:val="22"/>
              </w:rPr>
            </w:pPr>
            <w:r>
              <w:rPr>
                <w:sz w:val="22"/>
                <w:szCs w:val="22"/>
              </w:rPr>
              <w:t>622 (0)</w:t>
            </w:r>
          </w:p>
        </w:tc>
        <w:tc>
          <w:tcPr>
            <w:tcW w:w="1049" w:type="dxa"/>
          </w:tcPr>
          <w:p w:rsidR="00C32363" w:rsidRDefault="00C32363" w:rsidP="000B5CDA">
            <w:pPr>
              <w:autoSpaceDE w:val="0"/>
              <w:autoSpaceDN w:val="0"/>
              <w:adjustRightInd w:val="0"/>
              <w:spacing w:after="120"/>
              <w:rPr>
                <w:sz w:val="22"/>
                <w:szCs w:val="22"/>
              </w:rPr>
            </w:pPr>
            <w:r>
              <w:rPr>
                <w:sz w:val="22"/>
                <w:szCs w:val="22"/>
              </w:rPr>
              <w:t>18.6 (24.5)</w:t>
            </w:r>
          </w:p>
        </w:tc>
        <w:tc>
          <w:tcPr>
            <w:tcW w:w="656" w:type="dxa"/>
          </w:tcPr>
          <w:p w:rsidR="00C32363" w:rsidRDefault="00C32363" w:rsidP="000B5CDA">
            <w:pPr>
              <w:autoSpaceDE w:val="0"/>
              <w:autoSpaceDN w:val="0"/>
              <w:adjustRightInd w:val="0"/>
              <w:spacing w:after="120"/>
              <w:rPr>
                <w:sz w:val="22"/>
                <w:szCs w:val="22"/>
              </w:rPr>
            </w:pPr>
            <w:r>
              <w:rPr>
                <w:sz w:val="22"/>
                <w:szCs w:val="22"/>
              </w:rPr>
              <w:t>0-102</w:t>
            </w:r>
          </w:p>
        </w:tc>
        <w:tc>
          <w:tcPr>
            <w:tcW w:w="1158" w:type="dxa"/>
          </w:tcPr>
          <w:p w:rsidR="00C32363" w:rsidRDefault="00C32363" w:rsidP="000B5CDA">
            <w:pPr>
              <w:autoSpaceDE w:val="0"/>
              <w:autoSpaceDN w:val="0"/>
              <w:adjustRightInd w:val="0"/>
              <w:spacing w:after="120"/>
              <w:rPr>
                <w:sz w:val="22"/>
                <w:szCs w:val="22"/>
              </w:rPr>
            </w:pPr>
            <w:r>
              <w:rPr>
                <w:sz w:val="22"/>
                <w:szCs w:val="22"/>
              </w:rPr>
              <w:t>112 (1)</w:t>
            </w:r>
          </w:p>
        </w:tc>
        <w:tc>
          <w:tcPr>
            <w:tcW w:w="781" w:type="dxa"/>
          </w:tcPr>
          <w:p w:rsidR="00C32363" w:rsidRDefault="00C32363" w:rsidP="000B5CDA">
            <w:pPr>
              <w:autoSpaceDE w:val="0"/>
              <w:autoSpaceDN w:val="0"/>
              <w:adjustRightInd w:val="0"/>
              <w:spacing w:after="120"/>
              <w:rPr>
                <w:sz w:val="22"/>
                <w:szCs w:val="22"/>
              </w:rPr>
            </w:pPr>
            <w:r>
              <w:rPr>
                <w:sz w:val="22"/>
                <w:szCs w:val="22"/>
              </w:rPr>
              <w:t>19.8 (27.6)</w:t>
            </w:r>
          </w:p>
        </w:tc>
        <w:tc>
          <w:tcPr>
            <w:tcW w:w="656" w:type="dxa"/>
          </w:tcPr>
          <w:p w:rsidR="00C32363" w:rsidRDefault="00C32363" w:rsidP="000B5CDA">
            <w:pPr>
              <w:autoSpaceDE w:val="0"/>
              <w:autoSpaceDN w:val="0"/>
              <w:adjustRightInd w:val="0"/>
              <w:spacing w:after="120"/>
              <w:rPr>
                <w:sz w:val="22"/>
                <w:szCs w:val="22"/>
              </w:rPr>
            </w:pPr>
            <w:r>
              <w:rPr>
                <w:sz w:val="22"/>
                <w:szCs w:val="22"/>
              </w:rPr>
              <w:t>0-240</w:t>
            </w:r>
          </w:p>
        </w:tc>
        <w:tc>
          <w:tcPr>
            <w:tcW w:w="1158" w:type="dxa"/>
          </w:tcPr>
          <w:p w:rsidR="00C32363" w:rsidRDefault="00C32363" w:rsidP="008E498B">
            <w:pPr>
              <w:autoSpaceDE w:val="0"/>
              <w:autoSpaceDN w:val="0"/>
              <w:adjustRightInd w:val="0"/>
              <w:spacing w:after="120"/>
              <w:rPr>
                <w:sz w:val="22"/>
                <w:szCs w:val="22"/>
              </w:rPr>
            </w:pPr>
            <w:r>
              <w:rPr>
                <w:sz w:val="22"/>
                <w:szCs w:val="22"/>
              </w:rPr>
              <w:t>734 (1)</w:t>
            </w:r>
          </w:p>
        </w:tc>
        <w:tc>
          <w:tcPr>
            <w:tcW w:w="812" w:type="dxa"/>
          </w:tcPr>
          <w:p w:rsidR="00C32363" w:rsidRDefault="00C32363" w:rsidP="008E498B">
            <w:pPr>
              <w:autoSpaceDE w:val="0"/>
              <w:autoSpaceDN w:val="0"/>
              <w:adjustRightInd w:val="0"/>
              <w:spacing w:after="120"/>
              <w:rPr>
                <w:sz w:val="22"/>
                <w:szCs w:val="22"/>
              </w:rPr>
            </w:pPr>
            <w:r>
              <w:rPr>
                <w:sz w:val="22"/>
                <w:szCs w:val="22"/>
              </w:rPr>
              <w:t>19.6 (27.1)</w:t>
            </w:r>
          </w:p>
        </w:tc>
        <w:tc>
          <w:tcPr>
            <w:tcW w:w="795" w:type="dxa"/>
          </w:tcPr>
          <w:p w:rsidR="00C32363" w:rsidRDefault="00C32363" w:rsidP="008E498B">
            <w:pPr>
              <w:autoSpaceDE w:val="0"/>
              <w:autoSpaceDN w:val="0"/>
              <w:adjustRightInd w:val="0"/>
              <w:spacing w:after="120"/>
              <w:rPr>
                <w:sz w:val="22"/>
                <w:szCs w:val="22"/>
              </w:rPr>
            </w:pPr>
            <w:r>
              <w:rPr>
                <w:sz w:val="22"/>
                <w:szCs w:val="22"/>
              </w:rPr>
              <w:t>0-240</w:t>
            </w:r>
          </w:p>
        </w:tc>
      </w:tr>
    </w:tbl>
    <w:p w:rsidR="00407BBA" w:rsidRDefault="00407BBA" w:rsidP="008E498B">
      <w:pPr>
        <w:autoSpaceDE w:val="0"/>
        <w:autoSpaceDN w:val="0"/>
        <w:adjustRightInd w:val="0"/>
        <w:spacing w:after="120"/>
        <w:rPr>
          <w:sz w:val="22"/>
          <w:szCs w:val="22"/>
        </w:rPr>
      </w:pPr>
    </w:p>
    <w:tbl>
      <w:tblPr>
        <w:tblStyle w:val="TableGrid"/>
        <w:tblW w:w="0" w:type="auto"/>
        <w:tblInd w:w="2160" w:type="dxa"/>
        <w:tblLayout w:type="fixed"/>
        <w:tblLook w:val="04A0"/>
      </w:tblPr>
      <w:tblGrid>
        <w:gridCol w:w="1344"/>
        <w:gridCol w:w="1249"/>
        <w:gridCol w:w="1205"/>
        <w:gridCol w:w="1260"/>
      </w:tblGrid>
      <w:tr w:rsidR="00E35138" w:rsidTr="00E35138">
        <w:tc>
          <w:tcPr>
            <w:tcW w:w="1344" w:type="dxa"/>
          </w:tcPr>
          <w:p w:rsidR="00E35138" w:rsidRDefault="00E35138" w:rsidP="000B5CDA">
            <w:pPr>
              <w:autoSpaceDE w:val="0"/>
              <w:autoSpaceDN w:val="0"/>
              <w:adjustRightInd w:val="0"/>
              <w:spacing w:after="120"/>
              <w:rPr>
                <w:sz w:val="22"/>
                <w:szCs w:val="22"/>
              </w:rPr>
            </w:pPr>
            <w:r>
              <w:rPr>
                <w:sz w:val="22"/>
                <w:szCs w:val="22"/>
              </w:rPr>
              <w:t>Variable</w:t>
            </w:r>
          </w:p>
        </w:tc>
        <w:tc>
          <w:tcPr>
            <w:tcW w:w="1249" w:type="dxa"/>
          </w:tcPr>
          <w:p w:rsidR="00E35138" w:rsidRDefault="00E35138" w:rsidP="000B5CDA">
            <w:pPr>
              <w:autoSpaceDE w:val="0"/>
              <w:autoSpaceDN w:val="0"/>
              <w:adjustRightInd w:val="0"/>
              <w:spacing w:after="120"/>
              <w:rPr>
                <w:sz w:val="22"/>
                <w:szCs w:val="22"/>
              </w:rPr>
            </w:pPr>
            <w:r>
              <w:rPr>
                <w:sz w:val="22"/>
                <w:szCs w:val="22"/>
              </w:rPr>
              <w:t>High LDL</w:t>
            </w:r>
          </w:p>
        </w:tc>
        <w:tc>
          <w:tcPr>
            <w:tcW w:w="1205" w:type="dxa"/>
          </w:tcPr>
          <w:p w:rsidR="00E35138" w:rsidRDefault="00E35138" w:rsidP="000B5CDA">
            <w:pPr>
              <w:autoSpaceDE w:val="0"/>
              <w:autoSpaceDN w:val="0"/>
              <w:adjustRightInd w:val="0"/>
              <w:spacing w:after="120"/>
              <w:rPr>
                <w:sz w:val="22"/>
                <w:szCs w:val="22"/>
              </w:rPr>
            </w:pPr>
            <w:r>
              <w:rPr>
                <w:sz w:val="22"/>
                <w:szCs w:val="22"/>
              </w:rPr>
              <w:t>Low LDL</w:t>
            </w:r>
          </w:p>
        </w:tc>
        <w:tc>
          <w:tcPr>
            <w:tcW w:w="1260" w:type="dxa"/>
          </w:tcPr>
          <w:p w:rsidR="00E35138" w:rsidRDefault="00E35138" w:rsidP="000B5CDA">
            <w:pPr>
              <w:autoSpaceDE w:val="0"/>
              <w:autoSpaceDN w:val="0"/>
              <w:adjustRightInd w:val="0"/>
              <w:spacing w:after="120"/>
              <w:rPr>
                <w:sz w:val="22"/>
                <w:szCs w:val="22"/>
              </w:rPr>
            </w:pPr>
            <w:r>
              <w:rPr>
                <w:sz w:val="22"/>
                <w:szCs w:val="22"/>
              </w:rPr>
              <w:t>Total</w:t>
            </w:r>
          </w:p>
        </w:tc>
      </w:tr>
      <w:tr w:rsidR="00E35138" w:rsidTr="00E35138">
        <w:tc>
          <w:tcPr>
            <w:tcW w:w="1344" w:type="dxa"/>
          </w:tcPr>
          <w:p w:rsidR="00E35138" w:rsidRDefault="00E35138" w:rsidP="000B5CDA">
            <w:pPr>
              <w:autoSpaceDE w:val="0"/>
              <w:autoSpaceDN w:val="0"/>
              <w:adjustRightInd w:val="0"/>
              <w:spacing w:after="120"/>
              <w:rPr>
                <w:sz w:val="22"/>
                <w:szCs w:val="22"/>
              </w:rPr>
            </w:pPr>
            <w:r>
              <w:rPr>
                <w:sz w:val="22"/>
                <w:szCs w:val="22"/>
              </w:rPr>
              <w:t>Male</w:t>
            </w:r>
          </w:p>
        </w:tc>
        <w:tc>
          <w:tcPr>
            <w:tcW w:w="1249" w:type="dxa"/>
          </w:tcPr>
          <w:p w:rsidR="00E35138" w:rsidRDefault="00E35138" w:rsidP="000B5CDA">
            <w:pPr>
              <w:autoSpaceDE w:val="0"/>
              <w:autoSpaceDN w:val="0"/>
              <w:adjustRightInd w:val="0"/>
              <w:spacing w:after="120"/>
              <w:rPr>
                <w:sz w:val="22"/>
                <w:szCs w:val="22"/>
              </w:rPr>
            </w:pPr>
            <w:r>
              <w:rPr>
                <w:sz w:val="22"/>
                <w:szCs w:val="22"/>
              </w:rPr>
              <w:t>51/117</w:t>
            </w:r>
          </w:p>
        </w:tc>
        <w:tc>
          <w:tcPr>
            <w:tcW w:w="1205" w:type="dxa"/>
          </w:tcPr>
          <w:p w:rsidR="00E35138" w:rsidRDefault="00E35138" w:rsidP="000B5CDA">
            <w:pPr>
              <w:autoSpaceDE w:val="0"/>
              <w:autoSpaceDN w:val="0"/>
              <w:adjustRightInd w:val="0"/>
              <w:spacing w:after="120"/>
              <w:rPr>
                <w:sz w:val="22"/>
                <w:szCs w:val="22"/>
              </w:rPr>
            </w:pPr>
            <w:r>
              <w:rPr>
                <w:sz w:val="22"/>
                <w:szCs w:val="22"/>
              </w:rPr>
              <w:t>315/618</w:t>
            </w:r>
          </w:p>
        </w:tc>
        <w:tc>
          <w:tcPr>
            <w:tcW w:w="1260" w:type="dxa"/>
          </w:tcPr>
          <w:p w:rsidR="00E35138" w:rsidRDefault="00E35138" w:rsidP="000B5CDA">
            <w:pPr>
              <w:autoSpaceDE w:val="0"/>
              <w:autoSpaceDN w:val="0"/>
              <w:adjustRightInd w:val="0"/>
              <w:spacing w:after="120"/>
              <w:rPr>
                <w:sz w:val="22"/>
                <w:szCs w:val="22"/>
              </w:rPr>
            </w:pPr>
            <w:r>
              <w:rPr>
                <w:sz w:val="22"/>
                <w:szCs w:val="22"/>
              </w:rPr>
              <w:t>366/735</w:t>
            </w:r>
          </w:p>
        </w:tc>
      </w:tr>
      <w:tr w:rsidR="00E35138" w:rsidTr="00E35138">
        <w:tc>
          <w:tcPr>
            <w:tcW w:w="1344" w:type="dxa"/>
          </w:tcPr>
          <w:p w:rsidR="00E35138" w:rsidRDefault="00E35138" w:rsidP="000B5CDA">
            <w:pPr>
              <w:autoSpaceDE w:val="0"/>
              <w:autoSpaceDN w:val="0"/>
              <w:adjustRightInd w:val="0"/>
              <w:spacing w:after="120"/>
              <w:rPr>
                <w:sz w:val="22"/>
                <w:szCs w:val="22"/>
              </w:rPr>
            </w:pPr>
            <w:r>
              <w:rPr>
                <w:sz w:val="22"/>
                <w:szCs w:val="22"/>
              </w:rPr>
              <w:t>Congestive heart failure</w:t>
            </w:r>
          </w:p>
        </w:tc>
        <w:tc>
          <w:tcPr>
            <w:tcW w:w="1249" w:type="dxa"/>
          </w:tcPr>
          <w:p w:rsidR="00E35138" w:rsidRDefault="00E35138" w:rsidP="000B5CDA">
            <w:pPr>
              <w:autoSpaceDE w:val="0"/>
              <w:autoSpaceDN w:val="0"/>
              <w:adjustRightInd w:val="0"/>
              <w:spacing w:after="120"/>
              <w:rPr>
                <w:sz w:val="22"/>
                <w:szCs w:val="22"/>
              </w:rPr>
            </w:pPr>
            <w:r>
              <w:rPr>
                <w:sz w:val="22"/>
                <w:szCs w:val="22"/>
              </w:rPr>
              <w:t>0: 581/618</w:t>
            </w:r>
          </w:p>
          <w:p w:rsidR="00E35138" w:rsidRDefault="00E35138" w:rsidP="000B5CDA">
            <w:pPr>
              <w:autoSpaceDE w:val="0"/>
              <w:autoSpaceDN w:val="0"/>
              <w:adjustRightInd w:val="0"/>
              <w:spacing w:after="120"/>
              <w:rPr>
                <w:sz w:val="22"/>
                <w:szCs w:val="22"/>
              </w:rPr>
            </w:pPr>
            <w:r>
              <w:rPr>
                <w:sz w:val="22"/>
                <w:szCs w:val="22"/>
              </w:rPr>
              <w:t>1: 37/618</w:t>
            </w:r>
          </w:p>
        </w:tc>
        <w:tc>
          <w:tcPr>
            <w:tcW w:w="1205" w:type="dxa"/>
          </w:tcPr>
          <w:p w:rsidR="00E35138" w:rsidRDefault="00E35138" w:rsidP="000B5CDA">
            <w:pPr>
              <w:autoSpaceDE w:val="0"/>
              <w:autoSpaceDN w:val="0"/>
              <w:adjustRightInd w:val="0"/>
              <w:spacing w:after="120"/>
              <w:rPr>
                <w:sz w:val="22"/>
                <w:szCs w:val="22"/>
              </w:rPr>
            </w:pPr>
            <w:r>
              <w:rPr>
                <w:sz w:val="22"/>
                <w:szCs w:val="22"/>
              </w:rPr>
              <w:t>0: 113/117</w:t>
            </w:r>
          </w:p>
          <w:p w:rsidR="00E35138" w:rsidRDefault="00E35138" w:rsidP="000B5CDA">
            <w:pPr>
              <w:autoSpaceDE w:val="0"/>
              <w:autoSpaceDN w:val="0"/>
              <w:adjustRightInd w:val="0"/>
              <w:spacing w:after="120"/>
              <w:rPr>
                <w:sz w:val="22"/>
                <w:szCs w:val="22"/>
              </w:rPr>
            </w:pPr>
            <w:r>
              <w:rPr>
                <w:sz w:val="22"/>
                <w:szCs w:val="22"/>
              </w:rPr>
              <w:t>1: 4/117</w:t>
            </w:r>
          </w:p>
        </w:tc>
        <w:tc>
          <w:tcPr>
            <w:tcW w:w="1260" w:type="dxa"/>
          </w:tcPr>
          <w:p w:rsidR="00E35138" w:rsidRDefault="00E35138" w:rsidP="000B5CDA">
            <w:pPr>
              <w:autoSpaceDE w:val="0"/>
              <w:autoSpaceDN w:val="0"/>
              <w:adjustRightInd w:val="0"/>
              <w:spacing w:after="120"/>
              <w:rPr>
                <w:sz w:val="22"/>
                <w:szCs w:val="22"/>
              </w:rPr>
            </w:pPr>
            <w:r>
              <w:rPr>
                <w:sz w:val="22"/>
                <w:szCs w:val="22"/>
              </w:rPr>
              <w:t>0: 694/735</w:t>
            </w:r>
          </w:p>
          <w:p w:rsidR="00E35138" w:rsidRDefault="00E35138" w:rsidP="000B5CDA">
            <w:pPr>
              <w:autoSpaceDE w:val="0"/>
              <w:autoSpaceDN w:val="0"/>
              <w:adjustRightInd w:val="0"/>
              <w:spacing w:after="120"/>
              <w:rPr>
                <w:sz w:val="22"/>
                <w:szCs w:val="22"/>
              </w:rPr>
            </w:pPr>
            <w:r>
              <w:rPr>
                <w:sz w:val="22"/>
                <w:szCs w:val="22"/>
              </w:rPr>
              <w:t>1: 41/735</w:t>
            </w:r>
          </w:p>
        </w:tc>
      </w:tr>
      <w:tr w:rsidR="00E35138" w:rsidTr="00E35138">
        <w:trPr>
          <w:trHeight w:val="512"/>
        </w:trPr>
        <w:tc>
          <w:tcPr>
            <w:tcW w:w="1344" w:type="dxa"/>
          </w:tcPr>
          <w:p w:rsidR="00E35138" w:rsidRDefault="00E35138" w:rsidP="000B5CDA">
            <w:pPr>
              <w:autoSpaceDE w:val="0"/>
              <w:autoSpaceDN w:val="0"/>
              <w:adjustRightInd w:val="0"/>
              <w:spacing w:after="120"/>
              <w:rPr>
                <w:sz w:val="22"/>
                <w:szCs w:val="22"/>
              </w:rPr>
            </w:pPr>
            <w:r>
              <w:rPr>
                <w:sz w:val="22"/>
                <w:szCs w:val="22"/>
              </w:rPr>
              <w:t>Congenital heart disease</w:t>
            </w:r>
          </w:p>
        </w:tc>
        <w:tc>
          <w:tcPr>
            <w:tcW w:w="1249" w:type="dxa"/>
          </w:tcPr>
          <w:p w:rsidR="00E35138" w:rsidRDefault="00E35138" w:rsidP="000B5CDA">
            <w:pPr>
              <w:autoSpaceDE w:val="0"/>
              <w:autoSpaceDN w:val="0"/>
              <w:adjustRightInd w:val="0"/>
              <w:spacing w:after="120"/>
              <w:rPr>
                <w:sz w:val="22"/>
                <w:szCs w:val="22"/>
              </w:rPr>
            </w:pPr>
            <w:r>
              <w:rPr>
                <w:sz w:val="22"/>
                <w:szCs w:val="22"/>
              </w:rPr>
              <w:t>0: 488/618</w:t>
            </w:r>
          </w:p>
          <w:p w:rsidR="00E35138" w:rsidRDefault="00E35138" w:rsidP="000B5CDA">
            <w:pPr>
              <w:autoSpaceDE w:val="0"/>
              <w:autoSpaceDN w:val="0"/>
              <w:adjustRightInd w:val="0"/>
              <w:spacing w:after="120"/>
              <w:rPr>
                <w:sz w:val="22"/>
                <w:szCs w:val="22"/>
              </w:rPr>
            </w:pPr>
            <w:r>
              <w:rPr>
                <w:sz w:val="22"/>
                <w:szCs w:val="22"/>
              </w:rPr>
              <w:t>1: 54/618</w:t>
            </w:r>
          </w:p>
          <w:p w:rsidR="00E35138" w:rsidRDefault="00E35138" w:rsidP="000B5CDA">
            <w:pPr>
              <w:autoSpaceDE w:val="0"/>
              <w:autoSpaceDN w:val="0"/>
              <w:adjustRightInd w:val="0"/>
              <w:spacing w:after="120"/>
              <w:rPr>
                <w:sz w:val="22"/>
                <w:szCs w:val="22"/>
              </w:rPr>
            </w:pPr>
            <w:r>
              <w:rPr>
                <w:sz w:val="22"/>
                <w:szCs w:val="22"/>
              </w:rPr>
              <w:t>2: 76/618</w:t>
            </w:r>
          </w:p>
        </w:tc>
        <w:tc>
          <w:tcPr>
            <w:tcW w:w="1205" w:type="dxa"/>
          </w:tcPr>
          <w:p w:rsidR="00E35138" w:rsidRDefault="00E35138" w:rsidP="000B5CDA">
            <w:pPr>
              <w:autoSpaceDE w:val="0"/>
              <w:autoSpaceDN w:val="0"/>
              <w:adjustRightInd w:val="0"/>
              <w:spacing w:after="120"/>
              <w:rPr>
                <w:sz w:val="22"/>
                <w:szCs w:val="22"/>
              </w:rPr>
            </w:pPr>
            <w:r>
              <w:rPr>
                <w:sz w:val="22"/>
                <w:szCs w:val="22"/>
              </w:rPr>
              <w:t>0: 92/117</w:t>
            </w:r>
          </w:p>
          <w:p w:rsidR="00E35138" w:rsidRDefault="00E35138" w:rsidP="000B5CDA">
            <w:pPr>
              <w:autoSpaceDE w:val="0"/>
              <w:autoSpaceDN w:val="0"/>
              <w:adjustRightInd w:val="0"/>
              <w:spacing w:after="120"/>
              <w:rPr>
                <w:sz w:val="22"/>
                <w:szCs w:val="22"/>
              </w:rPr>
            </w:pPr>
            <w:r>
              <w:rPr>
                <w:sz w:val="22"/>
                <w:szCs w:val="22"/>
              </w:rPr>
              <w:t>1: 10/117</w:t>
            </w:r>
          </w:p>
          <w:p w:rsidR="00E35138" w:rsidRDefault="00E35138" w:rsidP="000B5CDA">
            <w:pPr>
              <w:autoSpaceDE w:val="0"/>
              <w:autoSpaceDN w:val="0"/>
              <w:adjustRightInd w:val="0"/>
              <w:spacing w:after="120"/>
              <w:rPr>
                <w:sz w:val="22"/>
                <w:szCs w:val="22"/>
              </w:rPr>
            </w:pPr>
            <w:r>
              <w:rPr>
                <w:sz w:val="22"/>
                <w:szCs w:val="22"/>
              </w:rPr>
              <w:t>2: 15/117</w:t>
            </w:r>
          </w:p>
        </w:tc>
        <w:tc>
          <w:tcPr>
            <w:tcW w:w="1260" w:type="dxa"/>
          </w:tcPr>
          <w:p w:rsidR="00E35138" w:rsidRDefault="00E35138" w:rsidP="000B5CDA">
            <w:pPr>
              <w:autoSpaceDE w:val="0"/>
              <w:autoSpaceDN w:val="0"/>
              <w:adjustRightInd w:val="0"/>
              <w:spacing w:after="120"/>
              <w:rPr>
                <w:sz w:val="22"/>
                <w:szCs w:val="22"/>
              </w:rPr>
            </w:pPr>
            <w:r>
              <w:rPr>
                <w:sz w:val="22"/>
                <w:szCs w:val="22"/>
              </w:rPr>
              <w:t>0: 580/735</w:t>
            </w:r>
          </w:p>
          <w:p w:rsidR="00E35138" w:rsidRDefault="00E35138" w:rsidP="000B5CDA">
            <w:pPr>
              <w:autoSpaceDE w:val="0"/>
              <w:autoSpaceDN w:val="0"/>
              <w:adjustRightInd w:val="0"/>
              <w:spacing w:after="120"/>
              <w:rPr>
                <w:sz w:val="22"/>
                <w:szCs w:val="22"/>
              </w:rPr>
            </w:pPr>
            <w:r>
              <w:rPr>
                <w:sz w:val="22"/>
                <w:szCs w:val="22"/>
              </w:rPr>
              <w:t>1: 64/735</w:t>
            </w:r>
          </w:p>
          <w:p w:rsidR="00E35138" w:rsidRDefault="00E35138" w:rsidP="000B5CDA">
            <w:pPr>
              <w:autoSpaceDE w:val="0"/>
              <w:autoSpaceDN w:val="0"/>
              <w:adjustRightInd w:val="0"/>
              <w:spacing w:after="120"/>
              <w:rPr>
                <w:sz w:val="22"/>
                <w:szCs w:val="22"/>
              </w:rPr>
            </w:pPr>
            <w:r>
              <w:rPr>
                <w:sz w:val="22"/>
                <w:szCs w:val="22"/>
              </w:rPr>
              <w:t>2: 91/735</w:t>
            </w:r>
          </w:p>
        </w:tc>
      </w:tr>
      <w:tr w:rsidR="00E35138" w:rsidTr="00E35138">
        <w:tc>
          <w:tcPr>
            <w:tcW w:w="1344" w:type="dxa"/>
          </w:tcPr>
          <w:p w:rsidR="00E35138" w:rsidRDefault="00E35138" w:rsidP="000B5CDA">
            <w:pPr>
              <w:autoSpaceDE w:val="0"/>
              <w:autoSpaceDN w:val="0"/>
              <w:adjustRightInd w:val="0"/>
              <w:spacing w:after="120"/>
              <w:rPr>
                <w:sz w:val="22"/>
                <w:szCs w:val="22"/>
              </w:rPr>
            </w:pPr>
            <w:r>
              <w:rPr>
                <w:sz w:val="22"/>
                <w:szCs w:val="22"/>
              </w:rPr>
              <w:t>Stroke</w:t>
            </w:r>
          </w:p>
        </w:tc>
        <w:tc>
          <w:tcPr>
            <w:tcW w:w="1249" w:type="dxa"/>
          </w:tcPr>
          <w:p w:rsidR="00E35138" w:rsidRDefault="00E35138" w:rsidP="00E35138">
            <w:pPr>
              <w:autoSpaceDE w:val="0"/>
              <w:autoSpaceDN w:val="0"/>
              <w:adjustRightInd w:val="0"/>
              <w:spacing w:after="120"/>
              <w:rPr>
                <w:sz w:val="22"/>
                <w:szCs w:val="22"/>
              </w:rPr>
            </w:pPr>
            <w:r>
              <w:rPr>
                <w:sz w:val="22"/>
                <w:szCs w:val="22"/>
              </w:rPr>
              <w:t>0: 541/618</w:t>
            </w:r>
          </w:p>
          <w:p w:rsidR="00E35138" w:rsidRDefault="00E35138" w:rsidP="00E35138">
            <w:pPr>
              <w:autoSpaceDE w:val="0"/>
              <w:autoSpaceDN w:val="0"/>
              <w:adjustRightInd w:val="0"/>
              <w:spacing w:after="120"/>
              <w:rPr>
                <w:sz w:val="22"/>
                <w:szCs w:val="22"/>
              </w:rPr>
            </w:pPr>
            <w:r>
              <w:rPr>
                <w:sz w:val="22"/>
                <w:szCs w:val="22"/>
              </w:rPr>
              <w:t>1: 18/618</w:t>
            </w:r>
          </w:p>
          <w:p w:rsidR="00E35138" w:rsidRDefault="00E35138" w:rsidP="00E35138">
            <w:pPr>
              <w:autoSpaceDE w:val="0"/>
              <w:autoSpaceDN w:val="0"/>
              <w:adjustRightInd w:val="0"/>
              <w:spacing w:after="120"/>
              <w:rPr>
                <w:sz w:val="22"/>
                <w:szCs w:val="22"/>
              </w:rPr>
            </w:pPr>
            <w:r>
              <w:rPr>
                <w:sz w:val="22"/>
                <w:szCs w:val="22"/>
              </w:rPr>
              <w:t>2: 59/618</w:t>
            </w:r>
          </w:p>
        </w:tc>
        <w:tc>
          <w:tcPr>
            <w:tcW w:w="1205" w:type="dxa"/>
          </w:tcPr>
          <w:p w:rsidR="00E35138" w:rsidRDefault="00E35138" w:rsidP="000B5CDA">
            <w:pPr>
              <w:autoSpaceDE w:val="0"/>
              <w:autoSpaceDN w:val="0"/>
              <w:adjustRightInd w:val="0"/>
              <w:spacing w:after="120"/>
              <w:rPr>
                <w:sz w:val="22"/>
                <w:szCs w:val="22"/>
              </w:rPr>
            </w:pPr>
            <w:r>
              <w:rPr>
                <w:sz w:val="22"/>
                <w:szCs w:val="22"/>
              </w:rPr>
              <w:t>0: 95</w:t>
            </w:r>
            <w:r>
              <w:rPr>
                <w:sz w:val="22"/>
                <w:szCs w:val="22"/>
              </w:rPr>
              <w:t>/117</w:t>
            </w:r>
          </w:p>
          <w:p w:rsidR="00E35138" w:rsidRDefault="00E35138" w:rsidP="000B5CDA">
            <w:pPr>
              <w:autoSpaceDE w:val="0"/>
              <w:autoSpaceDN w:val="0"/>
              <w:adjustRightInd w:val="0"/>
              <w:spacing w:after="120"/>
              <w:rPr>
                <w:sz w:val="22"/>
                <w:szCs w:val="22"/>
              </w:rPr>
            </w:pPr>
            <w:r>
              <w:rPr>
                <w:sz w:val="22"/>
                <w:szCs w:val="22"/>
              </w:rPr>
              <w:t>1: 6</w:t>
            </w:r>
            <w:r>
              <w:rPr>
                <w:sz w:val="22"/>
                <w:szCs w:val="22"/>
              </w:rPr>
              <w:t>/117</w:t>
            </w:r>
          </w:p>
          <w:p w:rsidR="00E35138" w:rsidRDefault="00E35138" w:rsidP="000B5CDA">
            <w:pPr>
              <w:autoSpaceDE w:val="0"/>
              <w:autoSpaceDN w:val="0"/>
              <w:adjustRightInd w:val="0"/>
              <w:spacing w:after="120"/>
              <w:rPr>
                <w:sz w:val="22"/>
                <w:szCs w:val="22"/>
              </w:rPr>
            </w:pPr>
            <w:r>
              <w:rPr>
                <w:sz w:val="22"/>
                <w:szCs w:val="22"/>
              </w:rPr>
              <w:t>2: 16</w:t>
            </w:r>
            <w:r>
              <w:rPr>
                <w:sz w:val="22"/>
                <w:szCs w:val="22"/>
              </w:rPr>
              <w:t>/117</w:t>
            </w:r>
          </w:p>
        </w:tc>
        <w:tc>
          <w:tcPr>
            <w:tcW w:w="1260" w:type="dxa"/>
          </w:tcPr>
          <w:p w:rsidR="00E35138" w:rsidRDefault="00E35138" w:rsidP="000B5CDA">
            <w:pPr>
              <w:autoSpaceDE w:val="0"/>
              <w:autoSpaceDN w:val="0"/>
              <w:adjustRightInd w:val="0"/>
              <w:spacing w:after="120"/>
              <w:rPr>
                <w:sz w:val="22"/>
                <w:szCs w:val="22"/>
              </w:rPr>
            </w:pPr>
            <w:r>
              <w:rPr>
                <w:sz w:val="22"/>
                <w:szCs w:val="22"/>
              </w:rPr>
              <w:t>0: 636</w:t>
            </w:r>
            <w:r>
              <w:rPr>
                <w:sz w:val="22"/>
                <w:szCs w:val="22"/>
              </w:rPr>
              <w:t>/735</w:t>
            </w:r>
          </w:p>
          <w:p w:rsidR="00E35138" w:rsidRDefault="00E35138" w:rsidP="000B5CDA">
            <w:pPr>
              <w:autoSpaceDE w:val="0"/>
              <w:autoSpaceDN w:val="0"/>
              <w:adjustRightInd w:val="0"/>
              <w:spacing w:after="120"/>
              <w:rPr>
                <w:sz w:val="22"/>
                <w:szCs w:val="22"/>
              </w:rPr>
            </w:pPr>
            <w:r>
              <w:rPr>
                <w:sz w:val="22"/>
                <w:szCs w:val="22"/>
              </w:rPr>
              <w:t>1: 24</w:t>
            </w:r>
            <w:r>
              <w:rPr>
                <w:sz w:val="22"/>
                <w:szCs w:val="22"/>
              </w:rPr>
              <w:t>/735</w:t>
            </w:r>
          </w:p>
          <w:p w:rsidR="00E35138" w:rsidRDefault="00E35138" w:rsidP="000B5CDA">
            <w:pPr>
              <w:autoSpaceDE w:val="0"/>
              <w:autoSpaceDN w:val="0"/>
              <w:adjustRightInd w:val="0"/>
              <w:spacing w:after="120"/>
              <w:rPr>
                <w:sz w:val="22"/>
                <w:szCs w:val="22"/>
              </w:rPr>
            </w:pPr>
            <w:r>
              <w:rPr>
                <w:sz w:val="22"/>
                <w:szCs w:val="22"/>
              </w:rPr>
              <w:t>2: 75</w:t>
            </w:r>
            <w:r>
              <w:rPr>
                <w:sz w:val="22"/>
                <w:szCs w:val="22"/>
              </w:rPr>
              <w:t>/735</w:t>
            </w:r>
          </w:p>
        </w:tc>
      </w:tr>
    </w:tbl>
    <w:p w:rsidR="003841D7" w:rsidRDefault="003841D7" w:rsidP="008E498B">
      <w:pPr>
        <w:autoSpaceDE w:val="0"/>
        <w:autoSpaceDN w:val="0"/>
        <w:adjustRightInd w:val="0"/>
        <w:spacing w:after="120"/>
        <w:rPr>
          <w:sz w:val="22"/>
          <w:szCs w:val="22"/>
        </w:rPr>
      </w:pPr>
    </w:p>
    <w:p w:rsidR="005A13AF" w:rsidRPr="009D5804" w:rsidRDefault="005A13AF" w:rsidP="008E498B">
      <w:pPr>
        <w:autoSpaceDE w:val="0"/>
        <w:autoSpaceDN w:val="0"/>
        <w:adjustRightInd w:val="0"/>
        <w:spacing w:after="120"/>
        <w:rPr>
          <w:sz w:val="22"/>
          <w:szCs w:val="22"/>
        </w:rPr>
      </w:pPr>
    </w:p>
    <w:p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8E498B" w:rsidRDefault="004318FF" w:rsidP="008E498B">
      <w:pPr>
        <w:autoSpaceDE w:val="0"/>
        <w:autoSpaceDN w:val="0"/>
        <w:adjustRightInd w:val="0"/>
        <w:spacing w:after="120"/>
        <w:rPr>
          <w:sz w:val="22"/>
          <w:szCs w:val="22"/>
        </w:rPr>
      </w:pPr>
      <w:r>
        <w:rPr>
          <w:sz w:val="22"/>
          <w:szCs w:val="22"/>
        </w:rPr>
        <w:t>Method: A two sample t-test of serum LDL between groups defined by vital status at 5 years was performed to evaluate an association between serum LDL</w:t>
      </w:r>
      <w:r w:rsidR="00AB0DD9">
        <w:rPr>
          <w:sz w:val="22"/>
          <w:szCs w:val="22"/>
        </w:rPr>
        <w:t xml:space="preserve"> and 5 year all-cause mortality. Since the problem does not presume equal variances between the two groups, the t-test was performed allowing for unequal variances. </w:t>
      </w:r>
    </w:p>
    <w:p w:rsidR="005A13AF" w:rsidRPr="00CA1029" w:rsidRDefault="00AB0DD9" w:rsidP="008E498B">
      <w:pPr>
        <w:autoSpaceDE w:val="0"/>
        <w:autoSpaceDN w:val="0"/>
        <w:adjustRightInd w:val="0"/>
        <w:spacing w:after="120"/>
        <w:rPr>
          <w:sz w:val="22"/>
          <w:szCs w:val="22"/>
        </w:rPr>
      </w:pPr>
      <w:r w:rsidRPr="00CA1029">
        <w:rPr>
          <w:sz w:val="22"/>
          <w:szCs w:val="22"/>
        </w:rPr>
        <w:t>The mean serum LDL levels for the group of subjects who died within 5 years and are alive at 5 years are 118.7 mg/</w:t>
      </w:r>
      <w:proofErr w:type="spellStart"/>
      <w:r w:rsidRPr="00CA1029">
        <w:rPr>
          <w:sz w:val="22"/>
          <w:szCs w:val="22"/>
        </w:rPr>
        <w:t>dL</w:t>
      </w:r>
      <w:proofErr w:type="spellEnd"/>
      <w:r w:rsidRPr="00CA1029">
        <w:rPr>
          <w:sz w:val="22"/>
          <w:szCs w:val="22"/>
        </w:rPr>
        <w:t xml:space="preserve"> and 127.2 mg/</w:t>
      </w:r>
      <w:proofErr w:type="spellStart"/>
      <w:r w:rsidRPr="00CA1029">
        <w:rPr>
          <w:sz w:val="22"/>
          <w:szCs w:val="22"/>
        </w:rPr>
        <w:t>dL</w:t>
      </w:r>
      <w:proofErr w:type="spellEnd"/>
      <w:r w:rsidRPr="00CA1029">
        <w:rPr>
          <w:sz w:val="22"/>
          <w:szCs w:val="22"/>
        </w:rPr>
        <w:t xml:space="preserve"> respectively, with a difference of 8.5 mg/</w:t>
      </w:r>
      <w:proofErr w:type="spellStart"/>
      <w:r w:rsidRPr="00CA1029">
        <w:rPr>
          <w:sz w:val="22"/>
          <w:szCs w:val="22"/>
        </w:rPr>
        <w:t>dL</w:t>
      </w:r>
      <w:proofErr w:type="spellEnd"/>
      <w:r w:rsidRPr="00CA1029">
        <w:rPr>
          <w:sz w:val="22"/>
          <w:szCs w:val="22"/>
        </w:rPr>
        <w:t xml:space="preserve"> across groups defined by vital status. The result is significan</w:t>
      </w:r>
      <w:r w:rsidR="000B4B67" w:rsidRPr="00CA1029">
        <w:rPr>
          <w:sz w:val="22"/>
          <w:szCs w:val="22"/>
        </w:rPr>
        <w:t>tly different from 0 (P=</w:t>
      </w:r>
      <w:r w:rsidR="00E0382E" w:rsidRPr="00CA1029">
        <w:rPr>
          <w:sz w:val="22"/>
          <w:szCs w:val="22"/>
        </w:rPr>
        <w:t>0.0186), with a 95% confidence interval suggesting that the observed difference is what might be typically observed if the true difference between 5 year survivors was anywhere between 1.44 mg/</w:t>
      </w:r>
      <w:proofErr w:type="spellStart"/>
      <w:r w:rsidR="00E0382E" w:rsidRPr="00CA1029">
        <w:rPr>
          <w:sz w:val="22"/>
          <w:szCs w:val="22"/>
        </w:rPr>
        <w:t>dL</w:t>
      </w:r>
      <w:proofErr w:type="spellEnd"/>
      <w:r w:rsidR="00E0382E" w:rsidRPr="00CA1029">
        <w:rPr>
          <w:sz w:val="22"/>
          <w:szCs w:val="22"/>
        </w:rPr>
        <w:t xml:space="preserve"> and 15.56 mg/</w:t>
      </w:r>
      <w:proofErr w:type="spellStart"/>
      <w:r w:rsidR="00E0382E" w:rsidRPr="00CA1029">
        <w:rPr>
          <w:sz w:val="22"/>
          <w:szCs w:val="22"/>
        </w:rPr>
        <w:t>dL</w:t>
      </w:r>
      <w:proofErr w:type="spellEnd"/>
      <w:r w:rsidR="00E0382E" w:rsidRPr="00CA1029">
        <w:rPr>
          <w:sz w:val="22"/>
          <w:szCs w:val="22"/>
        </w:rPr>
        <w:t>, with the survivors averaging higher cholesterol. We thus reject the null hypothesis of no association between serum LDL and 5 year all-cause mortality in favor of a trend toward higher mean cholesterol for the subjects surviving for a longer period of time.</w:t>
      </w:r>
    </w:p>
    <w:p w:rsidR="00CE7EDE" w:rsidRDefault="00C55091" w:rsidP="00CE7EDE">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691347" w:rsidRDefault="006F3E52" w:rsidP="00691347">
      <w:pPr>
        <w:autoSpaceDE w:val="0"/>
        <w:autoSpaceDN w:val="0"/>
        <w:adjustRightInd w:val="0"/>
        <w:spacing w:after="120"/>
        <w:rPr>
          <w:sz w:val="22"/>
          <w:szCs w:val="22"/>
        </w:rPr>
      </w:pPr>
      <w:r>
        <w:rPr>
          <w:sz w:val="22"/>
          <w:szCs w:val="22"/>
        </w:rPr>
        <w:lastRenderedPageBreak/>
        <w:t>Method: To compare the geometric mean LDL values across groups defined by vital status at 5 years, a two-sample t test on the log transformed serum LDL levels was performed, again allowing for unequal variances between the groups. Point estimates and confidence intervals we</w:t>
      </w:r>
      <w:r w:rsidR="000B4B67">
        <w:rPr>
          <w:sz w:val="22"/>
          <w:szCs w:val="22"/>
        </w:rPr>
        <w:t>re back transformed to obtain estimates in the original measurement units.</w:t>
      </w:r>
    </w:p>
    <w:p w:rsidR="00C84FBC" w:rsidRPr="009D5804" w:rsidRDefault="000B4B67" w:rsidP="00A50AD6">
      <w:pPr>
        <w:autoSpaceDE w:val="0"/>
        <w:autoSpaceDN w:val="0"/>
        <w:adjustRightInd w:val="0"/>
        <w:spacing w:after="120"/>
        <w:rPr>
          <w:sz w:val="22"/>
          <w:szCs w:val="22"/>
        </w:rPr>
      </w:pPr>
      <w:r>
        <w:rPr>
          <w:sz w:val="22"/>
          <w:szCs w:val="22"/>
        </w:rPr>
        <w:t xml:space="preserve">The geometric mean cholesterol is estimated to be </w:t>
      </w:r>
      <w:r w:rsidRPr="00A50AD6">
        <w:rPr>
          <w:b/>
          <w:sz w:val="22"/>
          <w:szCs w:val="22"/>
        </w:rPr>
        <w:t>112</w:t>
      </w:r>
      <w:r>
        <w:rPr>
          <w:sz w:val="22"/>
          <w:szCs w:val="22"/>
        </w:rPr>
        <w:t xml:space="preserve"> mg/</w:t>
      </w:r>
      <w:proofErr w:type="spellStart"/>
      <w:r>
        <w:rPr>
          <w:sz w:val="22"/>
          <w:szCs w:val="22"/>
        </w:rPr>
        <w:t>dL</w:t>
      </w:r>
      <w:proofErr w:type="spellEnd"/>
      <w:r>
        <w:rPr>
          <w:sz w:val="22"/>
          <w:szCs w:val="22"/>
        </w:rPr>
        <w:t xml:space="preserve"> among subjects who die within 5 years of study enrollment and </w:t>
      </w:r>
      <w:r w:rsidRPr="00A50AD6">
        <w:rPr>
          <w:b/>
          <w:sz w:val="22"/>
          <w:szCs w:val="22"/>
        </w:rPr>
        <w:t xml:space="preserve">123 </w:t>
      </w:r>
      <w:r>
        <w:rPr>
          <w:sz w:val="22"/>
          <w:szCs w:val="22"/>
        </w:rPr>
        <w:t>mg/</w:t>
      </w:r>
      <w:proofErr w:type="spellStart"/>
      <w:r>
        <w:rPr>
          <w:sz w:val="22"/>
          <w:szCs w:val="22"/>
        </w:rPr>
        <w:t>dL</w:t>
      </w:r>
      <w:proofErr w:type="spellEnd"/>
      <w:r>
        <w:rPr>
          <w:sz w:val="22"/>
          <w:szCs w:val="22"/>
        </w:rPr>
        <w:t xml:space="preserve"> among subjects who survive at least 5 years. A comparison of the geometric means estimates that the geometric mean cholesterol is </w:t>
      </w:r>
      <w:r w:rsidRPr="00A50AD6">
        <w:rPr>
          <w:b/>
          <w:sz w:val="22"/>
          <w:szCs w:val="22"/>
        </w:rPr>
        <w:t>9.7%</w:t>
      </w:r>
      <w:r>
        <w:rPr>
          <w:sz w:val="22"/>
          <w:szCs w:val="22"/>
        </w:rPr>
        <w:t xml:space="preserve"> higher among subjects who survive at least 5 years relative to those who die within 5 years. The observed difference </w:t>
      </w:r>
      <w:r w:rsidR="00A50AD6">
        <w:rPr>
          <w:sz w:val="22"/>
          <w:szCs w:val="22"/>
        </w:rPr>
        <w:t>in geometric mean LDL values is beyond that that might be expected to occur by chance in the absence of a true effect of serum LDL on 5 year all-cause mortality</w:t>
      </w:r>
      <w:r>
        <w:rPr>
          <w:sz w:val="22"/>
          <w:szCs w:val="22"/>
        </w:rPr>
        <w:t xml:space="preserve"> (</w:t>
      </w:r>
      <w:r w:rsidRPr="00A50AD6">
        <w:rPr>
          <w:b/>
          <w:sz w:val="22"/>
          <w:szCs w:val="22"/>
        </w:rPr>
        <w:t>P=0.0128</w:t>
      </w:r>
      <w:r>
        <w:rPr>
          <w:sz w:val="22"/>
          <w:szCs w:val="22"/>
        </w:rPr>
        <w:t>)</w:t>
      </w:r>
      <w:r w:rsidR="00A50AD6">
        <w:rPr>
          <w:sz w:val="22"/>
          <w:szCs w:val="22"/>
        </w:rPr>
        <w:t xml:space="preserve">, with the 95% confidence interval suggesting that the observed difference is what might be typically observed if the true ratio of geometric means was anywhere between </w:t>
      </w:r>
      <w:r w:rsidR="00A50AD6" w:rsidRPr="00A50AD6">
        <w:rPr>
          <w:b/>
          <w:sz w:val="22"/>
          <w:szCs w:val="22"/>
        </w:rPr>
        <w:t>2%</w:t>
      </w:r>
      <w:r w:rsidR="00A50AD6">
        <w:rPr>
          <w:sz w:val="22"/>
          <w:szCs w:val="22"/>
        </w:rPr>
        <w:t xml:space="preserve"> and </w:t>
      </w:r>
      <w:r w:rsidR="00A50AD6" w:rsidRPr="00A50AD6">
        <w:rPr>
          <w:b/>
          <w:sz w:val="22"/>
          <w:szCs w:val="22"/>
        </w:rPr>
        <w:t>17.9%</w:t>
      </w:r>
      <w:r w:rsidR="00A50AD6" w:rsidRPr="00A50AD6">
        <w:rPr>
          <w:sz w:val="22"/>
          <w:szCs w:val="22"/>
        </w:rPr>
        <w:t>,</w:t>
      </w:r>
      <w:r w:rsidR="00A50AD6">
        <w:rPr>
          <w:sz w:val="22"/>
          <w:szCs w:val="22"/>
        </w:rPr>
        <w:t xml:space="preserve"> with the survivors averaging higher cholesterol. We thus reject the null hypothesis of no association between serum LDL and 5 year all-cause mortality in favor of a trend toward higher geometric mean cholesterol for the subjects surviving for a longer period of time.</w:t>
      </w:r>
    </w:p>
    <w:p w:rsidR="00CE7EDE" w:rsidRDefault="00C55091" w:rsidP="00CE7EDE">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8E498B">
        <w:rPr>
          <w:sz w:val="22"/>
          <w:szCs w:val="22"/>
        </w:rPr>
        <w:t xml:space="preserve"> 160 mg/</w:t>
      </w:r>
      <w:proofErr w:type="spellStart"/>
      <w:r w:rsidR="008E498B">
        <w:rPr>
          <w:sz w:val="22"/>
          <w:szCs w:val="22"/>
        </w:rPr>
        <w:t>dL</w:t>
      </w:r>
      <w:proofErr w:type="spellEnd"/>
      <w:r w:rsidR="008E498B">
        <w:rPr>
          <w:sz w:val="22"/>
          <w:szCs w:val="22"/>
        </w:rPr>
        <w:t>).</w:t>
      </w:r>
    </w:p>
    <w:tbl>
      <w:tblPr>
        <w:tblW w:w="6781" w:type="dxa"/>
        <w:tblInd w:w="660" w:type="dxa"/>
        <w:tblCellMar>
          <w:left w:w="0" w:type="dxa"/>
          <w:right w:w="0" w:type="dxa"/>
        </w:tblCellMar>
        <w:tblLook w:val="04A0"/>
      </w:tblPr>
      <w:tblGrid>
        <w:gridCol w:w="1871"/>
        <w:gridCol w:w="1521"/>
        <w:gridCol w:w="2060"/>
        <w:gridCol w:w="1521"/>
      </w:tblGrid>
      <w:tr w:rsidR="00893D13" w:rsidTr="00893D13">
        <w:trPr>
          <w:trHeight w:val="325"/>
        </w:trPr>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3D13" w:rsidRDefault="00893D13">
            <w:pPr>
              <w:rPr>
                <w:rFonts w:ascii="Calibri" w:hAnsi="Calibri"/>
                <w:color w:val="000000"/>
                <w:sz w:val="22"/>
                <w:szCs w:val="22"/>
              </w:rPr>
            </w:pPr>
            <w:r>
              <w:rPr>
                <w:rFonts w:ascii="Calibri" w:hAnsi="Calibri"/>
                <w:color w:val="000000"/>
                <w:sz w:val="22"/>
                <w:szCs w:val="22"/>
              </w:rPr>
              <w:t> </w:t>
            </w:r>
          </w:p>
        </w:tc>
        <w:tc>
          <w:tcPr>
            <w:tcW w:w="152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 xml:space="preserve">High LDL </w:t>
            </w:r>
          </w:p>
          <w:p w:rsidR="00893D13" w:rsidRDefault="00893D13">
            <w:pPr>
              <w:jc w:val="right"/>
              <w:rPr>
                <w:rFonts w:ascii="Calibri" w:hAnsi="Calibri"/>
                <w:color w:val="000000"/>
                <w:sz w:val="22"/>
                <w:szCs w:val="22"/>
              </w:rPr>
            </w:pPr>
            <w:r>
              <w:rPr>
                <w:rFonts w:ascii="Calibri" w:hAnsi="Calibri"/>
                <w:color w:val="000000"/>
                <w:sz w:val="22"/>
                <w:szCs w:val="22"/>
              </w:rPr>
              <w:t>(</w:t>
            </w:r>
            <w:r w:rsidRPr="00893D13">
              <w:rPr>
                <w:rFonts w:ascii="Calibri" w:hAnsi="Calibri"/>
                <w:color w:val="000000"/>
                <w:sz w:val="22"/>
                <w:szCs w:val="22"/>
                <w:u w:val="single"/>
              </w:rPr>
              <w:t>&gt;</w:t>
            </w:r>
            <w:r>
              <w:rPr>
                <w:rFonts w:ascii="Calibri" w:hAnsi="Calibri"/>
                <w:color w:val="000000"/>
                <w:sz w:val="22"/>
                <w:szCs w:val="22"/>
              </w:rPr>
              <w:t>160 mg/dl)</w:t>
            </w:r>
          </w:p>
        </w:tc>
        <w:tc>
          <w:tcPr>
            <w:tcW w:w="20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Low LDL</w:t>
            </w:r>
          </w:p>
          <w:p w:rsidR="00893D13" w:rsidRDefault="00893D13" w:rsidP="00893D13">
            <w:pPr>
              <w:jc w:val="right"/>
              <w:rPr>
                <w:rFonts w:ascii="Calibri" w:hAnsi="Calibri"/>
                <w:color w:val="000000"/>
                <w:sz w:val="22"/>
                <w:szCs w:val="22"/>
              </w:rPr>
            </w:pPr>
            <w:r>
              <w:rPr>
                <w:rFonts w:ascii="Calibri" w:hAnsi="Calibri"/>
                <w:color w:val="000000"/>
                <w:sz w:val="22"/>
                <w:szCs w:val="22"/>
              </w:rPr>
              <w:t xml:space="preserve"> (&lt;160 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1521"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Total</w:t>
            </w:r>
          </w:p>
        </w:tc>
      </w:tr>
      <w:tr w:rsidR="00893D13" w:rsidTr="00893D13">
        <w:trPr>
          <w:trHeight w:val="32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Death within 5 years</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893D13" w:rsidRDefault="00E31341">
            <w:pPr>
              <w:jc w:val="right"/>
              <w:rPr>
                <w:rFonts w:ascii="Calibri" w:hAnsi="Calibri"/>
                <w:color w:val="000000"/>
                <w:sz w:val="22"/>
                <w:szCs w:val="22"/>
              </w:rPr>
            </w:pPr>
            <w:r>
              <w:rPr>
                <w:rFonts w:ascii="Calibri" w:hAnsi="Calibri"/>
                <w:color w:val="000000"/>
                <w:sz w:val="22"/>
                <w:szCs w:val="22"/>
              </w:rPr>
              <w:t>14</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105</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119</w:t>
            </w:r>
          </w:p>
        </w:tc>
      </w:tr>
      <w:tr w:rsidR="00893D13"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893D13" w:rsidRDefault="00893D13" w:rsidP="00893D13">
            <w:pPr>
              <w:jc w:val="right"/>
              <w:rPr>
                <w:rFonts w:ascii="Calibri" w:hAnsi="Calibri"/>
                <w:color w:val="000000"/>
                <w:sz w:val="22"/>
                <w:szCs w:val="22"/>
              </w:rPr>
            </w:pPr>
            <w:r>
              <w:rPr>
                <w:rFonts w:ascii="Calibri" w:hAnsi="Calibri"/>
                <w:color w:val="000000"/>
                <w:sz w:val="22"/>
                <w:szCs w:val="22"/>
              </w:rPr>
              <w:t>Surviving at 5 years</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606</w:t>
            </w:r>
          </w:p>
        </w:tc>
      </w:tr>
      <w:tr w:rsidR="00893D13"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3D13" w:rsidRDefault="00893D13">
            <w:pPr>
              <w:jc w:val="right"/>
              <w:rPr>
                <w:rFonts w:ascii="Calibri" w:hAnsi="Calibri"/>
                <w:color w:val="000000"/>
                <w:sz w:val="22"/>
                <w:szCs w:val="22"/>
              </w:rPr>
            </w:pPr>
            <w:r>
              <w:rPr>
                <w:rFonts w:ascii="Calibri" w:hAnsi="Calibri"/>
                <w:color w:val="000000"/>
                <w:sz w:val="22"/>
                <w:szCs w:val="22"/>
              </w:rPr>
              <w:t>725</w:t>
            </w:r>
          </w:p>
        </w:tc>
      </w:tr>
    </w:tbl>
    <w:p w:rsidR="00691347" w:rsidRDefault="00893D13" w:rsidP="00CE7EDE">
      <w:pPr>
        <w:autoSpaceDE w:val="0"/>
        <w:autoSpaceDN w:val="0"/>
        <w:adjustRightInd w:val="0"/>
        <w:spacing w:after="120"/>
        <w:rPr>
          <w:sz w:val="22"/>
          <w:szCs w:val="22"/>
        </w:rPr>
      </w:pPr>
      <w:r>
        <w:rPr>
          <w:sz w:val="22"/>
          <w:szCs w:val="22"/>
        </w:rPr>
        <w:t xml:space="preserve">Table 2: 2x2 table grouped by LDL status (high LDL being </w:t>
      </w:r>
      <w:r w:rsidRPr="00893D13">
        <w:rPr>
          <w:sz w:val="22"/>
          <w:szCs w:val="22"/>
          <w:u w:val="single"/>
        </w:rPr>
        <w:t>&gt;</w:t>
      </w:r>
      <w:r>
        <w:rPr>
          <w:sz w:val="22"/>
          <w:szCs w:val="22"/>
        </w:rPr>
        <w:t>160 mg/</w:t>
      </w:r>
      <w:proofErr w:type="spellStart"/>
      <w:r>
        <w:rPr>
          <w:sz w:val="22"/>
          <w:szCs w:val="22"/>
        </w:rPr>
        <w:t>dL</w:t>
      </w:r>
      <w:proofErr w:type="spellEnd"/>
      <w:r>
        <w:rPr>
          <w:sz w:val="22"/>
          <w:szCs w:val="22"/>
        </w:rPr>
        <w:t>) and vital status at 5 years.</w:t>
      </w:r>
    </w:p>
    <w:p w:rsidR="00893D13" w:rsidRPr="00CA1029" w:rsidRDefault="00CA1029" w:rsidP="00CE7EDE">
      <w:pPr>
        <w:autoSpaceDE w:val="0"/>
        <w:autoSpaceDN w:val="0"/>
        <w:adjustRightInd w:val="0"/>
        <w:spacing w:after="120"/>
        <w:rPr>
          <w:sz w:val="22"/>
          <w:szCs w:val="22"/>
        </w:rPr>
      </w:pPr>
      <w:r>
        <w:rPr>
          <w:sz w:val="22"/>
          <w:szCs w:val="22"/>
        </w:rPr>
        <w:t>Method</w:t>
      </w:r>
      <w:r w:rsidR="00766719">
        <w:rPr>
          <w:sz w:val="22"/>
          <w:szCs w:val="22"/>
        </w:rPr>
        <w:t xml:space="preserve">: </w:t>
      </w:r>
      <w:r w:rsidR="003B17E9">
        <w:rPr>
          <w:sz w:val="22"/>
          <w:szCs w:val="22"/>
        </w:rPr>
        <w:t xml:space="preserve">A Chi-square test on the two groups defined by LDL status (defined as </w:t>
      </w:r>
      <w:r w:rsidR="003B17E9" w:rsidRPr="003B17E9">
        <w:rPr>
          <w:sz w:val="22"/>
          <w:szCs w:val="22"/>
          <w:u w:val="single"/>
        </w:rPr>
        <w:t>&gt;</w:t>
      </w:r>
      <w:r w:rsidR="003B17E9">
        <w:rPr>
          <w:sz w:val="22"/>
          <w:szCs w:val="22"/>
        </w:rPr>
        <w:t>160 mg/</w:t>
      </w:r>
      <w:proofErr w:type="spellStart"/>
      <w:r w:rsidR="003B17E9">
        <w:rPr>
          <w:sz w:val="22"/>
          <w:szCs w:val="22"/>
        </w:rPr>
        <w:t>dL</w:t>
      </w:r>
      <w:proofErr w:type="spellEnd"/>
      <w:r w:rsidR="003B17E9">
        <w:rPr>
          <w:sz w:val="22"/>
          <w:szCs w:val="22"/>
        </w:rPr>
        <w:t xml:space="preserve">) </w:t>
      </w:r>
      <w:r w:rsidR="00E312A9">
        <w:rPr>
          <w:sz w:val="22"/>
          <w:szCs w:val="22"/>
        </w:rPr>
        <w:t xml:space="preserve"> and 5 year all-cause mortality was performed to evalua</w:t>
      </w:r>
      <w:r w:rsidR="00E31341">
        <w:rPr>
          <w:sz w:val="22"/>
          <w:szCs w:val="22"/>
        </w:rPr>
        <w:t xml:space="preserve">te the null hypothesis that the risk difference of 5 year </w:t>
      </w:r>
      <w:r w:rsidR="00E31341" w:rsidRPr="00CA1029">
        <w:rPr>
          <w:sz w:val="22"/>
          <w:szCs w:val="22"/>
        </w:rPr>
        <w:t xml:space="preserve">all-cause death between groups defined by LDL status equals zero. </w:t>
      </w:r>
    </w:p>
    <w:p w:rsidR="00894AF2" w:rsidRPr="00CA1029" w:rsidRDefault="00E31341" w:rsidP="00894AF2">
      <w:pPr>
        <w:autoSpaceDE w:val="0"/>
        <w:autoSpaceDN w:val="0"/>
        <w:adjustRightInd w:val="0"/>
        <w:spacing w:after="120"/>
        <w:rPr>
          <w:sz w:val="22"/>
          <w:szCs w:val="22"/>
        </w:rPr>
      </w:pPr>
      <w:r w:rsidRPr="00CA1029">
        <w:rPr>
          <w:sz w:val="22"/>
          <w:szCs w:val="22"/>
        </w:rPr>
        <w:t xml:space="preserve">In the group of patients with high LDL (serum LDL </w:t>
      </w:r>
      <w:r w:rsidRPr="00CA1029">
        <w:rPr>
          <w:sz w:val="22"/>
          <w:szCs w:val="22"/>
          <w:u w:val="single"/>
        </w:rPr>
        <w:t>&gt;</w:t>
      </w:r>
      <w:r w:rsidRPr="00CA1029">
        <w:rPr>
          <w:sz w:val="22"/>
          <w:szCs w:val="22"/>
        </w:rPr>
        <w:t>160 mg/</w:t>
      </w:r>
      <w:proofErr w:type="spellStart"/>
      <w:r w:rsidRPr="00CA1029">
        <w:rPr>
          <w:sz w:val="22"/>
          <w:szCs w:val="22"/>
        </w:rPr>
        <w:t>dL</w:t>
      </w:r>
      <w:proofErr w:type="spellEnd"/>
      <w:r w:rsidRPr="00CA1029">
        <w:rPr>
          <w:sz w:val="22"/>
          <w:szCs w:val="22"/>
        </w:rPr>
        <w:t xml:space="preserve">), 14 of 107 </w:t>
      </w:r>
      <w:r w:rsidR="00CA1029" w:rsidRPr="00CA1029">
        <w:rPr>
          <w:sz w:val="22"/>
          <w:szCs w:val="22"/>
        </w:rPr>
        <w:t>subjects</w:t>
      </w:r>
      <w:r w:rsidRPr="00CA1029">
        <w:rPr>
          <w:sz w:val="22"/>
          <w:szCs w:val="22"/>
        </w:rPr>
        <w:t xml:space="preserve"> (13%) died within 5 years of study </w:t>
      </w:r>
      <w:r w:rsidR="00CA1029" w:rsidRPr="00CA1029">
        <w:rPr>
          <w:sz w:val="22"/>
          <w:szCs w:val="22"/>
        </w:rPr>
        <w:t>enrollment and 105 of 618 subjects (17%) with low LDL died within 5 years. Based on the Chi squared test, the observed absolute difference of -3.9% in probability of death within 5 years is within the range of absolute differences that might be expected to occur by chance in the absence of an effect of high serum LDL on 5 year all-cause mortality (P=0.3139), with the 95% confidence interval for the difference in 5 year death rates is an absolute 11% lower to 3% higher 5 year death rate in the high LDL group.</w:t>
      </w:r>
    </w:p>
    <w:p w:rsidR="00CA1029" w:rsidRPr="009D5804" w:rsidRDefault="00CA1029" w:rsidP="00894AF2">
      <w:pPr>
        <w:autoSpaceDE w:val="0"/>
        <w:autoSpaceDN w:val="0"/>
        <w:adjustRightInd w:val="0"/>
        <w:spacing w:after="120"/>
        <w:rPr>
          <w:sz w:val="22"/>
          <w:szCs w:val="22"/>
        </w:rPr>
      </w:pPr>
    </w:p>
    <w:p w:rsidR="009D5804" w:rsidRDefault="009D5804"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8E498B" w:rsidRDefault="00CA1029" w:rsidP="008E498B">
      <w:pPr>
        <w:autoSpaceDE w:val="0"/>
        <w:autoSpaceDN w:val="0"/>
        <w:adjustRightInd w:val="0"/>
        <w:spacing w:after="120"/>
        <w:rPr>
          <w:sz w:val="22"/>
          <w:szCs w:val="22"/>
        </w:rPr>
      </w:pPr>
      <w:r>
        <w:rPr>
          <w:sz w:val="22"/>
          <w:szCs w:val="22"/>
        </w:rPr>
        <w:t xml:space="preserve">Method: </w:t>
      </w:r>
      <w:r w:rsidR="00814EC4">
        <w:rPr>
          <w:sz w:val="22"/>
          <w:szCs w:val="22"/>
        </w:rPr>
        <w:t xml:space="preserve">A Chi-square test on the two groups defined by LDL status (defined as </w:t>
      </w:r>
      <w:r w:rsidR="00814EC4" w:rsidRPr="003B17E9">
        <w:rPr>
          <w:sz w:val="22"/>
          <w:szCs w:val="22"/>
          <w:u w:val="single"/>
        </w:rPr>
        <w:t>&gt;</w:t>
      </w:r>
      <w:r w:rsidR="00814EC4">
        <w:rPr>
          <w:sz w:val="22"/>
          <w:szCs w:val="22"/>
        </w:rPr>
        <w:t>160 mg/</w:t>
      </w:r>
      <w:proofErr w:type="spellStart"/>
      <w:r w:rsidR="00814EC4">
        <w:rPr>
          <w:sz w:val="22"/>
          <w:szCs w:val="22"/>
        </w:rPr>
        <w:t>dL</w:t>
      </w:r>
      <w:proofErr w:type="spellEnd"/>
      <w:r w:rsidR="00814EC4">
        <w:rPr>
          <w:sz w:val="22"/>
          <w:szCs w:val="22"/>
        </w:rPr>
        <w:t xml:space="preserve">)  and 5 year all-cause mortality was performed to evaluate the null hypothesis that the odds ratio of 5 year all-cause death between groups defined by LDL status equals 1. </w:t>
      </w:r>
    </w:p>
    <w:p w:rsidR="005A5820" w:rsidRDefault="00F97B98" w:rsidP="008E498B">
      <w:pPr>
        <w:autoSpaceDE w:val="0"/>
        <w:autoSpaceDN w:val="0"/>
        <w:adjustRightInd w:val="0"/>
        <w:spacing w:after="120"/>
        <w:rPr>
          <w:sz w:val="22"/>
          <w:szCs w:val="22"/>
        </w:rPr>
      </w:pPr>
      <w:r>
        <w:rPr>
          <w:sz w:val="22"/>
          <w:szCs w:val="22"/>
        </w:rPr>
        <w:t>The odds of dying within</w:t>
      </w:r>
      <w:r w:rsidR="00C9661E">
        <w:rPr>
          <w:sz w:val="22"/>
          <w:szCs w:val="22"/>
        </w:rPr>
        <w:t xml:space="preserve"> </w:t>
      </w:r>
      <w:r>
        <w:rPr>
          <w:sz w:val="22"/>
          <w:szCs w:val="22"/>
        </w:rPr>
        <w:t>5 years is estimated to be 26.4% lower (odds ratio 0.735) in the group having high LDL relative to the group with low LDL. This observed difference is not statistically different from an odd</w:t>
      </w:r>
      <w:r w:rsidR="005362D6">
        <w:rPr>
          <w:sz w:val="22"/>
          <w:szCs w:val="22"/>
        </w:rPr>
        <w:t xml:space="preserve">s ratio of 1 (P=0.3139), with a 95% confidence interval suggesting that the observed odds ratio is what might be typically observed if the true odds of dying within 5 years was anywhere between </w:t>
      </w:r>
      <w:r w:rsidR="00755574">
        <w:rPr>
          <w:sz w:val="22"/>
          <w:szCs w:val="22"/>
        </w:rPr>
        <w:t xml:space="preserve">63% lower and 36% higher (odds ratios 0.3726 and 1.3606, respectively) in the high LDL group relative to the </w:t>
      </w:r>
      <w:r w:rsidR="00755574">
        <w:rPr>
          <w:sz w:val="22"/>
          <w:szCs w:val="22"/>
        </w:rPr>
        <w:lastRenderedPageBreak/>
        <w:t xml:space="preserve">low LDL group. Therefore we do not reject the null hypothesis of no association between serum LDL and survival time, even though there is a slight trend towards higher odds of survival among subjects with higher serum LDL levels. </w:t>
      </w:r>
    </w:p>
    <w:p w:rsidR="00C84FBC" w:rsidRPr="009D5804" w:rsidRDefault="005A5820" w:rsidP="00755574">
      <w:pPr>
        <w:pStyle w:val="MTDisplayEquation"/>
      </w:pPr>
      <w:r>
        <w:tab/>
      </w:r>
      <w:r w:rsidRPr="005A5820">
        <w:rPr>
          <w:position w:val="-4"/>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7" o:title=""/>
          </v:shape>
          <o:OLEObject Type="Embed" ProgID="Equation.DSMT4" ShapeID="_x0000_i1025" DrawAspect="Content" ObjectID="_1451085663" r:id="rId8"/>
        </w:object>
      </w:r>
    </w:p>
    <w:p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rsidR="008E498B" w:rsidRDefault="00755574" w:rsidP="008E498B">
      <w:pPr>
        <w:autoSpaceDE w:val="0"/>
        <w:autoSpaceDN w:val="0"/>
        <w:adjustRightInd w:val="0"/>
        <w:spacing w:after="120"/>
        <w:rPr>
          <w:sz w:val="22"/>
          <w:szCs w:val="22"/>
        </w:rPr>
      </w:pPr>
      <w:r>
        <w:rPr>
          <w:sz w:val="22"/>
          <w:szCs w:val="22"/>
        </w:rPr>
        <w:t xml:space="preserve">Method: A log-rank test comparing the survival curves of the two groups defined by whether the subjects have high serum LDL </w:t>
      </w:r>
      <w:r w:rsidRPr="009D5804">
        <w:rPr>
          <w:sz w:val="22"/>
          <w:szCs w:val="22"/>
        </w:rPr>
        <w:t xml:space="preserve">(“high” = LDL </w:t>
      </w:r>
      <w:r w:rsidRPr="009D5804">
        <w:rPr>
          <w:sz w:val="22"/>
          <w:szCs w:val="22"/>
          <w:u w:val="single"/>
        </w:rPr>
        <w:t>&gt;</w:t>
      </w:r>
      <w:r>
        <w:rPr>
          <w:sz w:val="22"/>
          <w:szCs w:val="22"/>
        </w:rPr>
        <w:t xml:space="preserve"> 160 mg/</w:t>
      </w:r>
      <w:proofErr w:type="spellStart"/>
      <w:r>
        <w:rPr>
          <w:sz w:val="22"/>
          <w:szCs w:val="22"/>
        </w:rPr>
        <w:t>dL</w:t>
      </w:r>
      <w:proofErr w:type="spellEnd"/>
      <w:r>
        <w:rPr>
          <w:sz w:val="22"/>
          <w:szCs w:val="22"/>
        </w:rPr>
        <w:t>) to test the null hypothesis that the survival curve for patients with high serum LDL is the same as the patients with low serum LDL.</w:t>
      </w:r>
    </w:p>
    <w:tbl>
      <w:tblPr>
        <w:tblW w:w="2980" w:type="dxa"/>
        <w:tblInd w:w="2610" w:type="dxa"/>
        <w:tblCellMar>
          <w:left w:w="0" w:type="dxa"/>
          <w:right w:w="0" w:type="dxa"/>
        </w:tblCellMar>
        <w:tblLook w:val="04A0"/>
      </w:tblPr>
      <w:tblGrid>
        <w:gridCol w:w="1060"/>
        <w:gridCol w:w="960"/>
        <w:gridCol w:w="960"/>
      </w:tblGrid>
      <w:tr w:rsidR="00755574" w:rsidTr="00755574">
        <w:trPr>
          <w:trHeight w:val="300"/>
        </w:trPr>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p>
        </w:tc>
        <w:tc>
          <w:tcPr>
            <w:tcW w:w="960"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Events</w:t>
            </w:r>
          </w:p>
        </w:tc>
        <w:tc>
          <w:tcPr>
            <w:tcW w:w="9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Events</w:t>
            </w:r>
          </w:p>
        </w:tc>
      </w:tr>
      <w:tr w:rsidR="00755574" w:rsidTr="007555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LDL status</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observed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expected</w:t>
            </w:r>
          </w:p>
        </w:tc>
      </w:tr>
      <w:tr w:rsidR="00755574" w:rsidTr="00755574">
        <w:trPr>
          <w:trHeight w:val="300"/>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High</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116</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111.01</w:t>
            </w:r>
          </w:p>
        </w:tc>
      </w:tr>
      <w:tr w:rsidR="00755574"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Low</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19.99</w:t>
            </w:r>
          </w:p>
        </w:tc>
      </w:tr>
      <w:tr w:rsidR="00755574"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755574" w:rsidRDefault="00755574">
            <w:pPr>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55574" w:rsidRDefault="00755574">
            <w:pPr>
              <w:jc w:val="right"/>
              <w:rPr>
                <w:rFonts w:ascii="Calibri" w:hAnsi="Calibri"/>
                <w:color w:val="000000"/>
                <w:sz w:val="22"/>
                <w:szCs w:val="22"/>
              </w:rPr>
            </w:pPr>
            <w:r>
              <w:rPr>
                <w:rFonts w:ascii="Calibri" w:hAnsi="Calibri"/>
                <w:color w:val="000000"/>
                <w:sz w:val="22"/>
                <w:szCs w:val="22"/>
              </w:rPr>
              <w:t>131</w:t>
            </w:r>
          </w:p>
        </w:tc>
      </w:tr>
    </w:tbl>
    <w:p w:rsidR="00755574" w:rsidRDefault="00755574" w:rsidP="008E498B">
      <w:pPr>
        <w:autoSpaceDE w:val="0"/>
        <w:autoSpaceDN w:val="0"/>
        <w:adjustRightInd w:val="0"/>
        <w:spacing w:after="120"/>
        <w:rPr>
          <w:sz w:val="22"/>
          <w:szCs w:val="22"/>
        </w:rPr>
      </w:pPr>
      <w:r>
        <w:rPr>
          <w:sz w:val="22"/>
          <w:szCs w:val="22"/>
        </w:rPr>
        <w:t xml:space="preserve">Table 3: Number of observed and expected deaths for groups separated by LDL status </w:t>
      </w:r>
      <w:r w:rsidRPr="009D5804">
        <w:rPr>
          <w:sz w:val="22"/>
          <w:szCs w:val="22"/>
        </w:rPr>
        <w:t xml:space="preserve">(“high” = LDL </w:t>
      </w:r>
      <w:r w:rsidRPr="009D5804">
        <w:rPr>
          <w:sz w:val="22"/>
          <w:szCs w:val="22"/>
          <w:u w:val="single"/>
        </w:rPr>
        <w:t>&gt;</w:t>
      </w:r>
      <w:r>
        <w:rPr>
          <w:sz w:val="22"/>
          <w:szCs w:val="22"/>
        </w:rPr>
        <w:t xml:space="preserve"> 160 mg/</w:t>
      </w:r>
      <w:proofErr w:type="spellStart"/>
      <w:r>
        <w:rPr>
          <w:sz w:val="22"/>
          <w:szCs w:val="22"/>
        </w:rPr>
        <w:t>dL</w:t>
      </w:r>
      <w:proofErr w:type="spellEnd"/>
      <w:r>
        <w:rPr>
          <w:sz w:val="22"/>
          <w:szCs w:val="22"/>
        </w:rPr>
        <w:t>)</w:t>
      </w:r>
    </w:p>
    <w:p w:rsidR="00476DDB" w:rsidRDefault="00EB7AB0" w:rsidP="008E498B">
      <w:pPr>
        <w:autoSpaceDE w:val="0"/>
        <w:autoSpaceDN w:val="0"/>
        <w:adjustRightInd w:val="0"/>
        <w:spacing w:after="120"/>
        <w:rPr>
          <w:sz w:val="22"/>
          <w:szCs w:val="22"/>
        </w:rPr>
      </w:pPr>
      <w:r>
        <w:rPr>
          <w:sz w:val="22"/>
          <w:szCs w:val="22"/>
        </w:rPr>
        <w:t xml:space="preserve">The log-rank test </w:t>
      </w:r>
      <w:r w:rsidR="00FD20BF">
        <w:rPr>
          <w:sz w:val="22"/>
          <w:szCs w:val="22"/>
        </w:rPr>
        <w:t>results indicate there is not a significant difference in the survival curves between groups defined by whether the subjects have high serum LDL (P=0.2249).</w:t>
      </w:r>
      <w:r w:rsidR="00476DDB">
        <w:rPr>
          <w:sz w:val="22"/>
          <w:szCs w:val="22"/>
        </w:rPr>
        <w:t xml:space="preserve"> Thus, we do not reject the null hypothesis that the instantaneous risk of death in the high serum LDL group is equal to that of the low serum LDL group. The figure below shows the significant overlap between the 95% confidence intervals of the two groups over a majority of the study duration. </w:t>
      </w:r>
    </w:p>
    <w:p w:rsidR="00476DDB" w:rsidRDefault="00476DDB" w:rsidP="008E498B">
      <w:pPr>
        <w:autoSpaceDE w:val="0"/>
        <w:autoSpaceDN w:val="0"/>
        <w:adjustRightInd w:val="0"/>
        <w:spacing w:after="120"/>
        <w:rPr>
          <w:sz w:val="22"/>
          <w:szCs w:val="22"/>
        </w:rPr>
      </w:pPr>
      <w:r>
        <w:rPr>
          <w:noProof/>
          <w:sz w:val="22"/>
          <w:szCs w:val="22"/>
        </w:rPr>
        <w:drawing>
          <wp:inline distT="0" distB="0" distL="0" distR="0">
            <wp:extent cx="5114925"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EB7AB0" w:rsidRDefault="00476DDB" w:rsidP="008E498B">
      <w:pPr>
        <w:autoSpaceDE w:val="0"/>
        <w:autoSpaceDN w:val="0"/>
        <w:adjustRightInd w:val="0"/>
        <w:spacing w:after="120"/>
        <w:rPr>
          <w:sz w:val="22"/>
          <w:szCs w:val="22"/>
        </w:rPr>
      </w:pPr>
      <w:r>
        <w:rPr>
          <w:sz w:val="22"/>
          <w:szCs w:val="22"/>
        </w:rPr>
        <w:lastRenderedPageBreak/>
        <w:t>Figure 1: Kaplan-Meier survival estimates and 95% confidence intervals for groups defined by high serum LDL (“high”</w:t>
      </w:r>
      <w:proofErr w:type="gramStart"/>
      <w:r>
        <w:rPr>
          <w:sz w:val="22"/>
          <w:szCs w:val="22"/>
        </w:rPr>
        <w:t>=  LDL</w:t>
      </w:r>
      <w:proofErr w:type="gramEnd"/>
      <w:r w:rsidRPr="00476DDB">
        <w:rPr>
          <w:sz w:val="22"/>
          <w:szCs w:val="22"/>
          <w:u w:val="single"/>
        </w:rPr>
        <w:t>&gt;</w:t>
      </w:r>
      <w:r>
        <w:rPr>
          <w:sz w:val="22"/>
          <w:szCs w:val="22"/>
        </w:rPr>
        <w:t>160mg/</w:t>
      </w:r>
      <w:proofErr w:type="spellStart"/>
      <w:r>
        <w:rPr>
          <w:sz w:val="22"/>
          <w:szCs w:val="22"/>
        </w:rPr>
        <w:t>dL</w:t>
      </w:r>
      <w:proofErr w:type="spellEnd"/>
      <w:r>
        <w:rPr>
          <w:sz w:val="22"/>
          <w:szCs w:val="22"/>
        </w:rPr>
        <w:t>)</w:t>
      </w:r>
      <w:r w:rsidR="00FD20BF">
        <w:rPr>
          <w:sz w:val="22"/>
          <w:szCs w:val="22"/>
        </w:rPr>
        <w:t xml:space="preserve"> </w:t>
      </w:r>
      <w:r w:rsidR="00EB7AB0">
        <w:rPr>
          <w:sz w:val="22"/>
          <w:szCs w:val="22"/>
        </w:rPr>
        <w:t xml:space="preserve"> </w:t>
      </w:r>
    </w:p>
    <w:p w:rsidR="00C84FBC" w:rsidRPr="009D5804" w:rsidRDefault="00C84FBC" w:rsidP="008E498B">
      <w:pPr>
        <w:autoSpaceDE w:val="0"/>
        <w:autoSpaceDN w:val="0"/>
        <w:adjustRightInd w:val="0"/>
        <w:spacing w:after="120"/>
        <w:rPr>
          <w:sz w:val="22"/>
          <w:szCs w:val="22"/>
        </w:rPr>
      </w:pPr>
    </w:p>
    <w:p w:rsidR="00261CFB"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FD20BF" w:rsidRDefault="00FD20BF" w:rsidP="00FD20BF">
      <w:pPr>
        <w:autoSpaceDE w:val="0"/>
        <w:autoSpaceDN w:val="0"/>
        <w:adjustRightInd w:val="0"/>
        <w:spacing w:after="120"/>
        <w:rPr>
          <w:sz w:val="22"/>
          <w:szCs w:val="22"/>
        </w:rPr>
      </w:pPr>
      <w:r>
        <w:rPr>
          <w:sz w:val="22"/>
          <w:szCs w:val="22"/>
        </w:rPr>
        <w:t>I would have preferred the analysis comparing the instantaneous risk of death across groups defined by whether the subjects have high serum LDL. Given that the observation times are right-censored, t</w:t>
      </w:r>
      <w:r w:rsidR="00476DDB">
        <w:rPr>
          <w:sz w:val="22"/>
          <w:szCs w:val="22"/>
        </w:rPr>
        <w:t>he survival-based method is most able to leverage the information from the censored observations.</w:t>
      </w:r>
    </w:p>
    <w:p w:rsidR="009D5804" w:rsidRPr="009D5804" w:rsidRDefault="009D5804" w:rsidP="009D5804">
      <w:pPr>
        <w:pStyle w:val="PlainText"/>
        <w:rPr>
          <w:rFonts w:ascii="Times New Roman" w:hAnsi="Times New Roman" w:cs="Times New Roman"/>
          <w:sz w:val="22"/>
          <w:szCs w:val="22"/>
        </w:rPr>
      </w:pPr>
      <w:r>
        <w:rPr>
          <w:rFonts w:ascii="Times New Roman" w:hAnsi="Times New Roman" w:cs="Times New Roman"/>
          <w:sz w:val="22"/>
          <w:szCs w:val="22"/>
        </w:rPr>
        <w:t>.</w:t>
      </w:r>
    </w:p>
    <w:sectPr w:rsidR="009D5804" w:rsidRPr="009D5804" w:rsidSect="001E5158">
      <w:headerReference w:type="default" r:id="rId10"/>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9C0" w:rsidRDefault="002369C0">
      <w:r>
        <w:separator/>
      </w:r>
    </w:p>
  </w:endnote>
  <w:endnote w:type="continuationSeparator" w:id="0">
    <w:p w:rsidR="002369C0" w:rsidRDefault="00236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9C0" w:rsidRDefault="002369C0">
      <w:r>
        <w:separator/>
      </w:r>
    </w:p>
  </w:footnote>
  <w:footnote w:type="continuationSeparator" w:id="0">
    <w:p w:rsidR="002369C0" w:rsidRDefault="00236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79" w:rsidRDefault="00086779"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sidR="0023437B">
      <w:rPr>
        <w:snapToGrid w:val="0"/>
      </w:rPr>
      <w:fldChar w:fldCharType="begin"/>
    </w:r>
    <w:r>
      <w:rPr>
        <w:snapToGrid w:val="0"/>
      </w:rPr>
      <w:instrText xml:space="preserve"> PAGE </w:instrText>
    </w:r>
    <w:r w:rsidR="0023437B">
      <w:rPr>
        <w:snapToGrid w:val="0"/>
      </w:rPr>
      <w:fldChar w:fldCharType="separate"/>
    </w:r>
    <w:r w:rsidR="00C32363">
      <w:rPr>
        <w:noProof/>
        <w:snapToGrid w:val="0"/>
      </w:rPr>
      <w:t>2</w:t>
    </w:r>
    <w:r w:rsidR="0023437B">
      <w:rPr>
        <w:snapToGrid w:val="0"/>
      </w:rPr>
      <w:fldChar w:fldCharType="end"/>
    </w:r>
    <w:r>
      <w:rPr>
        <w:snapToGrid w:val="0"/>
      </w:rPr>
      <w:t xml:space="preserve"> of </w:t>
    </w:r>
    <w:r w:rsidR="0023437B">
      <w:rPr>
        <w:snapToGrid w:val="0"/>
      </w:rPr>
      <w:fldChar w:fldCharType="begin"/>
    </w:r>
    <w:r>
      <w:rPr>
        <w:snapToGrid w:val="0"/>
      </w:rPr>
      <w:instrText xml:space="preserve"> NUMPAGES </w:instrText>
    </w:r>
    <w:r w:rsidR="0023437B">
      <w:rPr>
        <w:snapToGrid w:val="0"/>
      </w:rPr>
      <w:fldChar w:fldCharType="separate"/>
    </w:r>
    <w:r w:rsidR="00C32363">
      <w:rPr>
        <w:noProof/>
        <w:snapToGrid w:val="0"/>
      </w:rPr>
      <w:t>5</w:t>
    </w:r>
    <w:r w:rsidR="0023437B">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263C2"/>
    <w:rsid w:val="00054A42"/>
    <w:rsid w:val="00060C13"/>
    <w:rsid w:val="000817A7"/>
    <w:rsid w:val="00086779"/>
    <w:rsid w:val="00097520"/>
    <w:rsid w:val="000A3B70"/>
    <w:rsid w:val="000A3E09"/>
    <w:rsid w:val="000B4B67"/>
    <w:rsid w:val="000F52B6"/>
    <w:rsid w:val="0010428A"/>
    <w:rsid w:val="00132AEC"/>
    <w:rsid w:val="00132BA1"/>
    <w:rsid w:val="00140EC9"/>
    <w:rsid w:val="00160820"/>
    <w:rsid w:val="00195B2D"/>
    <w:rsid w:val="001D2DC2"/>
    <w:rsid w:val="001E36FF"/>
    <w:rsid w:val="001E5158"/>
    <w:rsid w:val="00202909"/>
    <w:rsid w:val="00213E1F"/>
    <w:rsid w:val="0021517E"/>
    <w:rsid w:val="002213A5"/>
    <w:rsid w:val="0022654E"/>
    <w:rsid w:val="0023437B"/>
    <w:rsid w:val="002369C0"/>
    <w:rsid w:val="0024368C"/>
    <w:rsid w:val="00261CFB"/>
    <w:rsid w:val="002D5B86"/>
    <w:rsid w:val="002F0282"/>
    <w:rsid w:val="003471E3"/>
    <w:rsid w:val="00353B06"/>
    <w:rsid w:val="0036127B"/>
    <w:rsid w:val="003841D7"/>
    <w:rsid w:val="00385CD1"/>
    <w:rsid w:val="003A6D85"/>
    <w:rsid w:val="003B17E9"/>
    <w:rsid w:val="003C0FBE"/>
    <w:rsid w:val="00407BBA"/>
    <w:rsid w:val="00410B89"/>
    <w:rsid w:val="00415759"/>
    <w:rsid w:val="00421B7B"/>
    <w:rsid w:val="0042294F"/>
    <w:rsid w:val="00422D91"/>
    <w:rsid w:val="004318FF"/>
    <w:rsid w:val="00443606"/>
    <w:rsid w:val="004514C0"/>
    <w:rsid w:val="00452963"/>
    <w:rsid w:val="004664FD"/>
    <w:rsid w:val="00476DDB"/>
    <w:rsid w:val="004D1289"/>
    <w:rsid w:val="004D1292"/>
    <w:rsid w:val="00501EC4"/>
    <w:rsid w:val="00510B41"/>
    <w:rsid w:val="00511C56"/>
    <w:rsid w:val="00523AA4"/>
    <w:rsid w:val="005362D6"/>
    <w:rsid w:val="00567523"/>
    <w:rsid w:val="00586C10"/>
    <w:rsid w:val="005A13AF"/>
    <w:rsid w:val="005A5820"/>
    <w:rsid w:val="005B14E3"/>
    <w:rsid w:val="005B476C"/>
    <w:rsid w:val="005C1786"/>
    <w:rsid w:val="005C35DF"/>
    <w:rsid w:val="005C5726"/>
    <w:rsid w:val="005D7E06"/>
    <w:rsid w:val="005E10EC"/>
    <w:rsid w:val="005E415C"/>
    <w:rsid w:val="00601991"/>
    <w:rsid w:val="00607D3F"/>
    <w:rsid w:val="006138F9"/>
    <w:rsid w:val="006152BE"/>
    <w:rsid w:val="0062265F"/>
    <w:rsid w:val="006268D1"/>
    <w:rsid w:val="006336A9"/>
    <w:rsid w:val="0063762C"/>
    <w:rsid w:val="006508C5"/>
    <w:rsid w:val="00654208"/>
    <w:rsid w:val="00673A26"/>
    <w:rsid w:val="0067417C"/>
    <w:rsid w:val="00676B73"/>
    <w:rsid w:val="00691347"/>
    <w:rsid w:val="006B1E11"/>
    <w:rsid w:val="006C49EE"/>
    <w:rsid w:val="006E16C5"/>
    <w:rsid w:val="006E5205"/>
    <w:rsid w:val="006F3E52"/>
    <w:rsid w:val="007356DE"/>
    <w:rsid w:val="007366CC"/>
    <w:rsid w:val="00741AE1"/>
    <w:rsid w:val="00751474"/>
    <w:rsid w:val="00755574"/>
    <w:rsid w:val="00762DE6"/>
    <w:rsid w:val="00766719"/>
    <w:rsid w:val="00767D4A"/>
    <w:rsid w:val="00785A87"/>
    <w:rsid w:val="007B4E60"/>
    <w:rsid w:val="00814EC4"/>
    <w:rsid w:val="00836540"/>
    <w:rsid w:val="0087636D"/>
    <w:rsid w:val="00893D13"/>
    <w:rsid w:val="00894AF2"/>
    <w:rsid w:val="008A45D9"/>
    <w:rsid w:val="008B38F3"/>
    <w:rsid w:val="008B5C7A"/>
    <w:rsid w:val="008E498B"/>
    <w:rsid w:val="008F73A3"/>
    <w:rsid w:val="00905BC9"/>
    <w:rsid w:val="00905E82"/>
    <w:rsid w:val="009253F3"/>
    <w:rsid w:val="0094708F"/>
    <w:rsid w:val="00995F15"/>
    <w:rsid w:val="009B2370"/>
    <w:rsid w:val="009C542B"/>
    <w:rsid w:val="009D5804"/>
    <w:rsid w:val="009F413F"/>
    <w:rsid w:val="00A0233D"/>
    <w:rsid w:val="00A05CD5"/>
    <w:rsid w:val="00A31D8C"/>
    <w:rsid w:val="00A4205F"/>
    <w:rsid w:val="00A44034"/>
    <w:rsid w:val="00A50AD6"/>
    <w:rsid w:val="00AB0DD9"/>
    <w:rsid w:val="00AD29C0"/>
    <w:rsid w:val="00B04F23"/>
    <w:rsid w:val="00B12B84"/>
    <w:rsid w:val="00B15F79"/>
    <w:rsid w:val="00B17CB5"/>
    <w:rsid w:val="00B212A5"/>
    <w:rsid w:val="00B42150"/>
    <w:rsid w:val="00B43F52"/>
    <w:rsid w:val="00B457A7"/>
    <w:rsid w:val="00B4705C"/>
    <w:rsid w:val="00B70375"/>
    <w:rsid w:val="00B80043"/>
    <w:rsid w:val="00B814FA"/>
    <w:rsid w:val="00BF66B1"/>
    <w:rsid w:val="00C15CDE"/>
    <w:rsid w:val="00C32363"/>
    <w:rsid w:val="00C34EBC"/>
    <w:rsid w:val="00C47CF9"/>
    <w:rsid w:val="00C55091"/>
    <w:rsid w:val="00C642DD"/>
    <w:rsid w:val="00C74FEC"/>
    <w:rsid w:val="00C84FBC"/>
    <w:rsid w:val="00C93A29"/>
    <w:rsid w:val="00C9661E"/>
    <w:rsid w:val="00CA1029"/>
    <w:rsid w:val="00CE7EDE"/>
    <w:rsid w:val="00D16C04"/>
    <w:rsid w:val="00D72BD7"/>
    <w:rsid w:val="00DB0E8E"/>
    <w:rsid w:val="00DC01FF"/>
    <w:rsid w:val="00DD6B80"/>
    <w:rsid w:val="00DE3817"/>
    <w:rsid w:val="00E0382E"/>
    <w:rsid w:val="00E312A9"/>
    <w:rsid w:val="00E31341"/>
    <w:rsid w:val="00E35138"/>
    <w:rsid w:val="00E642DA"/>
    <w:rsid w:val="00E741C7"/>
    <w:rsid w:val="00E81610"/>
    <w:rsid w:val="00E91856"/>
    <w:rsid w:val="00EB7AB0"/>
    <w:rsid w:val="00ED47B6"/>
    <w:rsid w:val="00F15D49"/>
    <w:rsid w:val="00F507B9"/>
    <w:rsid w:val="00F51AEA"/>
    <w:rsid w:val="00F97B98"/>
    <w:rsid w:val="00FA2C0B"/>
    <w:rsid w:val="00FB663C"/>
    <w:rsid w:val="00FD20BF"/>
    <w:rsid w:val="00FD3F8C"/>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98B"/>
    <w:pPr>
      <w:ind w:left="720"/>
      <w:contextualSpacing/>
    </w:pPr>
  </w:style>
  <w:style w:type="paragraph" w:customStyle="1" w:styleId="MTDisplayEquation">
    <w:name w:val="MTDisplayEquation"/>
    <w:basedOn w:val="Normal"/>
    <w:next w:val="Normal"/>
    <w:link w:val="MTDisplayEquationChar"/>
    <w:rsid w:val="005A5820"/>
    <w:pPr>
      <w:tabs>
        <w:tab w:val="center" w:pos="4680"/>
        <w:tab w:val="right" w:pos="9360"/>
      </w:tabs>
      <w:autoSpaceDE w:val="0"/>
      <w:autoSpaceDN w:val="0"/>
      <w:adjustRightInd w:val="0"/>
      <w:spacing w:after="120"/>
    </w:pPr>
    <w:rPr>
      <w:sz w:val="22"/>
      <w:szCs w:val="22"/>
    </w:rPr>
  </w:style>
  <w:style w:type="character" w:customStyle="1" w:styleId="MTDisplayEquationChar">
    <w:name w:val="MTDisplayEquation Char"/>
    <w:basedOn w:val="DefaultParagraphFont"/>
    <w:link w:val="MTDisplayEquation"/>
    <w:rsid w:val="005A5820"/>
    <w:rPr>
      <w:sz w:val="22"/>
      <w:szCs w:val="22"/>
    </w:rPr>
  </w:style>
  <w:style w:type="paragraph" w:styleId="BalloonText">
    <w:name w:val="Balloon Text"/>
    <w:basedOn w:val="Normal"/>
    <w:link w:val="BalloonTextChar"/>
    <w:rsid w:val="00476DDB"/>
    <w:rPr>
      <w:rFonts w:ascii="Tahoma" w:hAnsi="Tahoma" w:cs="Tahoma"/>
      <w:sz w:val="16"/>
      <w:szCs w:val="16"/>
    </w:rPr>
  </w:style>
  <w:style w:type="character" w:customStyle="1" w:styleId="BalloonTextChar">
    <w:name w:val="Balloon Text Char"/>
    <w:basedOn w:val="DefaultParagraphFont"/>
    <w:link w:val="BalloonText"/>
    <w:rsid w:val="00476D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91002914">
      <w:bodyDiv w:val="1"/>
      <w:marLeft w:val="0"/>
      <w:marRight w:val="0"/>
      <w:marTop w:val="0"/>
      <w:marBottom w:val="0"/>
      <w:divBdr>
        <w:top w:val="none" w:sz="0" w:space="0" w:color="auto"/>
        <w:left w:val="none" w:sz="0" w:space="0" w:color="auto"/>
        <w:bottom w:val="none" w:sz="0" w:space="0" w:color="auto"/>
        <w:right w:val="none" w:sz="0" w:space="0" w:color="auto"/>
      </w:divBdr>
    </w:div>
    <w:div w:id="8542658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317341094">
      <w:bodyDiv w:val="1"/>
      <w:marLeft w:val="0"/>
      <w:marRight w:val="0"/>
      <w:marTop w:val="0"/>
      <w:marBottom w:val="0"/>
      <w:divBdr>
        <w:top w:val="none" w:sz="0" w:space="0" w:color="auto"/>
        <w:left w:val="none" w:sz="0" w:space="0" w:color="auto"/>
        <w:bottom w:val="none" w:sz="0" w:space="0" w:color="auto"/>
        <w:right w:val="none" w:sz="0" w:space="0" w:color="auto"/>
      </w:divBdr>
    </w:div>
    <w:div w:id="181798791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10723</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 </cp:lastModifiedBy>
  <cp:revision>2</cp:revision>
  <dcterms:created xsi:type="dcterms:W3CDTF">2014-01-13T10:35:00Z</dcterms:created>
  <dcterms:modified xsi:type="dcterms:W3CDTF">2014-01-13T10:35:00Z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