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A99" w:rsidRPr="00613A99" w:rsidRDefault="00B11617" w:rsidP="0060636E">
      <w:pPr>
        <w:jc w:val="center"/>
        <w:rPr>
          <w:rFonts w:ascii="Arial" w:hAnsi="Arial" w:cs="Arial"/>
          <w:sz w:val="28"/>
        </w:rPr>
      </w:pPr>
      <w:r w:rsidRPr="00613A99">
        <w:rPr>
          <w:rFonts w:ascii="Arial" w:hAnsi="Arial" w:cs="Arial"/>
          <w:sz w:val="28"/>
        </w:rPr>
        <w:t>Applied Biostatistics II</w:t>
      </w:r>
      <w:r w:rsidR="0060636E">
        <w:rPr>
          <w:rFonts w:ascii="Arial" w:hAnsi="Arial" w:cs="Arial"/>
          <w:sz w:val="28"/>
        </w:rPr>
        <w:t xml:space="preserve"> - </w:t>
      </w:r>
      <w:r w:rsidRPr="00613A99">
        <w:rPr>
          <w:rFonts w:ascii="Arial" w:hAnsi="Arial" w:cs="Arial"/>
          <w:sz w:val="28"/>
        </w:rPr>
        <w:t>Winter 2014</w:t>
      </w:r>
      <w:r w:rsidR="0060636E">
        <w:rPr>
          <w:rFonts w:ascii="Arial" w:hAnsi="Arial" w:cs="Arial"/>
          <w:sz w:val="28"/>
        </w:rPr>
        <w:t xml:space="preserve"> - </w:t>
      </w:r>
      <w:r w:rsidR="00613A99" w:rsidRPr="00613A99">
        <w:rPr>
          <w:rFonts w:ascii="Arial" w:hAnsi="Arial" w:cs="Arial"/>
          <w:sz w:val="28"/>
        </w:rPr>
        <w:t>Homework #1</w:t>
      </w:r>
    </w:p>
    <w:p w:rsidR="001622C5" w:rsidRDefault="001622C5" w:rsidP="001622C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From the table below we see that of</w:t>
      </w:r>
      <w:r w:rsidR="009635C8">
        <w:rPr>
          <w:rFonts w:ascii="Arial" w:hAnsi="Arial" w:cs="Arial"/>
        </w:rPr>
        <w:t xml:space="preserve"> the</w:t>
      </w:r>
      <w:r>
        <w:rPr>
          <w:rFonts w:ascii="Arial" w:hAnsi="Arial" w:cs="Arial"/>
        </w:rPr>
        <w:t xml:space="preserve"> </w:t>
      </w:r>
      <w:r w:rsidR="00B11617">
        <w:rPr>
          <w:rFonts w:ascii="Arial" w:hAnsi="Arial" w:cs="Arial"/>
        </w:rPr>
        <w:t>602 censoring events</w:t>
      </w:r>
      <w:r>
        <w:rPr>
          <w:rFonts w:ascii="Arial" w:hAnsi="Arial" w:cs="Arial"/>
        </w:rPr>
        <w:t xml:space="preserve"> in the data</w:t>
      </w:r>
      <w:r w:rsidR="00C2333E">
        <w:rPr>
          <w:rFonts w:ascii="Arial" w:hAnsi="Arial" w:cs="Arial"/>
        </w:rPr>
        <w:t xml:space="preserve">, </w:t>
      </w:r>
      <w:r w:rsidR="008B74D6">
        <w:rPr>
          <w:rFonts w:ascii="Arial" w:hAnsi="Arial" w:cs="Arial"/>
        </w:rPr>
        <w:t>all</w:t>
      </w:r>
      <w:r w:rsidR="00C2333E">
        <w:rPr>
          <w:rFonts w:ascii="Arial" w:hAnsi="Arial" w:cs="Arial"/>
        </w:rPr>
        <w:t xml:space="preserve"> were</w:t>
      </w:r>
      <w:r w:rsidR="00B11617">
        <w:rPr>
          <w:rFonts w:ascii="Arial" w:hAnsi="Arial" w:cs="Arial"/>
        </w:rPr>
        <w:t xml:space="preserve"> recorded </w:t>
      </w:r>
      <w:r w:rsidR="008B74D6">
        <w:rPr>
          <w:rFonts w:ascii="Arial" w:hAnsi="Arial" w:cs="Arial"/>
        </w:rPr>
        <w:t>after</w:t>
      </w:r>
      <w:r w:rsidR="00B11617">
        <w:rPr>
          <w:rFonts w:ascii="Arial" w:hAnsi="Arial" w:cs="Arial"/>
        </w:rPr>
        <w:t xml:space="preserve"> 5 years of study enrol</w:t>
      </w:r>
      <w:r w:rsidR="009635C8">
        <w:rPr>
          <w:rFonts w:ascii="Arial" w:hAnsi="Arial" w:cs="Arial"/>
        </w:rPr>
        <w:t>l</w:t>
      </w:r>
      <w:r w:rsidR="00B11617">
        <w:rPr>
          <w:rFonts w:ascii="Arial" w:hAnsi="Arial" w:cs="Arial"/>
        </w:rPr>
        <w:t>ment.</w:t>
      </w:r>
      <w:r>
        <w:rPr>
          <w:rFonts w:ascii="Arial" w:hAnsi="Arial" w:cs="Arial"/>
        </w:rPr>
        <w:t xml:space="preserve"> These observations are right censored, so we know that true times to death are at least 5 years. Hence, </w:t>
      </w:r>
      <w:r w:rsidR="009635C8">
        <w:rPr>
          <w:rFonts w:ascii="Arial" w:hAnsi="Arial" w:cs="Arial"/>
        </w:rPr>
        <w:t>we</w:t>
      </w:r>
      <w:r w:rsidR="002F4311">
        <w:rPr>
          <w:rFonts w:ascii="Arial" w:hAnsi="Arial" w:cs="Arial"/>
        </w:rPr>
        <w:t xml:space="preserve"> can</w:t>
      </w:r>
      <w:r w:rsidR="009635C8">
        <w:rPr>
          <w:rFonts w:ascii="Arial" w:hAnsi="Arial" w:cs="Arial"/>
        </w:rPr>
        <w:t xml:space="preserve"> dichotomize observed </w:t>
      </w:r>
      <w:r w:rsidR="002F4311">
        <w:rPr>
          <w:rFonts w:ascii="Arial" w:hAnsi="Arial" w:cs="Arial"/>
        </w:rPr>
        <w:t>time to death into groups by</w:t>
      </w:r>
      <w:r w:rsidR="009635C8" w:rsidRPr="00B11617">
        <w:rPr>
          <w:rFonts w:ascii="Arial" w:hAnsi="Arial" w:cs="Arial"/>
        </w:rPr>
        <w:t xml:space="preserve"> time to </w:t>
      </w:r>
      <w:r w:rsidR="009635C8">
        <w:rPr>
          <w:rFonts w:ascii="Arial" w:hAnsi="Arial" w:cs="Arial"/>
        </w:rPr>
        <w:t>death</w:t>
      </w:r>
      <w:r w:rsidR="009635C8" w:rsidRPr="00B11617">
        <w:rPr>
          <w:rFonts w:ascii="Arial" w:hAnsi="Arial" w:cs="Arial"/>
        </w:rPr>
        <w:t xml:space="preserve"> </w:t>
      </w:r>
      <w:r w:rsidR="009635C8">
        <w:rPr>
          <w:rFonts w:ascii="Arial" w:hAnsi="Arial" w:cs="Arial"/>
        </w:rPr>
        <w:t>within 5 years of study enrollment and time to death after at least 5 years of enrollment.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1304"/>
        <w:gridCol w:w="946"/>
      </w:tblGrid>
      <w:tr w:rsidR="00C2333E" w:rsidTr="00217918">
        <w:trPr>
          <w:jc w:val="center"/>
        </w:trPr>
        <w:tc>
          <w:tcPr>
            <w:tcW w:w="2335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165" w:type="dxa"/>
            <w:gridSpan w:val="2"/>
          </w:tcPr>
          <w:p w:rsidR="00C2333E" w:rsidRDefault="00C2333E" w:rsidP="00C2333E">
            <w:pPr>
              <w:jc w:val="center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  <w:i/>
              </w:rPr>
              <w:t>Event</w:t>
            </w:r>
            <w:r>
              <w:rPr>
                <w:rFonts w:ascii="Arial" w:hAnsi="Arial" w:cs="Arial"/>
              </w:rPr>
              <w:t>: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Time to event</w:t>
            </w:r>
          </w:p>
        </w:tc>
        <w:tc>
          <w:tcPr>
            <w:tcW w:w="1219" w:type="dxa"/>
          </w:tcPr>
          <w:p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Censoring</w:t>
            </w:r>
          </w:p>
        </w:tc>
        <w:tc>
          <w:tcPr>
            <w:tcW w:w="946" w:type="dxa"/>
          </w:tcPr>
          <w:p w:rsidR="00C2333E" w:rsidRPr="007A0B6F" w:rsidRDefault="00C2333E" w:rsidP="00C2333E">
            <w:pPr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Death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Less than 5 years</w:t>
            </w:r>
          </w:p>
        </w:tc>
        <w:tc>
          <w:tcPr>
            <w:tcW w:w="1219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46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</w:tr>
      <w:tr w:rsidR="00C2333E" w:rsidTr="00217918">
        <w:trPr>
          <w:jc w:val="center"/>
        </w:trPr>
        <w:tc>
          <w:tcPr>
            <w:tcW w:w="2335" w:type="dxa"/>
          </w:tcPr>
          <w:p w:rsidR="00C2333E" w:rsidRPr="007A0B6F" w:rsidRDefault="00C2333E" w:rsidP="00C2333E">
            <w:pPr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Greater than 5 years</w:t>
            </w:r>
          </w:p>
        </w:tc>
        <w:tc>
          <w:tcPr>
            <w:tcW w:w="1219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602</w:t>
            </w:r>
          </w:p>
        </w:tc>
        <w:tc>
          <w:tcPr>
            <w:tcW w:w="946" w:type="dxa"/>
          </w:tcPr>
          <w:p w:rsidR="00C2333E" w:rsidRDefault="00C2333E" w:rsidP="00C2333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</w:tbl>
    <w:p w:rsidR="00217918" w:rsidRDefault="00217918" w:rsidP="00217918">
      <w:pPr>
        <w:rPr>
          <w:rFonts w:ascii="Arial" w:hAnsi="Arial" w:cs="Arial"/>
        </w:rPr>
      </w:pPr>
    </w:p>
    <w:p w:rsidR="002F4311" w:rsidRDefault="00217918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We are interested in whether there is an association between serum LDL and 5 year all-cause mortality in the study participants. To explore this possible association, we </w:t>
      </w:r>
      <w:r w:rsidR="002F4311">
        <w:rPr>
          <w:rFonts w:ascii="Arial" w:hAnsi="Arial" w:cs="Arial"/>
        </w:rPr>
        <w:t>summarize the serum LDL</w:t>
      </w:r>
      <w:r w:rsidR="0060636E">
        <w:rPr>
          <w:rFonts w:ascii="Arial" w:hAnsi="Arial" w:cs="Arial"/>
        </w:rPr>
        <w:t>,</w:t>
      </w:r>
      <w:r w:rsidR="002F4311">
        <w:rPr>
          <w:rFonts w:ascii="Arial" w:hAnsi="Arial" w:cs="Arial"/>
        </w:rPr>
        <w:t xml:space="preserve"> age, sex, weight, smoking history, as well as prior h</w:t>
      </w:r>
      <w:r w:rsidR="0060636E">
        <w:rPr>
          <w:rFonts w:ascii="Arial" w:hAnsi="Arial" w:cs="Arial"/>
        </w:rPr>
        <w:t>istory of cardiovascular disease across the groups determined by 5-year mortality</w:t>
      </w:r>
      <w:r w:rsidR="002F4311">
        <w:rPr>
          <w:rFonts w:ascii="Arial" w:hAnsi="Arial" w:cs="Arial"/>
        </w:rPr>
        <w:t>.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65"/>
        <w:gridCol w:w="1440"/>
        <w:gridCol w:w="1253"/>
        <w:gridCol w:w="1000"/>
        <w:gridCol w:w="1295"/>
        <w:gridCol w:w="749"/>
        <w:gridCol w:w="828"/>
      </w:tblGrid>
      <w:tr w:rsidR="00DA3A13" w:rsidTr="0060636E">
        <w:tc>
          <w:tcPr>
            <w:tcW w:w="2065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Variable</w:t>
            </w:r>
          </w:p>
        </w:tc>
        <w:tc>
          <w:tcPr>
            <w:tcW w:w="1440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Group</w:t>
            </w:r>
          </w:p>
        </w:tc>
        <w:tc>
          <w:tcPr>
            <w:tcW w:w="1253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N</w:t>
            </w:r>
          </w:p>
        </w:tc>
        <w:tc>
          <w:tcPr>
            <w:tcW w:w="1000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Mean</w:t>
            </w:r>
          </w:p>
        </w:tc>
        <w:tc>
          <w:tcPr>
            <w:tcW w:w="1295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Standard Deviation</w:t>
            </w:r>
          </w:p>
        </w:tc>
        <w:tc>
          <w:tcPr>
            <w:tcW w:w="749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Min</w:t>
            </w:r>
          </w:p>
        </w:tc>
        <w:tc>
          <w:tcPr>
            <w:tcW w:w="828" w:type="dxa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  <w:b/>
              </w:rPr>
            </w:pPr>
            <w:r w:rsidRPr="007A0B6F">
              <w:rPr>
                <w:rFonts w:ascii="Arial" w:hAnsi="Arial" w:cs="Arial"/>
                <w:b/>
              </w:rPr>
              <w:t>Max</w:t>
            </w: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Serum LDL </w:t>
            </w:r>
          </w:p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(mg/dL)</w:t>
            </w:r>
          </w:p>
        </w:tc>
        <w:tc>
          <w:tcPr>
            <w:tcW w:w="144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725</w:t>
            </w:r>
          </w:p>
        </w:tc>
        <w:tc>
          <w:tcPr>
            <w:tcW w:w="100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125.8</w:t>
            </w:r>
          </w:p>
        </w:tc>
        <w:tc>
          <w:tcPr>
            <w:tcW w:w="1295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33.6</w:t>
            </w:r>
          </w:p>
        </w:tc>
        <w:tc>
          <w:tcPr>
            <w:tcW w:w="749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119</w:t>
            </w:r>
          </w:p>
        </w:tc>
        <w:tc>
          <w:tcPr>
            <w:tcW w:w="1000" w:type="dxa"/>
          </w:tcPr>
          <w:p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118.7</w:t>
            </w:r>
          </w:p>
        </w:tc>
        <w:tc>
          <w:tcPr>
            <w:tcW w:w="1295" w:type="dxa"/>
          </w:tcPr>
          <w:p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36.2</w:t>
            </w:r>
          </w:p>
        </w:tc>
        <w:tc>
          <w:tcPr>
            <w:tcW w:w="749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828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227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</w:t>
            </w:r>
          </w:p>
        </w:tc>
        <w:tc>
          <w:tcPr>
            <w:tcW w:w="1000" w:type="dxa"/>
          </w:tcPr>
          <w:p w:rsidR="00DA3A13" w:rsidRDefault="00B832E7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127.2</w:t>
            </w:r>
          </w:p>
        </w:tc>
        <w:tc>
          <w:tcPr>
            <w:tcW w:w="1295" w:type="dxa"/>
          </w:tcPr>
          <w:p w:rsidR="00DA3A13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32.9</w:t>
            </w:r>
          </w:p>
        </w:tc>
        <w:tc>
          <w:tcPr>
            <w:tcW w:w="749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39</w:t>
            </w:r>
          </w:p>
        </w:tc>
        <w:tc>
          <w:tcPr>
            <w:tcW w:w="828" w:type="dxa"/>
          </w:tcPr>
          <w:p w:rsidR="00DA3A13" w:rsidRDefault="00A17490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247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FF2855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Age 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(Years)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74.6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5.5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76.5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67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74.2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99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Male 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64.5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48.1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46.9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50.0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Weight</w:t>
            </w:r>
          </w:p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 (Pounds)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160.0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30.7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159.1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32.8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96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264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160.1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30.3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7A0B6F" w:rsidP="007A0B6F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 xml:space="preserve">Ex- or Current Smoker </w:t>
            </w:r>
            <w:r w:rsidR="00DA3A13" w:rsidRPr="007A0B6F">
              <w:rPr>
                <w:rFonts w:ascii="Arial" w:hAnsi="Arial" w:cs="Arial"/>
              </w:rPr>
              <w:t>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56.3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49.6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62.8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48.5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49.8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Congestive Heart Failure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5.6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23.0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34.9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19.4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Coronary Heart Disease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21.1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40.8</w:t>
            </w:r>
          </w:p>
        </w:tc>
        <w:tc>
          <w:tcPr>
            <w:tcW w:w="749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38.0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48.7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17.8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60636E" w:rsidTr="0060636E">
        <w:tc>
          <w:tcPr>
            <w:tcW w:w="2065" w:type="dxa"/>
          </w:tcPr>
          <w:p w:rsidR="0060636E" w:rsidRPr="007A0B6F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44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53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000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1295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749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  <w:tc>
          <w:tcPr>
            <w:tcW w:w="828" w:type="dxa"/>
          </w:tcPr>
          <w:p w:rsidR="0060636E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</w:p>
        </w:tc>
      </w:tr>
      <w:tr w:rsidR="00DA3A13" w:rsidTr="0060636E">
        <w:tc>
          <w:tcPr>
            <w:tcW w:w="2065" w:type="dxa"/>
            <w:vMerge w:val="restart"/>
          </w:tcPr>
          <w:p w:rsidR="00DA3A13" w:rsidRPr="007A0B6F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 w:rsidRPr="007A0B6F">
              <w:rPr>
                <w:rFonts w:ascii="Arial" w:hAnsi="Arial" w:cs="Arial"/>
              </w:rPr>
              <w:t>Stroke (%)</w:t>
            </w: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All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735</w:t>
            </w:r>
          </w:p>
        </w:tc>
        <w:tc>
          <w:tcPr>
            <w:tcW w:w="100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13.5</w:t>
            </w:r>
          </w:p>
        </w:tc>
        <w:tc>
          <w:tcPr>
            <w:tcW w:w="1295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34.2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Years &lt; 5</w:t>
            </w:r>
          </w:p>
        </w:tc>
        <w:tc>
          <w:tcPr>
            <w:tcW w:w="1253" w:type="dxa"/>
          </w:tcPr>
          <w:p w:rsid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121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28.9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45.5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DA3A13" w:rsidTr="0060636E">
        <w:tc>
          <w:tcPr>
            <w:tcW w:w="2065" w:type="dxa"/>
            <w:vMerge/>
          </w:tcPr>
          <w:p w:rsidR="00DA3A13" w:rsidRPr="00FF2855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  <w:i/>
              </w:rPr>
            </w:pPr>
          </w:p>
        </w:tc>
        <w:tc>
          <w:tcPr>
            <w:tcW w:w="1440" w:type="dxa"/>
          </w:tcPr>
          <w:p w:rsidR="00DA3A13" w:rsidRPr="00DA3A13" w:rsidRDefault="00DA3A13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Years </w:t>
            </w:r>
            <w:r w:rsidRPr="00DA3A13">
              <w:rPr>
                <w:rFonts w:ascii="Arial" w:hAnsi="Arial" w:cs="Arial"/>
                <w:u w:val="single"/>
              </w:rPr>
              <w:t>&gt;</w:t>
            </w:r>
            <w:r w:rsidRPr="00DA3A1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253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614</w:t>
            </w:r>
          </w:p>
        </w:tc>
        <w:tc>
          <w:tcPr>
            <w:tcW w:w="1000" w:type="dxa"/>
          </w:tcPr>
          <w:p w:rsidR="00DA3A13" w:rsidRDefault="00B832E7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10.4</w:t>
            </w:r>
          </w:p>
        </w:tc>
        <w:tc>
          <w:tcPr>
            <w:tcW w:w="1295" w:type="dxa"/>
          </w:tcPr>
          <w:p w:rsidR="00DA3A13" w:rsidRDefault="0060636E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30.6</w:t>
            </w:r>
          </w:p>
        </w:tc>
        <w:tc>
          <w:tcPr>
            <w:tcW w:w="749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28" w:type="dxa"/>
          </w:tcPr>
          <w:p w:rsidR="00DA3A13" w:rsidRDefault="00A17490" w:rsidP="00DA3A13">
            <w:pPr>
              <w:pStyle w:val="ListParagraph"/>
              <w:ind w:left="0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</w:tbl>
    <w:p w:rsidR="00DD40D4" w:rsidRDefault="0060636E" w:rsidP="007A0B6F">
      <w:pPr>
        <w:pStyle w:val="ListParagraph"/>
        <w:ind w:firstLine="72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We observe that participants who survived beyond 5 years have high</w:t>
      </w:r>
      <w:r w:rsidR="005915FD">
        <w:rPr>
          <w:rFonts w:ascii="Arial" w:hAnsi="Arial" w:cs="Arial"/>
        </w:rPr>
        <w:t>er</w:t>
      </w:r>
      <w:r>
        <w:rPr>
          <w:rFonts w:ascii="Arial" w:hAnsi="Arial" w:cs="Arial"/>
        </w:rPr>
        <w:t xml:space="preserve"> serum LDL on average than those not surviving at least 5 years.</w:t>
      </w:r>
      <w:r w:rsidR="007A0B6F">
        <w:rPr>
          <w:rFonts w:ascii="Arial" w:hAnsi="Arial" w:cs="Arial"/>
        </w:rPr>
        <w:t xml:space="preserve"> The average ages and weights of participants do not appear very different across groups, though the proportion of males is higher in participants with time to death less than 5 years. The proportion of participants with histories of smoking, congestive heart failure, coronary heart disease, or stroke are all higher in the group surviving less than 5 years. Additionally, we note that there are 10 individuals with missing serum LDL levels.</w:t>
      </w:r>
    </w:p>
    <w:p w:rsidR="007A0B6F" w:rsidRDefault="007A0B6F" w:rsidP="00DD40D4">
      <w:pPr>
        <w:pStyle w:val="ListParagraph"/>
        <w:rPr>
          <w:rFonts w:ascii="Arial" w:hAnsi="Arial" w:cs="Arial"/>
        </w:rPr>
      </w:pPr>
    </w:p>
    <w:p w:rsidR="002F4311" w:rsidRDefault="008F1444" w:rsidP="002F4311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To test the hypothesis that there is an association between mean LDL and 5 year all-cause mortality, we </w:t>
      </w:r>
      <w:r w:rsidRPr="001F7F27">
        <w:rPr>
          <w:rFonts w:ascii="Arial" w:hAnsi="Arial" w:cs="Arial"/>
        </w:rPr>
        <w:t>perform</w:t>
      </w:r>
      <w:r w:rsidR="001F7F27" w:rsidRPr="001F7F27">
        <w:rPr>
          <w:rFonts w:ascii="Arial" w:hAnsi="Arial" w:cs="Arial"/>
        </w:rPr>
        <w:t>ed</w:t>
      </w:r>
      <w:r w:rsidRPr="001F7F27">
        <w:rPr>
          <w:rFonts w:ascii="Arial" w:hAnsi="Arial" w:cs="Arial"/>
        </w:rPr>
        <w:t xml:space="preserve"> a two-sample t-test</w:t>
      </w:r>
      <w:r>
        <w:rPr>
          <w:rFonts w:ascii="Arial" w:hAnsi="Arial" w:cs="Arial"/>
        </w:rPr>
        <w:t xml:space="preserve"> for the difference in mean serum LDL between the groups based on 5</w:t>
      </w:r>
      <w:r w:rsidR="001F7F27">
        <w:rPr>
          <w:rFonts w:ascii="Arial" w:hAnsi="Arial" w:cs="Arial"/>
        </w:rPr>
        <w:t>-year mortality</w:t>
      </w:r>
      <w:r>
        <w:rPr>
          <w:rFonts w:ascii="Arial" w:hAnsi="Arial" w:cs="Arial"/>
        </w:rPr>
        <w:t>.</w:t>
      </w:r>
      <w:r w:rsidR="007B7E09">
        <w:rPr>
          <w:rFonts w:ascii="Arial" w:hAnsi="Arial" w:cs="Arial"/>
        </w:rPr>
        <w:t xml:space="preserve"> The observed difference in mean serum LDL levels was -8.50 mg/dL. With a p-value of 0.0115 and a </w:t>
      </w:r>
      <w:r w:rsidR="001F7F27">
        <w:rPr>
          <w:rFonts w:ascii="Arial" w:hAnsi="Arial" w:cs="Arial"/>
        </w:rPr>
        <w:t>95% confidence interval of -15.1 to -1.9 mg/dL</w:t>
      </w:r>
      <w:r w:rsidR="00915E9E">
        <w:rPr>
          <w:rFonts w:ascii="Arial" w:hAnsi="Arial" w:cs="Arial"/>
        </w:rPr>
        <w:t>, we have statistically significant evidence that mean serum LDL levels differ between participants who survived less than 5 years and those surviving at least 5 years.</w:t>
      </w:r>
      <w:r w:rsidR="00A76473">
        <w:rPr>
          <w:rFonts w:ascii="Arial" w:hAnsi="Arial" w:cs="Arial"/>
        </w:rPr>
        <w:t xml:space="preserve"> This result suggests that there is an association between mean LDL and 5 year all-cause mortality.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915E9E" w:rsidP="00915E9E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next tested</w:t>
      </w:r>
      <w:r w:rsidR="008F144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 hypothesis that the ratio of </w:t>
      </w:r>
      <w:r w:rsidR="008F1444">
        <w:rPr>
          <w:rFonts w:ascii="Arial" w:hAnsi="Arial" w:cs="Arial"/>
        </w:rPr>
        <w:t xml:space="preserve">geometric mean </w:t>
      </w:r>
      <w:r>
        <w:rPr>
          <w:rFonts w:ascii="Arial" w:hAnsi="Arial" w:cs="Arial"/>
        </w:rPr>
        <w:t>serum LDL between the groups based on 5-year mortality was equal to one</w:t>
      </w:r>
      <w:r w:rsidR="00A76473">
        <w:rPr>
          <w:rFonts w:ascii="Arial" w:hAnsi="Arial" w:cs="Arial"/>
        </w:rPr>
        <w:t xml:space="preserve"> with another two-sample t-test</w:t>
      </w:r>
      <w:r w:rsidR="008F1444">
        <w:rPr>
          <w:rFonts w:ascii="Arial" w:hAnsi="Arial" w:cs="Arial"/>
        </w:rPr>
        <w:t>.</w:t>
      </w:r>
      <w:r w:rsidR="008215F4">
        <w:rPr>
          <w:rFonts w:ascii="Arial" w:hAnsi="Arial" w:cs="Arial"/>
        </w:rPr>
        <w:t xml:space="preserve"> The observed </w:t>
      </w:r>
      <w:r>
        <w:rPr>
          <w:rFonts w:ascii="Arial" w:hAnsi="Arial" w:cs="Arial"/>
        </w:rPr>
        <w:t>ratio</w:t>
      </w:r>
      <w:r w:rsidR="008215F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of geometric means </w:t>
      </w:r>
      <w:r w:rsidR="008215F4">
        <w:rPr>
          <w:rFonts w:ascii="Arial" w:hAnsi="Arial" w:cs="Arial"/>
        </w:rPr>
        <w:t xml:space="preserve">was </w:t>
      </w:r>
      <w:r>
        <w:rPr>
          <w:rFonts w:ascii="Arial" w:hAnsi="Arial" w:cs="Arial"/>
        </w:rPr>
        <w:t xml:space="preserve">0.91. With </w:t>
      </w:r>
      <w:r w:rsidR="003623C3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p-value 0.0016 and 95% confidence interval 0.86 to 0.</w:t>
      </w:r>
      <w:r w:rsidR="00A76473">
        <w:rPr>
          <w:rFonts w:ascii="Arial" w:hAnsi="Arial" w:cs="Arial"/>
        </w:rPr>
        <w:t>97, the ratio of geometric mean serum LDL differs significantly from one in our sample. This result again suggests that there is an association between mean LDL and 5 year all-cause mortality.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A76473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Next we compared the</w:t>
      </w:r>
      <w:r w:rsidR="008F1444">
        <w:rPr>
          <w:rFonts w:ascii="Arial" w:hAnsi="Arial" w:cs="Arial"/>
        </w:rPr>
        <w:t xml:space="preserve"> risk </w:t>
      </w:r>
      <w:r>
        <w:rPr>
          <w:rFonts w:ascii="Arial" w:hAnsi="Arial" w:cs="Arial"/>
        </w:rPr>
        <w:t xml:space="preserve">of </w:t>
      </w:r>
      <w:r w:rsidR="00AB6F78">
        <w:rPr>
          <w:rFonts w:ascii="Arial" w:hAnsi="Arial" w:cs="Arial"/>
        </w:rPr>
        <w:t xml:space="preserve">high </w:t>
      </w:r>
      <w:r>
        <w:rPr>
          <w:rFonts w:ascii="Arial" w:hAnsi="Arial" w:cs="Arial"/>
        </w:rPr>
        <w:t>serum</w:t>
      </w:r>
      <w:r w:rsidR="008F1444">
        <w:rPr>
          <w:rFonts w:ascii="Arial" w:hAnsi="Arial" w:cs="Arial"/>
        </w:rPr>
        <w:t xml:space="preserve"> LDL </w:t>
      </w:r>
      <w:r w:rsidR="00AB6F78">
        <w:rPr>
          <w:rFonts w:ascii="Arial" w:hAnsi="Arial" w:cs="Arial"/>
        </w:rPr>
        <w:t>(</w:t>
      </w:r>
      <w:r>
        <w:rPr>
          <w:rFonts w:ascii="Arial" w:hAnsi="Arial" w:cs="Arial"/>
        </w:rPr>
        <w:t>at least</w:t>
      </w:r>
      <w:r w:rsidR="008F1444">
        <w:rPr>
          <w:rFonts w:ascii="Arial" w:hAnsi="Arial" w:cs="Arial"/>
        </w:rPr>
        <w:t xml:space="preserve"> 160 mg/dL</w:t>
      </w:r>
      <w:r w:rsidR="00AB6F78">
        <w:rPr>
          <w:rFonts w:ascii="Arial" w:hAnsi="Arial" w:cs="Arial"/>
        </w:rPr>
        <w:t>)</w:t>
      </w:r>
      <w:r>
        <w:rPr>
          <w:rFonts w:ascii="Arial" w:hAnsi="Arial" w:cs="Arial"/>
        </w:rPr>
        <w:t xml:space="preserve"> between the two groups based on 5-year mortality and found that t</w:t>
      </w:r>
      <w:r w:rsidR="00924A7A">
        <w:rPr>
          <w:rFonts w:ascii="Arial" w:hAnsi="Arial" w:cs="Arial"/>
        </w:rPr>
        <w:t>he risk difference was 0.03</w:t>
      </w:r>
      <w:r>
        <w:rPr>
          <w:rFonts w:ascii="Arial" w:hAnsi="Arial" w:cs="Arial"/>
        </w:rPr>
        <w:t>. W</w:t>
      </w:r>
      <w:r w:rsidR="00924A7A">
        <w:rPr>
          <w:rFonts w:ascii="Arial" w:hAnsi="Arial" w:cs="Arial"/>
        </w:rPr>
        <w:t xml:space="preserve">ith </w:t>
      </w:r>
      <w:r>
        <w:rPr>
          <w:rFonts w:ascii="Arial" w:hAnsi="Arial" w:cs="Arial"/>
        </w:rPr>
        <w:t>a 95% confidence interval from -0.04 to 0.10 and a p-value of 0.3753, we fail to detect an association between high serum LDL a</w:t>
      </w:r>
      <w:r w:rsidR="00AB6F78">
        <w:rPr>
          <w:rFonts w:ascii="Arial" w:hAnsi="Arial" w:cs="Arial"/>
        </w:rPr>
        <w:t>nd 5-</w:t>
      </w:r>
      <w:r>
        <w:rPr>
          <w:rFonts w:ascii="Arial" w:hAnsi="Arial" w:cs="Arial"/>
        </w:rPr>
        <w:t>year all-cause mortality.</w:t>
      </w:r>
    </w:p>
    <w:p w:rsidR="007A0B6F" w:rsidRDefault="007A0B6F" w:rsidP="007A0B6F">
      <w:pPr>
        <w:pStyle w:val="ListParagraph"/>
        <w:rPr>
          <w:rFonts w:ascii="Arial" w:hAnsi="Arial" w:cs="Arial"/>
        </w:rPr>
      </w:pPr>
    </w:p>
    <w:p w:rsidR="007A0B6F" w:rsidRPr="007A0B6F" w:rsidRDefault="00924A7A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odds ratio</w:t>
      </w:r>
      <w:r w:rsidR="00AB6F78">
        <w:rPr>
          <w:rFonts w:ascii="Arial" w:hAnsi="Arial" w:cs="Arial"/>
        </w:rPr>
        <w:t xml:space="preserve"> between the groups based on 5-year mortality for high serum LDL</w:t>
      </w:r>
      <w:r>
        <w:rPr>
          <w:rFonts w:ascii="Arial" w:hAnsi="Arial" w:cs="Arial"/>
        </w:rPr>
        <w:t xml:space="preserve"> was</w:t>
      </w:r>
      <w:r w:rsidR="00A76473">
        <w:rPr>
          <w:rFonts w:ascii="Arial" w:hAnsi="Arial" w:cs="Arial"/>
        </w:rPr>
        <w:t xml:space="preserve"> estimated as 1.29 with a 95% (Woolf) confidence interval</w:t>
      </w:r>
      <w:r>
        <w:rPr>
          <w:rFonts w:ascii="Arial" w:hAnsi="Arial" w:cs="Arial"/>
        </w:rPr>
        <w:t xml:space="preserve"> from 0.73 to 2.28 with a p-value of 0.3753.</w:t>
      </w:r>
      <w:r w:rsidR="00AB6F78">
        <w:rPr>
          <w:rFonts w:ascii="Arial" w:hAnsi="Arial" w:cs="Arial"/>
        </w:rPr>
        <w:t xml:space="preserve"> Thus we again fail to detect an association between high serum LDL and 5-year all-cause mortality.</w:t>
      </w:r>
    </w:p>
    <w:p w:rsidR="007A0B6F" w:rsidRPr="007A0B6F" w:rsidRDefault="007A0B6F" w:rsidP="007A0B6F">
      <w:pPr>
        <w:pStyle w:val="ListParagraph"/>
        <w:rPr>
          <w:rFonts w:ascii="Arial" w:hAnsi="Arial" w:cs="Arial"/>
        </w:rPr>
      </w:pPr>
    </w:p>
    <w:p w:rsidR="008F1444" w:rsidRDefault="00AB6F78" w:rsidP="007A0B6F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We now compare instantaneous risk of death across the entire study time for groups based on high serum LDL (at least 160 mg/dL)</w:t>
      </w:r>
      <w:r w:rsidR="00EB26CD" w:rsidRPr="007A0B6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This is equivalent to testing the hazard ratio.</w:t>
      </w:r>
      <w:r w:rsidR="00EB2A0C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The</w:t>
      </w:r>
      <w:r w:rsidR="00EB2A0C" w:rsidRPr="007A0B6F">
        <w:rPr>
          <w:rFonts w:ascii="Arial" w:hAnsi="Arial" w:cs="Arial"/>
        </w:rPr>
        <w:t xml:space="preserve"> log rank test</w:t>
      </w:r>
      <w:r w:rsidR="00ED56B1" w:rsidRPr="007A0B6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was significant at the</w:t>
      </w:r>
      <w:r w:rsidR="00ED56B1" w:rsidRPr="007A0B6F">
        <w:rPr>
          <w:rFonts w:ascii="Arial" w:hAnsi="Arial" w:cs="Arial"/>
        </w:rPr>
        <w:t xml:space="preserve"> p-value &lt; 0.0001</w:t>
      </w:r>
      <w:r>
        <w:rPr>
          <w:rFonts w:ascii="Arial" w:hAnsi="Arial" w:cs="Arial"/>
        </w:rPr>
        <w:t xml:space="preserve"> level, suggesting a possible association between high serum LDL and instantaneous risk of death.</w:t>
      </w:r>
    </w:p>
    <w:p w:rsidR="007A0B6F" w:rsidRPr="007A0B6F" w:rsidRDefault="007A0B6F" w:rsidP="007A0B6F">
      <w:pPr>
        <w:pStyle w:val="ListParagraph"/>
        <w:rPr>
          <w:rFonts w:ascii="Arial" w:hAnsi="Arial" w:cs="Arial"/>
        </w:rPr>
      </w:pPr>
    </w:p>
    <w:p w:rsidR="001622C5" w:rsidRPr="00281959" w:rsidRDefault="00EB26CD" w:rsidP="0021791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Due to the presence of censoring in the time to death data, I would perform an analysis based on Kaplan-Meier survival methods. Rather than dichotomize the data by time to death, I would </w:t>
      </w:r>
      <w:r w:rsidR="00545F73">
        <w:rPr>
          <w:rFonts w:ascii="Arial" w:hAnsi="Arial" w:cs="Arial"/>
        </w:rPr>
        <w:t>create</w:t>
      </w:r>
      <w:r>
        <w:rPr>
          <w:rFonts w:ascii="Arial" w:hAnsi="Arial" w:cs="Arial"/>
        </w:rPr>
        <w:t xml:space="preserve"> two groups based on high serum LDL (at least 160 mg/dL)</w:t>
      </w:r>
      <w:r w:rsidR="00AB6F78">
        <w:rPr>
          <w:rFonts w:ascii="Arial" w:hAnsi="Arial" w:cs="Arial"/>
        </w:rPr>
        <w:t xml:space="preserve"> and low-to-</w:t>
      </w:r>
      <w:r>
        <w:rPr>
          <w:rFonts w:ascii="Arial" w:hAnsi="Arial" w:cs="Arial"/>
        </w:rPr>
        <w:t>normal serum LDL (less than 160 mg/dL)</w:t>
      </w:r>
      <w:r w:rsidR="00910ADC">
        <w:rPr>
          <w:rFonts w:ascii="Arial" w:hAnsi="Arial" w:cs="Arial"/>
        </w:rPr>
        <w:t xml:space="preserve"> and compare their survival curves over the entire observation period</w:t>
      </w:r>
      <w:r>
        <w:rPr>
          <w:rFonts w:ascii="Arial" w:hAnsi="Arial" w:cs="Arial"/>
        </w:rPr>
        <w:t>.</w:t>
      </w:r>
      <w:r w:rsidR="00910ADC">
        <w:rPr>
          <w:rFonts w:ascii="Arial" w:hAnsi="Arial" w:cs="Arial"/>
        </w:rPr>
        <w:t xml:space="preserve"> Testing for an association using this i</w:t>
      </w:r>
      <w:r w:rsidR="00AB6F78">
        <w:rPr>
          <w:rFonts w:ascii="Arial" w:hAnsi="Arial" w:cs="Arial"/>
        </w:rPr>
        <w:t>nterpretation corresponds to a test for</w:t>
      </w:r>
      <w:r w:rsidR="00910ADC">
        <w:rPr>
          <w:rFonts w:ascii="Arial" w:hAnsi="Arial" w:cs="Arial"/>
        </w:rPr>
        <w:t xml:space="preserve"> proportion</w:t>
      </w:r>
      <w:r w:rsidR="00AB6F78">
        <w:rPr>
          <w:rFonts w:ascii="Arial" w:hAnsi="Arial" w:cs="Arial"/>
        </w:rPr>
        <w:t>al hazards</w:t>
      </w:r>
      <w:r w:rsidR="00545F73">
        <w:rPr>
          <w:rFonts w:ascii="Arial" w:hAnsi="Arial" w:cs="Arial"/>
        </w:rPr>
        <w:t>, such as the log rank test performed in problem 7</w:t>
      </w:r>
      <w:r w:rsidR="00AB6F78">
        <w:rPr>
          <w:rFonts w:ascii="Arial" w:hAnsi="Arial" w:cs="Arial"/>
        </w:rPr>
        <w:t>.</w:t>
      </w:r>
      <w:bookmarkStart w:id="0" w:name="_GoBack"/>
      <w:bookmarkEnd w:id="0"/>
    </w:p>
    <w:sectPr w:rsidR="001622C5" w:rsidRPr="002819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075EA4"/>
    <w:multiLevelType w:val="hybridMultilevel"/>
    <w:tmpl w:val="E3888A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1617"/>
    <w:rsid w:val="001622C5"/>
    <w:rsid w:val="001F7F27"/>
    <w:rsid w:val="00217918"/>
    <w:rsid w:val="00244A52"/>
    <w:rsid w:val="00281959"/>
    <w:rsid w:val="002F4311"/>
    <w:rsid w:val="003623C3"/>
    <w:rsid w:val="00545F73"/>
    <w:rsid w:val="005915FD"/>
    <w:rsid w:val="0060636E"/>
    <w:rsid w:val="00613A99"/>
    <w:rsid w:val="007A0B6F"/>
    <w:rsid w:val="007B7E09"/>
    <w:rsid w:val="008215F4"/>
    <w:rsid w:val="008B74D6"/>
    <w:rsid w:val="008F1444"/>
    <w:rsid w:val="00910ADC"/>
    <w:rsid w:val="00915E9E"/>
    <w:rsid w:val="00924A7A"/>
    <w:rsid w:val="009635C8"/>
    <w:rsid w:val="00A17490"/>
    <w:rsid w:val="00A76473"/>
    <w:rsid w:val="00A824FD"/>
    <w:rsid w:val="00AB6F78"/>
    <w:rsid w:val="00B11617"/>
    <w:rsid w:val="00B832E7"/>
    <w:rsid w:val="00BA6688"/>
    <w:rsid w:val="00C2333E"/>
    <w:rsid w:val="00DA3A13"/>
    <w:rsid w:val="00DD40D4"/>
    <w:rsid w:val="00EB26CD"/>
    <w:rsid w:val="00EB2A0C"/>
    <w:rsid w:val="00ED4B5E"/>
    <w:rsid w:val="00ED56B1"/>
    <w:rsid w:val="00FF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617"/>
    <w:pPr>
      <w:ind w:left="720"/>
      <w:contextualSpacing/>
    </w:pPr>
  </w:style>
  <w:style w:type="table" w:styleId="TableGrid">
    <w:name w:val="Table Grid"/>
    <w:basedOn w:val="TableNormal"/>
    <w:uiPriority w:val="39"/>
    <w:rsid w:val="001622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908</Words>
  <Characters>4052</Characters>
  <Application>Microsoft Office Word</Application>
  <DocSecurity>0</DocSecurity>
  <Lines>337</Lines>
  <Paragraphs>225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2014-01-13T07:10:00Z</dcterms:created>
  <dcterms:modified xsi:type="dcterms:W3CDTF">2014-01-13T07:18:00Z</dcterms:modified>
</cp:coreProperties>
</file>