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DD" w:rsidRDefault="00464118" w:rsidP="002374AF">
      <w:pPr>
        <w:spacing w:line="360" w:lineRule="auto"/>
        <w:rPr>
          <w:rFonts w:ascii="Times New Roman" w:hAnsi="Times New Roman"/>
        </w:rPr>
      </w:pPr>
      <w:commentRangeStart w:id="0"/>
      <w:r w:rsidRPr="00464118">
        <w:rPr>
          <w:rFonts w:ascii="Times New Roman" w:hAnsi="Times New Roman"/>
        </w:rPr>
        <w:t>1</w:t>
      </w:r>
      <w:commentRangeEnd w:id="0"/>
      <w:r w:rsidR="00D93B0F">
        <w:rPr>
          <w:rStyle w:val="CommentReference"/>
        </w:rPr>
        <w:commentReference w:id="0"/>
      </w:r>
      <w:r w:rsidRPr="00464118">
        <w:rPr>
          <w:rFonts w:ascii="Times New Roman" w:hAnsi="Times New Roman"/>
        </w:rPr>
        <w:t xml:space="preserve">. </w:t>
      </w:r>
      <w:r w:rsidR="00AD72AC">
        <w:rPr>
          <w:rFonts w:ascii="Times New Roman" w:hAnsi="Times New Roman"/>
        </w:rPr>
        <w:t xml:space="preserve">It is valid to dichotomize the data by 5-year </w:t>
      </w:r>
      <w:r w:rsidR="00A4151F">
        <w:rPr>
          <w:rFonts w:ascii="Times New Roman" w:hAnsi="Times New Roman"/>
        </w:rPr>
        <w:t>all-cause</w:t>
      </w:r>
      <w:r w:rsidR="00AD72AC">
        <w:rPr>
          <w:rFonts w:ascii="Times New Roman" w:hAnsi="Times New Roman"/>
        </w:rPr>
        <w:t xml:space="preserve"> mortality because all survivors</w:t>
      </w:r>
      <w:r w:rsidR="002C3367">
        <w:rPr>
          <w:rFonts w:ascii="Times New Roman" w:hAnsi="Times New Roman"/>
        </w:rPr>
        <w:t xml:space="preserve"> (those without </w:t>
      </w:r>
      <w:proofErr w:type="gramStart"/>
      <w:r w:rsidR="002C3367">
        <w:rPr>
          <w:rFonts w:ascii="Times New Roman" w:hAnsi="Times New Roman"/>
        </w:rPr>
        <w:t>an all</w:t>
      </w:r>
      <w:proofErr w:type="gramEnd"/>
      <w:r w:rsidR="002C3367">
        <w:rPr>
          <w:rFonts w:ascii="Times New Roman" w:hAnsi="Times New Roman"/>
        </w:rPr>
        <w:t>-cause mortality)</w:t>
      </w:r>
      <w:r w:rsidR="00AD72AC">
        <w:rPr>
          <w:rFonts w:ascii="Times New Roman" w:hAnsi="Times New Roman"/>
        </w:rPr>
        <w:t xml:space="preserve"> have an observation time greater than 5 years</w:t>
      </w:r>
      <w:r w:rsidR="00FA22D3">
        <w:rPr>
          <w:rFonts w:ascii="Times New Roman" w:hAnsi="Times New Roman"/>
        </w:rPr>
        <w:t xml:space="preserve"> and therefore no censoring is necessary </w:t>
      </w:r>
      <w:r w:rsidR="002F1C67">
        <w:rPr>
          <w:rFonts w:ascii="Times New Roman" w:hAnsi="Times New Roman"/>
        </w:rPr>
        <w:t>when</w:t>
      </w:r>
      <w:r w:rsidR="00FA22D3">
        <w:rPr>
          <w:rFonts w:ascii="Times New Roman" w:hAnsi="Times New Roman"/>
        </w:rPr>
        <w:t xml:space="preserve"> setting a 5-year cutoff</w:t>
      </w:r>
      <w:r w:rsidR="00AD72AC">
        <w:rPr>
          <w:rFonts w:ascii="Times New Roman" w:hAnsi="Times New Roman"/>
        </w:rPr>
        <w:t xml:space="preserve">. The range of observation time for survivors </w:t>
      </w:r>
      <w:r w:rsidR="002C3367">
        <w:rPr>
          <w:rFonts w:ascii="Times New Roman" w:hAnsi="Times New Roman"/>
        </w:rPr>
        <w:t xml:space="preserve">is 1827 to 2159 days. By dividing each by 365 days/year, we obtain a range of follow-up time for survivors of </w:t>
      </w:r>
      <w:r w:rsidR="009A0DD5">
        <w:rPr>
          <w:rFonts w:ascii="Times New Roman" w:hAnsi="Times New Roman"/>
        </w:rPr>
        <w:t xml:space="preserve">5.01 – 5.92 years. </w:t>
      </w:r>
      <w:r w:rsidR="00A4151F">
        <w:rPr>
          <w:rFonts w:ascii="Times New Roman" w:hAnsi="Times New Roman"/>
        </w:rPr>
        <w:t>Thus, all survivors have been noted to</w:t>
      </w:r>
      <w:r w:rsidR="00695693">
        <w:rPr>
          <w:rFonts w:ascii="Times New Roman" w:hAnsi="Times New Roman"/>
        </w:rPr>
        <w:t xml:space="preserve"> be </w:t>
      </w:r>
      <w:r w:rsidR="00A4151F">
        <w:rPr>
          <w:rFonts w:ascii="Times New Roman" w:hAnsi="Times New Roman"/>
        </w:rPr>
        <w:t>alive at a visit greater than the 5</w:t>
      </w:r>
      <w:r w:rsidR="00950CC9">
        <w:rPr>
          <w:rFonts w:ascii="Times New Roman" w:hAnsi="Times New Roman"/>
        </w:rPr>
        <w:t>-</w:t>
      </w:r>
      <w:r w:rsidR="00A4151F">
        <w:rPr>
          <w:rFonts w:ascii="Times New Roman" w:hAnsi="Times New Roman"/>
        </w:rPr>
        <w:t>year cutoff for this</w:t>
      </w:r>
      <w:r w:rsidR="0086592A">
        <w:rPr>
          <w:rFonts w:ascii="Times New Roman" w:hAnsi="Times New Roman"/>
        </w:rPr>
        <w:t xml:space="preserve"> dichotomization </w:t>
      </w:r>
      <w:commentRangeStart w:id="1"/>
      <w:r w:rsidR="0086592A">
        <w:rPr>
          <w:rFonts w:ascii="Times New Roman" w:hAnsi="Times New Roman"/>
        </w:rPr>
        <w:t>variable</w:t>
      </w:r>
      <w:commentRangeEnd w:id="1"/>
      <w:r w:rsidR="00AB2014">
        <w:rPr>
          <w:rStyle w:val="CommentReference"/>
        </w:rPr>
        <w:commentReference w:id="1"/>
      </w:r>
      <w:r w:rsidR="0086592A">
        <w:rPr>
          <w:rFonts w:ascii="Times New Roman" w:hAnsi="Times New Roman"/>
        </w:rPr>
        <w:t>.</w:t>
      </w:r>
    </w:p>
    <w:p w:rsidR="0086592A" w:rsidRDefault="0086592A" w:rsidP="002374AF">
      <w:pPr>
        <w:spacing w:line="360" w:lineRule="auto"/>
        <w:rPr>
          <w:rFonts w:ascii="Times New Roman" w:hAnsi="Times New Roman"/>
        </w:rPr>
      </w:pPr>
    </w:p>
    <w:p w:rsidR="0086592A" w:rsidRDefault="000C2B4B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34917">
        <w:rPr>
          <w:rFonts w:ascii="Times New Roman" w:hAnsi="Times New Roman"/>
        </w:rPr>
        <w:t xml:space="preserve">For the table below, I stratified by 5-year all-cause mortality status and presented the mean and 95% confidence interval. </w:t>
      </w:r>
      <w:r w:rsidR="00234917" w:rsidRPr="00AE37CC">
        <w:rPr>
          <w:rFonts w:ascii="Times New Roman" w:hAnsi="Times New Roman"/>
          <w:b/>
        </w:rPr>
        <w:t xml:space="preserve">The 95% confidence interval </w:t>
      </w:r>
      <w:r w:rsidR="001D5AA6">
        <w:rPr>
          <w:rFonts w:ascii="Times New Roman" w:hAnsi="Times New Roman"/>
          <w:b/>
        </w:rPr>
        <w:t xml:space="preserve">for questions </w:t>
      </w:r>
      <w:r w:rsidR="00FE0779">
        <w:rPr>
          <w:rFonts w:ascii="Times New Roman" w:hAnsi="Times New Roman"/>
          <w:b/>
        </w:rPr>
        <w:t>2</w:t>
      </w:r>
      <w:r w:rsidR="001D5AA6">
        <w:rPr>
          <w:rFonts w:ascii="Times New Roman" w:hAnsi="Times New Roman"/>
          <w:b/>
        </w:rPr>
        <w:t>-4 were</w:t>
      </w:r>
      <w:r w:rsidR="00234917" w:rsidRPr="00AE37CC">
        <w:rPr>
          <w:rFonts w:ascii="Times New Roman" w:hAnsi="Times New Roman"/>
          <w:b/>
        </w:rPr>
        <w:t xml:space="preserve"> calculated from a t-distribution</w:t>
      </w:r>
      <w:r w:rsidR="002374AF">
        <w:rPr>
          <w:rFonts w:ascii="Times New Roman" w:hAnsi="Times New Roman"/>
          <w:b/>
        </w:rPr>
        <w:t xml:space="preserve"> with n-1 degrees of freedom</w:t>
      </w:r>
      <w:r w:rsidR="00234917" w:rsidRPr="00AE37CC">
        <w:rPr>
          <w:rFonts w:ascii="Times New Roman" w:hAnsi="Times New Roman"/>
          <w:b/>
        </w:rPr>
        <w:t>.</w:t>
      </w:r>
      <w:r w:rsidR="00642D2C">
        <w:rPr>
          <w:rFonts w:ascii="Times New Roman" w:hAnsi="Times New Roman"/>
        </w:rPr>
        <w:t xml:space="preserve"> </w:t>
      </w:r>
      <w:commentRangeStart w:id="2"/>
      <w:r w:rsidR="00642D2C">
        <w:rPr>
          <w:rFonts w:ascii="Times New Roman" w:hAnsi="Times New Roman"/>
        </w:rPr>
        <w:t xml:space="preserve">P-values represent the difference in means for each </w:t>
      </w:r>
      <w:r w:rsidR="00885C76">
        <w:rPr>
          <w:rFonts w:ascii="Times New Roman" w:hAnsi="Times New Roman"/>
        </w:rPr>
        <w:t>variable</w:t>
      </w:r>
      <w:r w:rsidR="00642D2C">
        <w:rPr>
          <w:rFonts w:ascii="Times New Roman" w:hAnsi="Times New Roman"/>
        </w:rPr>
        <w:t xml:space="preserve"> between the </w:t>
      </w:r>
      <w:r w:rsidR="00E25521">
        <w:rPr>
          <w:rFonts w:ascii="Times New Roman" w:hAnsi="Times New Roman"/>
        </w:rPr>
        <w:t xml:space="preserve">5-year </w:t>
      </w:r>
      <w:r w:rsidR="006C65A0">
        <w:rPr>
          <w:rFonts w:ascii="Times New Roman" w:hAnsi="Times New Roman"/>
        </w:rPr>
        <w:t>all-cause mortality groups, as evaluated by a two-sample, two-sided t-test without the assumption of equal variance</w:t>
      </w:r>
      <w:commentRangeEnd w:id="2"/>
      <w:r w:rsidR="00BD558C">
        <w:rPr>
          <w:rStyle w:val="CommentReference"/>
        </w:rPr>
        <w:commentReference w:id="2"/>
      </w:r>
      <w:r w:rsidR="006C65A0">
        <w:rPr>
          <w:rFonts w:ascii="Times New Roman" w:hAnsi="Times New Roman"/>
        </w:rPr>
        <w:t>.</w:t>
      </w:r>
      <w:r w:rsidR="007537A8">
        <w:rPr>
          <w:rFonts w:ascii="Times New Roman" w:hAnsi="Times New Roman"/>
        </w:rPr>
        <w:t xml:space="preserve"> As noted in the table below, the two groups are significantly different (t-test p-value &lt; 0.05) for all variables </w:t>
      </w:r>
      <w:r w:rsidR="00885C76">
        <w:rPr>
          <w:rFonts w:ascii="Times New Roman" w:hAnsi="Times New Roman"/>
        </w:rPr>
        <w:t xml:space="preserve">except for </w:t>
      </w:r>
      <w:commentRangeStart w:id="3"/>
      <w:r w:rsidR="00885C76">
        <w:rPr>
          <w:rFonts w:ascii="Times New Roman" w:hAnsi="Times New Roman"/>
        </w:rPr>
        <w:t>weight</w:t>
      </w:r>
      <w:commentRangeEnd w:id="3"/>
      <w:r w:rsidR="00E54AF1">
        <w:rPr>
          <w:rStyle w:val="CommentReference"/>
        </w:rPr>
        <w:commentReference w:id="3"/>
      </w:r>
      <w:r w:rsidR="00885C76">
        <w:rPr>
          <w:rFonts w:ascii="Times New Roman" w:hAnsi="Times New Roman"/>
        </w:rPr>
        <w:t>.</w:t>
      </w:r>
    </w:p>
    <w:p w:rsidR="00F87B9E" w:rsidRDefault="00F87B9E" w:rsidP="002374AF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2394"/>
        <w:gridCol w:w="2664"/>
        <w:gridCol w:w="2700"/>
        <w:gridCol w:w="1818"/>
      </w:tblGrid>
      <w:tr w:rsidR="00A521EA" w:rsidRPr="00C502E1" w:rsidTr="005D2638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428F" w:rsidRPr="00C502E1" w:rsidRDefault="00E8428F" w:rsidP="005D2638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521EA" w:rsidRPr="00C502E1" w:rsidRDefault="00A521EA" w:rsidP="005D263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1EA" w:rsidRPr="00C502E1" w:rsidRDefault="00A521EA" w:rsidP="005D26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No 5-Year Mortality</w:t>
            </w:r>
          </w:p>
          <w:p w:rsidR="00C061E6" w:rsidRPr="00C502E1" w:rsidRDefault="00C061E6" w:rsidP="005D26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(N=</w:t>
            </w:r>
            <w:r w:rsidR="00386F3F" w:rsidRPr="00C502E1">
              <w:rPr>
                <w:rFonts w:ascii="Times New Roman" w:hAnsi="Times New Roman"/>
                <w:b/>
              </w:rPr>
              <w:t>602</w:t>
            </w:r>
            <w:r w:rsidRPr="00C502E1">
              <w:rPr>
                <w:rFonts w:ascii="Times New Roman" w:hAnsi="Times New Roman"/>
                <w:b/>
              </w:rPr>
              <w:t>)</w:t>
            </w:r>
            <w:r w:rsidR="00694134" w:rsidRPr="00694134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557" w:rsidRPr="00C502E1" w:rsidRDefault="00A521EA" w:rsidP="005D26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5-Year Mortality</w:t>
            </w:r>
          </w:p>
          <w:p w:rsidR="00A521EA" w:rsidRPr="00C502E1" w:rsidRDefault="00C061E6" w:rsidP="005D26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(N=</w:t>
            </w:r>
            <w:r w:rsidR="00386F3F" w:rsidRPr="00C502E1">
              <w:rPr>
                <w:rFonts w:ascii="Times New Roman" w:hAnsi="Times New Roman"/>
                <w:b/>
              </w:rPr>
              <w:t>133</w:t>
            </w:r>
            <w:r w:rsidRPr="00C502E1">
              <w:rPr>
                <w:rFonts w:ascii="Times New Roman" w:hAnsi="Times New Roman"/>
                <w:b/>
              </w:rPr>
              <w:t>)</w:t>
            </w:r>
            <w:r w:rsidR="00694134" w:rsidRPr="00694134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1EA" w:rsidRPr="00C502E1" w:rsidRDefault="00A521EA" w:rsidP="005D26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502E1">
              <w:rPr>
                <w:rFonts w:ascii="Times New Roman" w:hAnsi="Times New Roman"/>
                <w:b/>
              </w:rPr>
              <w:t>P-Value</w:t>
            </w:r>
          </w:p>
        </w:tc>
      </w:tr>
      <w:tr w:rsidR="00A521EA" w:rsidRPr="00C502E1" w:rsidTr="005D2638">
        <w:tc>
          <w:tcPr>
            <w:tcW w:w="2394" w:type="dxa"/>
            <w:tcBorders>
              <w:top w:val="single" w:sz="4" w:space="0" w:color="auto"/>
            </w:tcBorders>
            <w:shd w:val="clear" w:color="auto" w:fill="auto"/>
          </w:tcPr>
          <w:p w:rsidR="00A521EA" w:rsidRPr="00C502E1" w:rsidRDefault="006C2243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Age, years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</w:tcPr>
          <w:p w:rsidR="00A521EA" w:rsidRPr="00C502E1" w:rsidRDefault="009F721B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74.1 (</w:t>
            </w:r>
            <w:r w:rsidR="00775926" w:rsidRPr="00C502E1">
              <w:rPr>
                <w:rFonts w:ascii="Times New Roman" w:hAnsi="Times New Roman"/>
              </w:rPr>
              <w:t>73.7 – 74.5)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A521EA" w:rsidRPr="00C502E1" w:rsidRDefault="00A34317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 xml:space="preserve">76.7 </w:t>
            </w:r>
            <w:r w:rsidR="00C9184C" w:rsidRPr="00C502E1">
              <w:rPr>
                <w:rFonts w:ascii="Times New Roman" w:hAnsi="Times New Roman"/>
              </w:rPr>
              <w:t>(75.6 – 77.8)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521EA" w:rsidRPr="00C502E1" w:rsidRDefault="005A3B0B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1.64 x 10</w:t>
            </w:r>
            <w:r w:rsidRPr="00C502E1">
              <w:rPr>
                <w:rFonts w:ascii="Times New Roman" w:hAnsi="Times New Roman"/>
                <w:vertAlign w:val="superscript"/>
              </w:rPr>
              <w:t>-</w:t>
            </w:r>
            <w:r w:rsidR="000E06EB" w:rsidRPr="00C502E1"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A521EA" w:rsidRPr="00C502E1" w:rsidTr="005D2638">
        <w:tc>
          <w:tcPr>
            <w:tcW w:w="2394" w:type="dxa"/>
            <w:shd w:val="clear" w:color="auto" w:fill="auto"/>
          </w:tcPr>
          <w:p w:rsidR="00A521EA" w:rsidRPr="00C502E1" w:rsidRDefault="00CD055A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 xml:space="preserve">Male </w:t>
            </w:r>
            <w:r w:rsidR="00F54752" w:rsidRPr="00C502E1">
              <w:rPr>
                <w:rFonts w:ascii="Times New Roman" w:hAnsi="Times New Roman"/>
              </w:rPr>
              <w:t>gender</w:t>
            </w:r>
            <w:r w:rsidR="006C2243" w:rsidRPr="00C502E1">
              <w:rPr>
                <w:rFonts w:ascii="Times New Roman" w:hAnsi="Times New Roman"/>
              </w:rPr>
              <w:t>, %</w:t>
            </w:r>
          </w:p>
        </w:tc>
        <w:tc>
          <w:tcPr>
            <w:tcW w:w="2664" w:type="dxa"/>
            <w:shd w:val="clear" w:color="auto" w:fill="auto"/>
          </w:tcPr>
          <w:p w:rsidR="00A521EA" w:rsidRPr="00C502E1" w:rsidRDefault="00F47E94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46.5 (42.5</w:t>
            </w:r>
            <w:r w:rsidR="00B6500E" w:rsidRPr="00C502E1">
              <w:rPr>
                <w:rFonts w:ascii="Times New Roman" w:hAnsi="Times New Roman"/>
              </w:rPr>
              <w:t xml:space="preserve"> – 50.5</w:t>
            </w:r>
            <w:r w:rsidRPr="00C502E1">
              <w:rPr>
                <w:rFonts w:ascii="Times New Roman" w:hAnsi="Times New Roman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A521EA" w:rsidRPr="00C502E1" w:rsidRDefault="00AC7360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64.7 (</w:t>
            </w:r>
            <w:r w:rsidR="000529C7" w:rsidRPr="00C502E1">
              <w:rPr>
                <w:rFonts w:ascii="Times New Roman" w:hAnsi="Times New Roman"/>
              </w:rPr>
              <w:t>56.4 – 72.9)</w:t>
            </w:r>
          </w:p>
        </w:tc>
        <w:tc>
          <w:tcPr>
            <w:tcW w:w="1818" w:type="dxa"/>
            <w:shd w:val="clear" w:color="auto" w:fill="auto"/>
          </w:tcPr>
          <w:p w:rsidR="00A521EA" w:rsidRPr="00C502E1" w:rsidRDefault="005A3B0B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1.22 x 10</w:t>
            </w:r>
            <w:r w:rsidRPr="00C502E1">
              <w:rPr>
                <w:rFonts w:ascii="Times New Roman" w:hAnsi="Times New Roman"/>
                <w:vertAlign w:val="superscript"/>
              </w:rPr>
              <w:t>-</w:t>
            </w:r>
            <w:r w:rsidR="000E06EB" w:rsidRPr="00C502E1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A521EA" w:rsidRPr="00C502E1" w:rsidTr="005D2638">
        <w:tc>
          <w:tcPr>
            <w:tcW w:w="2394" w:type="dxa"/>
            <w:shd w:val="clear" w:color="auto" w:fill="auto"/>
          </w:tcPr>
          <w:p w:rsidR="00A521EA" w:rsidRPr="00C502E1" w:rsidRDefault="006C2243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Weight, lb</w:t>
            </w:r>
          </w:p>
        </w:tc>
        <w:tc>
          <w:tcPr>
            <w:tcW w:w="2664" w:type="dxa"/>
            <w:shd w:val="clear" w:color="auto" w:fill="auto"/>
          </w:tcPr>
          <w:p w:rsidR="00A521EA" w:rsidRPr="00C502E1" w:rsidRDefault="00E332AE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160.1 (</w:t>
            </w:r>
            <w:r w:rsidR="00B6500E" w:rsidRPr="00C502E1">
              <w:rPr>
                <w:rFonts w:ascii="Times New Roman" w:hAnsi="Times New Roman"/>
              </w:rPr>
              <w:t xml:space="preserve">157.7 </w:t>
            </w:r>
            <w:r w:rsidR="00415490" w:rsidRPr="00C502E1">
              <w:rPr>
                <w:rFonts w:ascii="Times New Roman" w:hAnsi="Times New Roman"/>
              </w:rPr>
              <w:t>–</w:t>
            </w:r>
            <w:r w:rsidR="00B6500E" w:rsidRPr="00C502E1">
              <w:rPr>
                <w:rFonts w:ascii="Times New Roman" w:hAnsi="Times New Roman"/>
              </w:rPr>
              <w:t xml:space="preserve"> </w:t>
            </w:r>
            <w:r w:rsidR="00415490" w:rsidRPr="00C502E1">
              <w:rPr>
                <w:rFonts w:ascii="Times New Roman" w:hAnsi="Times New Roman"/>
              </w:rPr>
              <w:t>162.5)</w:t>
            </w:r>
          </w:p>
        </w:tc>
        <w:tc>
          <w:tcPr>
            <w:tcW w:w="2700" w:type="dxa"/>
            <w:shd w:val="clear" w:color="auto" w:fill="auto"/>
          </w:tcPr>
          <w:p w:rsidR="00A521EA" w:rsidRPr="00C502E1" w:rsidRDefault="00053887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 xml:space="preserve">159.2 (153.6 </w:t>
            </w:r>
            <w:r w:rsidR="00720840" w:rsidRPr="00C502E1">
              <w:rPr>
                <w:rFonts w:ascii="Times New Roman" w:hAnsi="Times New Roman"/>
              </w:rPr>
              <w:t>–</w:t>
            </w:r>
            <w:r w:rsidRPr="00C502E1">
              <w:rPr>
                <w:rFonts w:ascii="Times New Roman" w:hAnsi="Times New Roman"/>
              </w:rPr>
              <w:t xml:space="preserve"> </w:t>
            </w:r>
            <w:r w:rsidR="00720840" w:rsidRPr="00C502E1">
              <w:rPr>
                <w:rFonts w:ascii="Times New Roman" w:hAnsi="Times New Roman"/>
              </w:rPr>
              <w:t>164.8)</w:t>
            </w:r>
          </w:p>
        </w:tc>
        <w:tc>
          <w:tcPr>
            <w:tcW w:w="1818" w:type="dxa"/>
            <w:shd w:val="clear" w:color="auto" w:fill="auto"/>
          </w:tcPr>
          <w:p w:rsidR="00A521EA" w:rsidRPr="00C502E1" w:rsidRDefault="00BD72E3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0.76</w:t>
            </w:r>
          </w:p>
        </w:tc>
      </w:tr>
      <w:tr w:rsidR="00A521EA" w:rsidRPr="00C502E1" w:rsidTr="005D2638">
        <w:tc>
          <w:tcPr>
            <w:tcW w:w="2394" w:type="dxa"/>
            <w:shd w:val="clear" w:color="auto" w:fill="auto"/>
          </w:tcPr>
          <w:p w:rsidR="00A521EA" w:rsidRPr="00C502E1" w:rsidRDefault="00C061E6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Pack years, years</w:t>
            </w:r>
          </w:p>
        </w:tc>
        <w:tc>
          <w:tcPr>
            <w:tcW w:w="2664" w:type="dxa"/>
            <w:shd w:val="clear" w:color="auto" w:fill="auto"/>
          </w:tcPr>
          <w:p w:rsidR="00A521EA" w:rsidRPr="00C502E1" w:rsidRDefault="005652EE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17.9 (</w:t>
            </w:r>
            <w:r w:rsidR="002B543E" w:rsidRPr="00C502E1">
              <w:rPr>
                <w:rFonts w:ascii="Times New Roman" w:hAnsi="Times New Roman"/>
              </w:rPr>
              <w:t>15.9 – 19.9)</w:t>
            </w:r>
          </w:p>
        </w:tc>
        <w:tc>
          <w:tcPr>
            <w:tcW w:w="2700" w:type="dxa"/>
            <w:shd w:val="clear" w:color="auto" w:fill="auto"/>
          </w:tcPr>
          <w:p w:rsidR="00A521EA" w:rsidRPr="00C502E1" w:rsidRDefault="00A14926" w:rsidP="002E4B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27.2 (</w:t>
            </w:r>
            <w:r w:rsidR="007A0807" w:rsidRPr="00C502E1">
              <w:rPr>
                <w:rFonts w:ascii="Times New Roman" w:hAnsi="Times New Roman"/>
              </w:rPr>
              <w:t>22.0 – 32.4)</w:t>
            </w:r>
            <w:r w:rsidR="002E4B86"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1818" w:type="dxa"/>
            <w:shd w:val="clear" w:color="auto" w:fill="auto"/>
          </w:tcPr>
          <w:p w:rsidR="00A521EA" w:rsidRPr="00C502E1" w:rsidRDefault="00BD72E3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0.0046</w:t>
            </w:r>
          </w:p>
        </w:tc>
      </w:tr>
      <w:tr w:rsidR="00AB6248" w:rsidRPr="00C502E1" w:rsidTr="005D2638">
        <w:tc>
          <w:tcPr>
            <w:tcW w:w="2394" w:type="dxa"/>
            <w:shd w:val="clear" w:color="auto" w:fill="auto"/>
          </w:tcPr>
          <w:p w:rsidR="00AB6248" w:rsidRPr="00C502E1" w:rsidRDefault="00AB6248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LDL</w:t>
            </w:r>
            <w:r w:rsidR="00BB08EE">
              <w:rPr>
                <w:rFonts w:ascii="Times New Roman" w:hAnsi="Times New Roman"/>
              </w:rPr>
              <w:t>-C</w:t>
            </w:r>
            <w:r w:rsidR="008C566E" w:rsidRPr="00C502E1">
              <w:rPr>
                <w:rFonts w:ascii="Times New Roman" w:hAnsi="Times New Roman"/>
              </w:rPr>
              <w:t>, mg/dl</w:t>
            </w:r>
          </w:p>
        </w:tc>
        <w:tc>
          <w:tcPr>
            <w:tcW w:w="2664" w:type="dxa"/>
            <w:shd w:val="clear" w:color="auto" w:fill="auto"/>
          </w:tcPr>
          <w:p w:rsidR="00AB6248" w:rsidRPr="00C502E1" w:rsidRDefault="00941B34" w:rsidP="002E4B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127.4 (124.8 – 130.0)</w:t>
            </w:r>
            <w:r w:rsidR="002E4B86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2700" w:type="dxa"/>
            <w:shd w:val="clear" w:color="auto" w:fill="auto"/>
          </w:tcPr>
          <w:p w:rsidR="00AB6248" w:rsidRPr="00C502E1" w:rsidRDefault="00D82CB4" w:rsidP="002E4B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118.6 (112.4 – 124.8)</w:t>
            </w:r>
            <w:r w:rsidR="002E4B86">
              <w:rPr>
                <w:rFonts w:ascii="Times New Roman" w:hAnsi="Times New Roman"/>
                <w:vertAlign w:val="superscript"/>
              </w:rPr>
              <w:t>e</w:t>
            </w:r>
          </w:p>
        </w:tc>
        <w:tc>
          <w:tcPr>
            <w:tcW w:w="1818" w:type="dxa"/>
            <w:shd w:val="clear" w:color="auto" w:fill="auto"/>
          </w:tcPr>
          <w:p w:rsidR="00AB6248" w:rsidRPr="00C502E1" w:rsidRDefault="00CA34CA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0.011</w:t>
            </w:r>
          </w:p>
        </w:tc>
      </w:tr>
      <w:tr w:rsidR="00A521EA" w:rsidRPr="00C502E1" w:rsidTr="005D2638">
        <w:tc>
          <w:tcPr>
            <w:tcW w:w="2394" w:type="dxa"/>
            <w:shd w:val="clear" w:color="auto" w:fill="auto"/>
          </w:tcPr>
          <w:p w:rsidR="00A521EA" w:rsidRPr="00C502E1" w:rsidRDefault="00ED2F37" w:rsidP="002E4B86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CHD History</w:t>
            </w:r>
            <w:r w:rsidR="00543628" w:rsidRPr="00C502E1">
              <w:rPr>
                <w:rFonts w:ascii="Times New Roman" w:hAnsi="Times New Roman"/>
              </w:rPr>
              <w:t>, %</w:t>
            </w:r>
            <w:r w:rsidR="002E4B86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64" w:type="dxa"/>
            <w:shd w:val="clear" w:color="auto" w:fill="auto"/>
          </w:tcPr>
          <w:p w:rsidR="00A521EA" w:rsidRPr="00C502E1" w:rsidRDefault="00E410F2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17.8 (11.1 – 24.3)</w:t>
            </w:r>
          </w:p>
        </w:tc>
        <w:tc>
          <w:tcPr>
            <w:tcW w:w="2700" w:type="dxa"/>
            <w:shd w:val="clear" w:color="auto" w:fill="auto"/>
          </w:tcPr>
          <w:p w:rsidR="00A521EA" w:rsidRPr="00C502E1" w:rsidRDefault="00956A37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36.1 (</w:t>
            </w:r>
            <w:r w:rsidR="00365394" w:rsidRPr="00C502E1">
              <w:rPr>
                <w:rFonts w:ascii="Times New Roman" w:hAnsi="Times New Roman"/>
              </w:rPr>
              <w:t>27.8 – 44.3)</w:t>
            </w:r>
          </w:p>
        </w:tc>
        <w:tc>
          <w:tcPr>
            <w:tcW w:w="1818" w:type="dxa"/>
            <w:shd w:val="clear" w:color="auto" w:fill="auto"/>
          </w:tcPr>
          <w:p w:rsidR="00A521EA" w:rsidRPr="00C502E1" w:rsidRDefault="005A3B0B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6.25 x 10</w:t>
            </w:r>
            <w:r w:rsidRPr="00C502E1">
              <w:rPr>
                <w:rFonts w:ascii="Times New Roman" w:hAnsi="Times New Roman"/>
                <w:vertAlign w:val="superscript"/>
              </w:rPr>
              <w:t>-</w:t>
            </w:r>
            <w:r w:rsidR="00CA34CA" w:rsidRPr="00C502E1"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ED2F37" w:rsidRPr="00C502E1" w:rsidTr="005D2638">
        <w:tc>
          <w:tcPr>
            <w:tcW w:w="2394" w:type="dxa"/>
            <w:shd w:val="clear" w:color="auto" w:fill="auto"/>
          </w:tcPr>
          <w:p w:rsidR="00ED2F37" w:rsidRPr="00C502E1" w:rsidRDefault="002C3CFB" w:rsidP="002374AF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CHF History, %</w:t>
            </w:r>
          </w:p>
        </w:tc>
        <w:tc>
          <w:tcPr>
            <w:tcW w:w="2664" w:type="dxa"/>
            <w:shd w:val="clear" w:color="auto" w:fill="auto"/>
          </w:tcPr>
          <w:p w:rsidR="00ED2F37" w:rsidRPr="00C502E1" w:rsidRDefault="00E410F2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3.8 (0.5 – 7.1)</w:t>
            </w:r>
          </w:p>
        </w:tc>
        <w:tc>
          <w:tcPr>
            <w:tcW w:w="2700" w:type="dxa"/>
            <w:shd w:val="clear" w:color="auto" w:fill="auto"/>
          </w:tcPr>
          <w:p w:rsidR="00ED2F37" w:rsidRPr="00C502E1" w:rsidRDefault="00956A37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13.5</w:t>
            </w:r>
            <w:r w:rsidR="0057119B" w:rsidRPr="00C502E1">
              <w:rPr>
                <w:rFonts w:ascii="Times New Roman" w:hAnsi="Times New Roman"/>
              </w:rPr>
              <w:t xml:space="preserve"> (</w:t>
            </w:r>
            <w:r w:rsidRPr="00C502E1">
              <w:rPr>
                <w:rFonts w:ascii="Times New Roman" w:hAnsi="Times New Roman"/>
              </w:rPr>
              <w:t>7</w:t>
            </w:r>
            <w:r w:rsidR="0057119B" w:rsidRPr="00C502E1">
              <w:rPr>
                <w:rFonts w:ascii="Times New Roman" w:hAnsi="Times New Roman"/>
              </w:rPr>
              <w:t xml:space="preserve">.6 – </w:t>
            </w:r>
            <w:r w:rsidRPr="00C502E1">
              <w:rPr>
                <w:rFonts w:ascii="Times New Roman" w:hAnsi="Times New Roman"/>
              </w:rPr>
              <w:t>1</w:t>
            </w:r>
            <w:r w:rsidR="0057119B" w:rsidRPr="00C502E1">
              <w:rPr>
                <w:rFonts w:ascii="Times New Roman" w:hAnsi="Times New Roman"/>
              </w:rPr>
              <w:t>9.</w:t>
            </w:r>
            <w:r w:rsidRPr="00C502E1">
              <w:rPr>
                <w:rFonts w:ascii="Times New Roman" w:hAnsi="Times New Roman"/>
              </w:rPr>
              <w:t>4</w:t>
            </w:r>
            <w:r w:rsidR="0057119B" w:rsidRPr="00C502E1">
              <w:rPr>
                <w:rFonts w:ascii="Times New Roman" w:hAnsi="Times New Roman"/>
              </w:rPr>
              <w:t>)</w:t>
            </w:r>
          </w:p>
        </w:tc>
        <w:tc>
          <w:tcPr>
            <w:tcW w:w="1818" w:type="dxa"/>
            <w:shd w:val="clear" w:color="auto" w:fill="auto"/>
          </w:tcPr>
          <w:p w:rsidR="00ED2F37" w:rsidRPr="00C502E1" w:rsidRDefault="00CA34CA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0.0019</w:t>
            </w:r>
          </w:p>
        </w:tc>
      </w:tr>
      <w:tr w:rsidR="00ED2F37" w:rsidRPr="00C502E1" w:rsidTr="005D2638">
        <w:tc>
          <w:tcPr>
            <w:tcW w:w="2394" w:type="dxa"/>
            <w:tcBorders>
              <w:bottom w:val="single" w:sz="8" w:space="0" w:color="auto"/>
            </w:tcBorders>
            <w:shd w:val="clear" w:color="auto" w:fill="auto"/>
          </w:tcPr>
          <w:p w:rsidR="00ED2F37" w:rsidRPr="00C502E1" w:rsidRDefault="00982CB1" w:rsidP="002E4B86">
            <w:pPr>
              <w:spacing w:line="360" w:lineRule="auto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Stroke History</w:t>
            </w:r>
            <w:r w:rsidR="00531536" w:rsidRPr="00C502E1">
              <w:rPr>
                <w:rFonts w:ascii="Times New Roman" w:hAnsi="Times New Roman"/>
              </w:rPr>
              <w:t>, %</w:t>
            </w:r>
            <w:r w:rsidR="002E4B86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664" w:type="dxa"/>
            <w:tcBorders>
              <w:bottom w:val="single" w:sz="8" w:space="0" w:color="auto"/>
            </w:tcBorders>
            <w:shd w:val="clear" w:color="auto" w:fill="auto"/>
          </w:tcPr>
          <w:p w:rsidR="00ED2F37" w:rsidRPr="00C502E1" w:rsidRDefault="00E410F2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9.9 (4.8 – 15.1)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</w:tcPr>
          <w:p w:rsidR="00ED2F37" w:rsidRPr="00C502E1" w:rsidRDefault="00365394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29.3 (21.5 – 37.2)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</w:tcPr>
          <w:p w:rsidR="00ED2F37" w:rsidRPr="00C502E1" w:rsidRDefault="005A3B0B" w:rsidP="002374A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502E1">
              <w:rPr>
                <w:rFonts w:ascii="Times New Roman" w:hAnsi="Times New Roman"/>
              </w:rPr>
              <w:t>6.45 x 10</w:t>
            </w:r>
            <w:r w:rsidRPr="00C502E1">
              <w:rPr>
                <w:rFonts w:ascii="Times New Roman" w:hAnsi="Times New Roman"/>
                <w:vertAlign w:val="superscript"/>
              </w:rPr>
              <w:t>-</w:t>
            </w:r>
            <w:r w:rsidR="00CA34CA" w:rsidRPr="00C502E1">
              <w:rPr>
                <w:rFonts w:ascii="Times New Roman" w:hAnsi="Times New Roman"/>
                <w:vertAlign w:val="superscript"/>
              </w:rPr>
              <w:t>6</w:t>
            </w:r>
          </w:p>
        </w:tc>
      </w:tr>
    </w:tbl>
    <w:p w:rsidR="00F24545" w:rsidRDefault="00F24545" w:rsidP="002E4B86">
      <w:pPr>
        <w:rPr>
          <w:rFonts w:ascii="Times New Roman" w:hAnsi="Times New Roman"/>
        </w:rPr>
      </w:pPr>
      <w:r>
        <w:rPr>
          <w:rFonts w:ascii="Times New Roman" w:hAnsi="Times New Roman"/>
        </w:rPr>
        <w:t>Abbreviations: CHD = coronary heart disease; CHF = congestive heart failure; LDL</w:t>
      </w:r>
      <w:r w:rsidR="00864992">
        <w:rPr>
          <w:rFonts w:ascii="Times New Roman" w:hAnsi="Times New Roman"/>
        </w:rPr>
        <w:t>-C</w:t>
      </w:r>
      <w:r>
        <w:rPr>
          <w:rFonts w:ascii="Times New Roman" w:hAnsi="Times New Roman"/>
        </w:rPr>
        <w:t xml:space="preserve"> = low density lipoprotein concentration</w:t>
      </w:r>
      <w:r w:rsidR="0018582D">
        <w:rPr>
          <w:rFonts w:ascii="Times New Roman" w:hAnsi="Times New Roman"/>
        </w:rPr>
        <w:t>.</w:t>
      </w:r>
    </w:p>
    <w:p w:rsidR="00694134" w:rsidRPr="00F24545" w:rsidRDefault="00694134" w:rsidP="002E4B86">
      <w:pPr>
        <w:rPr>
          <w:rFonts w:ascii="Times New Roman" w:hAnsi="Times New Roman"/>
        </w:rPr>
      </w:pPr>
      <w:r w:rsidRPr="002E4B86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95 percent confidence intervals calculated from a t-distribution are presented in parentheses, with the lower and upper bound, respectively.</w:t>
      </w:r>
    </w:p>
    <w:p w:rsidR="009013A3" w:rsidRDefault="002E4B86" w:rsidP="002E4B8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a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  <w:r w:rsidR="009013A3">
        <w:rPr>
          <w:rFonts w:ascii="Times New Roman" w:hAnsi="Times New Roman"/>
        </w:rPr>
        <w:t xml:space="preserve">CHD defined as </w:t>
      </w:r>
      <w:r w:rsidR="007679E8">
        <w:rPr>
          <w:rFonts w:ascii="Times New Roman" w:hAnsi="Times New Roman"/>
        </w:rPr>
        <w:t>the diagnosis of either</w:t>
      </w:r>
      <w:r w:rsidR="009013A3">
        <w:rPr>
          <w:rFonts w:ascii="Times New Roman" w:hAnsi="Times New Roman"/>
        </w:rPr>
        <w:t xml:space="preserve"> angina or </w:t>
      </w:r>
      <w:r w:rsidR="00722AB7">
        <w:rPr>
          <w:rFonts w:ascii="Times New Roman" w:hAnsi="Times New Roman"/>
        </w:rPr>
        <w:t xml:space="preserve">a </w:t>
      </w:r>
      <w:r w:rsidR="009013A3">
        <w:rPr>
          <w:rFonts w:ascii="Times New Roman" w:hAnsi="Times New Roman"/>
        </w:rPr>
        <w:t>myocardial infarction.</w:t>
      </w:r>
    </w:p>
    <w:p w:rsidR="000C356F" w:rsidRDefault="002E4B86" w:rsidP="002E4B8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b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  <w:r w:rsidR="000C356F">
        <w:rPr>
          <w:rFonts w:ascii="Times New Roman" w:hAnsi="Times New Roman"/>
        </w:rPr>
        <w:t xml:space="preserve">Stroke defined as </w:t>
      </w:r>
      <w:r w:rsidR="004E1ABA">
        <w:rPr>
          <w:rFonts w:ascii="Times New Roman" w:hAnsi="Times New Roman"/>
        </w:rPr>
        <w:t xml:space="preserve">the diagnosis of </w:t>
      </w:r>
      <w:r w:rsidR="000C356F">
        <w:rPr>
          <w:rFonts w:ascii="Times New Roman" w:hAnsi="Times New Roman"/>
        </w:rPr>
        <w:t>either a TIA or a stroke.</w:t>
      </w:r>
    </w:p>
    <w:p w:rsidR="00F87B9E" w:rsidRDefault="002E4B86" w:rsidP="002E4B8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c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  <w:r w:rsidR="00AF7ED6">
        <w:rPr>
          <w:rFonts w:ascii="Times New Roman" w:hAnsi="Times New Roman"/>
        </w:rPr>
        <w:t xml:space="preserve">Missing data; </w:t>
      </w:r>
      <w:r w:rsidR="00701884">
        <w:rPr>
          <w:rFonts w:ascii="Times New Roman" w:hAnsi="Times New Roman"/>
        </w:rPr>
        <w:t>n=594</w:t>
      </w:r>
    </w:p>
    <w:p w:rsidR="00AC6C50" w:rsidRDefault="002E4B86" w:rsidP="002E4B8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d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  <w:r w:rsidR="00AF7ED6">
        <w:rPr>
          <w:rFonts w:ascii="Times New Roman" w:hAnsi="Times New Roman"/>
        </w:rPr>
        <w:t xml:space="preserve">Missing data; </w:t>
      </w:r>
      <w:r w:rsidR="00AC6C50">
        <w:rPr>
          <w:rFonts w:ascii="Times New Roman" w:hAnsi="Times New Roman"/>
        </w:rPr>
        <w:t>n=132</w:t>
      </w:r>
    </w:p>
    <w:p w:rsidR="00A34317" w:rsidRDefault="002E4B86" w:rsidP="002E4B8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e</w:t>
      </w:r>
      <w:proofErr w:type="gramEnd"/>
      <w:r>
        <w:rPr>
          <w:rFonts w:ascii="Times New Roman" w:hAnsi="Times New Roman"/>
          <w:vertAlign w:val="superscript"/>
        </w:rPr>
        <w:t xml:space="preserve"> </w:t>
      </w:r>
      <w:r w:rsidR="00AF7ED6">
        <w:rPr>
          <w:rFonts w:ascii="Times New Roman" w:hAnsi="Times New Roman"/>
        </w:rPr>
        <w:t xml:space="preserve">Missing data; </w:t>
      </w:r>
      <w:r w:rsidR="00A34317">
        <w:rPr>
          <w:rFonts w:ascii="Times New Roman" w:hAnsi="Times New Roman"/>
        </w:rPr>
        <w:t>n=131</w:t>
      </w:r>
    </w:p>
    <w:p w:rsidR="0018582D" w:rsidRDefault="0018582D" w:rsidP="002374AF">
      <w:pPr>
        <w:spacing w:line="360" w:lineRule="auto"/>
        <w:rPr>
          <w:rFonts w:ascii="Times New Roman" w:hAnsi="Times New Roman"/>
        </w:rPr>
      </w:pPr>
    </w:p>
    <w:p w:rsidR="0018582D" w:rsidRDefault="0018582D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7F50F3">
        <w:rPr>
          <w:rFonts w:ascii="Times New Roman" w:hAnsi="Times New Roman"/>
        </w:rPr>
        <w:t xml:space="preserve">Using a two-sample, two-sided t-test without the assumption of equal variance, I tested for a difference in mean LDL-C between the survivor and 5-year mortality groups. Those who survived </w:t>
      </w:r>
      <w:commentRangeStart w:id="4"/>
      <w:r w:rsidR="007F50F3">
        <w:rPr>
          <w:rFonts w:ascii="Times New Roman" w:hAnsi="Times New Roman"/>
        </w:rPr>
        <w:t>to</w:t>
      </w:r>
      <w:commentRangeEnd w:id="4"/>
      <w:r w:rsidR="00195302">
        <w:rPr>
          <w:rStyle w:val="CommentReference"/>
        </w:rPr>
        <w:commentReference w:id="4"/>
      </w:r>
      <w:r w:rsidR="007F50F3">
        <w:rPr>
          <w:rFonts w:ascii="Times New Roman" w:hAnsi="Times New Roman"/>
        </w:rPr>
        <w:t xml:space="preserve"> 5 years had a mean LDL of 127.4 with a 95% confidence interval</w:t>
      </w:r>
      <w:r w:rsidR="001B27D3">
        <w:rPr>
          <w:rFonts w:ascii="Times New Roman" w:hAnsi="Times New Roman"/>
        </w:rPr>
        <w:t xml:space="preserve"> (CI)</w:t>
      </w:r>
      <w:r w:rsidR="007F50F3">
        <w:rPr>
          <w:rFonts w:ascii="Times New Roman" w:hAnsi="Times New Roman"/>
        </w:rPr>
        <w:t xml:space="preserve"> of 124.8 to 130.0. </w:t>
      </w:r>
      <w:r w:rsidR="00DF361D">
        <w:rPr>
          <w:rFonts w:ascii="Times New Roman" w:hAnsi="Times New Roman"/>
        </w:rPr>
        <w:t xml:space="preserve">In comparison, </w:t>
      </w:r>
      <w:r w:rsidR="00847135">
        <w:rPr>
          <w:rFonts w:ascii="Times New Roman" w:hAnsi="Times New Roman"/>
        </w:rPr>
        <w:t xml:space="preserve">the 5-year mortality group had a mean LDL-C of 118.6 with a 95% CI of 112.4 to 124.8. </w:t>
      </w:r>
      <w:r w:rsidR="00374844">
        <w:rPr>
          <w:rFonts w:ascii="Times New Roman" w:hAnsi="Times New Roman"/>
        </w:rPr>
        <w:t xml:space="preserve">The difference in mean LDL-C between the two groups was significant, with a p-value of 0.011. However, it should be noted that those who suffered </w:t>
      </w:r>
      <w:proofErr w:type="gramStart"/>
      <w:r w:rsidR="00374844">
        <w:rPr>
          <w:rFonts w:ascii="Times New Roman" w:hAnsi="Times New Roman"/>
        </w:rPr>
        <w:t>a 5</w:t>
      </w:r>
      <w:proofErr w:type="gramEnd"/>
      <w:r w:rsidR="00374844">
        <w:rPr>
          <w:rFonts w:ascii="Times New Roman" w:hAnsi="Times New Roman"/>
        </w:rPr>
        <w:t xml:space="preserve">-year mortality had a lower mean LDL-C than the survivor </w:t>
      </w:r>
      <w:commentRangeStart w:id="5"/>
      <w:r w:rsidR="00374844">
        <w:rPr>
          <w:rFonts w:ascii="Times New Roman" w:hAnsi="Times New Roman"/>
        </w:rPr>
        <w:t>group</w:t>
      </w:r>
      <w:commentRangeEnd w:id="5"/>
      <w:r w:rsidR="007C2FB2">
        <w:rPr>
          <w:rStyle w:val="CommentReference"/>
        </w:rPr>
        <w:commentReference w:id="5"/>
      </w:r>
      <w:r w:rsidR="00374844">
        <w:rPr>
          <w:rFonts w:ascii="Times New Roman" w:hAnsi="Times New Roman"/>
        </w:rPr>
        <w:t>.</w:t>
      </w:r>
    </w:p>
    <w:p w:rsidR="00374844" w:rsidRDefault="00374844" w:rsidP="002374AF">
      <w:pPr>
        <w:spacing w:line="360" w:lineRule="auto"/>
        <w:rPr>
          <w:rFonts w:ascii="Times New Roman" w:hAnsi="Times New Roman"/>
        </w:rPr>
      </w:pPr>
    </w:p>
    <w:p w:rsidR="00374844" w:rsidRDefault="00770612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F3730">
        <w:rPr>
          <w:rFonts w:ascii="Times New Roman" w:hAnsi="Times New Roman"/>
        </w:rPr>
        <w:t xml:space="preserve">Using a </w:t>
      </w:r>
      <w:r w:rsidR="005E51E0">
        <w:rPr>
          <w:rFonts w:ascii="Times New Roman" w:hAnsi="Times New Roman"/>
        </w:rPr>
        <w:t>natural log</w:t>
      </w:r>
      <w:r w:rsidR="00AF3730">
        <w:rPr>
          <w:rFonts w:ascii="Times New Roman" w:hAnsi="Times New Roman"/>
        </w:rPr>
        <w:t xml:space="preserve"> transformation of LDL-C values, I used a two-sample, two-sided t-test without the assumption of equal variance to test for a difference in the mean log-transformed LDL-C value between the survivor and 5-year mortality groups</w:t>
      </w:r>
      <w:commentRangeStart w:id="6"/>
      <w:r w:rsidR="00AF3730">
        <w:rPr>
          <w:rFonts w:ascii="Times New Roman" w:hAnsi="Times New Roman"/>
        </w:rPr>
        <w:t xml:space="preserve">. </w:t>
      </w:r>
      <w:r w:rsidR="0021760F" w:rsidRPr="003B156B">
        <w:rPr>
          <w:rFonts w:ascii="Times New Roman" w:hAnsi="Times New Roman"/>
          <w:b/>
        </w:rPr>
        <w:t>The estimates and confidence intervals were then transformed back through exponentiation for the purposes of reporting results.</w:t>
      </w:r>
      <w:r w:rsidR="0021760F">
        <w:rPr>
          <w:rFonts w:ascii="Times New Roman" w:hAnsi="Times New Roman"/>
        </w:rPr>
        <w:t xml:space="preserve"> </w:t>
      </w:r>
      <w:commentRangeEnd w:id="6"/>
      <w:r w:rsidR="00E55E71">
        <w:rPr>
          <w:rStyle w:val="CommentReference"/>
        </w:rPr>
        <w:commentReference w:id="6"/>
      </w:r>
      <w:r w:rsidR="00B72D9C">
        <w:rPr>
          <w:rFonts w:ascii="Times New Roman" w:hAnsi="Times New Roman"/>
        </w:rPr>
        <w:t>Those who survived to 5 years had a</w:t>
      </w:r>
      <w:r w:rsidR="00150A98">
        <w:rPr>
          <w:rFonts w:ascii="Times New Roman" w:hAnsi="Times New Roman"/>
        </w:rPr>
        <w:t xml:space="preserve"> geometric</w:t>
      </w:r>
      <w:r w:rsidR="00B72D9C">
        <w:rPr>
          <w:rFonts w:ascii="Times New Roman" w:hAnsi="Times New Roman"/>
        </w:rPr>
        <w:t xml:space="preserve"> mean LDL</w:t>
      </w:r>
      <w:r w:rsidR="00F3351C">
        <w:rPr>
          <w:rFonts w:ascii="Times New Roman" w:hAnsi="Times New Roman"/>
        </w:rPr>
        <w:t>-C</w:t>
      </w:r>
      <w:r w:rsidR="00B72D9C">
        <w:rPr>
          <w:rFonts w:ascii="Times New Roman" w:hAnsi="Times New Roman"/>
        </w:rPr>
        <w:t xml:space="preserve"> of </w:t>
      </w:r>
      <w:r w:rsidR="00150A98">
        <w:rPr>
          <w:rFonts w:ascii="Times New Roman" w:hAnsi="Times New Roman"/>
        </w:rPr>
        <w:t>122.9</w:t>
      </w:r>
      <w:r w:rsidR="00B72D9C">
        <w:rPr>
          <w:rFonts w:ascii="Times New Roman" w:hAnsi="Times New Roman"/>
        </w:rPr>
        <w:t xml:space="preserve">, with a 95% CI of </w:t>
      </w:r>
      <w:r w:rsidR="00150A98">
        <w:rPr>
          <w:rFonts w:ascii="Times New Roman" w:hAnsi="Times New Roman"/>
        </w:rPr>
        <w:t>120.3</w:t>
      </w:r>
      <w:r w:rsidR="007A0D6A">
        <w:rPr>
          <w:rFonts w:ascii="Times New Roman" w:hAnsi="Times New Roman"/>
        </w:rPr>
        <w:t xml:space="preserve"> to </w:t>
      </w:r>
      <w:r w:rsidR="00150A98">
        <w:rPr>
          <w:rFonts w:ascii="Times New Roman" w:hAnsi="Times New Roman"/>
        </w:rPr>
        <w:t>125.2</w:t>
      </w:r>
      <w:r w:rsidR="007A0D6A">
        <w:rPr>
          <w:rFonts w:ascii="Times New Roman" w:hAnsi="Times New Roman"/>
        </w:rPr>
        <w:t>.</w:t>
      </w:r>
      <w:r w:rsidR="00F3351C">
        <w:rPr>
          <w:rFonts w:ascii="Times New Roman" w:hAnsi="Times New Roman"/>
        </w:rPr>
        <w:t xml:space="preserve"> In comparison, the 5-year mortality group had a mean log10-transformed LDL-C of </w:t>
      </w:r>
      <w:r w:rsidR="00E97E94">
        <w:rPr>
          <w:rFonts w:ascii="Times New Roman" w:hAnsi="Times New Roman"/>
        </w:rPr>
        <w:t>112.2</w:t>
      </w:r>
      <w:r w:rsidR="00F3351C">
        <w:rPr>
          <w:rFonts w:ascii="Times New Roman" w:hAnsi="Times New Roman"/>
        </w:rPr>
        <w:t xml:space="preserve"> with a 95% CI of </w:t>
      </w:r>
      <w:r w:rsidR="00A37741">
        <w:rPr>
          <w:rFonts w:ascii="Times New Roman" w:hAnsi="Times New Roman"/>
        </w:rPr>
        <w:t>104.6</w:t>
      </w:r>
      <w:r w:rsidR="00D72D16">
        <w:rPr>
          <w:rFonts w:ascii="Times New Roman" w:hAnsi="Times New Roman"/>
        </w:rPr>
        <w:t xml:space="preserve"> to </w:t>
      </w:r>
      <w:r w:rsidR="00A37741">
        <w:rPr>
          <w:rFonts w:ascii="Times New Roman" w:hAnsi="Times New Roman"/>
        </w:rPr>
        <w:t>120.3</w:t>
      </w:r>
      <w:r w:rsidR="00D77597">
        <w:rPr>
          <w:rFonts w:ascii="Times New Roman" w:hAnsi="Times New Roman"/>
        </w:rPr>
        <w:t xml:space="preserve">. </w:t>
      </w:r>
      <w:r w:rsidR="00CB4EB4">
        <w:rPr>
          <w:rFonts w:ascii="Times New Roman" w:hAnsi="Times New Roman"/>
        </w:rPr>
        <w:t xml:space="preserve">The difference in the geometric mean LDL-C between the two groups was significant, with a p-value of 0.0075, though it should be noted that those who suffered </w:t>
      </w:r>
      <w:proofErr w:type="gramStart"/>
      <w:r w:rsidR="00CB4EB4">
        <w:rPr>
          <w:rFonts w:ascii="Times New Roman" w:hAnsi="Times New Roman"/>
        </w:rPr>
        <w:t>a 5</w:t>
      </w:r>
      <w:proofErr w:type="gramEnd"/>
      <w:r w:rsidR="00CB4EB4">
        <w:rPr>
          <w:rFonts w:ascii="Times New Roman" w:hAnsi="Times New Roman"/>
        </w:rPr>
        <w:t xml:space="preserve">-year mortality had a lower geometric mean LDL-C than the survivor </w:t>
      </w:r>
      <w:commentRangeStart w:id="7"/>
      <w:r w:rsidR="00CB4EB4">
        <w:rPr>
          <w:rFonts w:ascii="Times New Roman" w:hAnsi="Times New Roman"/>
        </w:rPr>
        <w:t>group</w:t>
      </w:r>
      <w:commentRangeEnd w:id="7"/>
      <w:r w:rsidR="0000528B">
        <w:rPr>
          <w:rStyle w:val="CommentReference"/>
        </w:rPr>
        <w:commentReference w:id="7"/>
      </w:r>
      <w:r w:rsidR="00CB4EB4">
        <w:rPr>
          <w:rFonts w:ascii="Times New Roman" w:hAnsi="Times New Roman"/>
        </w:rPr>
        <w:t>.</w:t>
      </w:r>
    </w:p>
    <w:p w:rsidR="001D5AA6" w:rsidRDefault="001D5AA6" w:rsidP="002374AF">
      <w:pPr>
        <w:spacing w:line="360" w:lineRule="auto"/>
        <w:rPr>
          <w:rFonts w:ascii="Times New Roman" w:hAnsi="Times New Roman"/>
        </w:rPr>
      </w:pPr>
    </w:p>
    <w:p w:rsidR="00A430B3" w:rsidRDefault="00A430B3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5A717F">
        <w:rPr>
          <w:rFonts w:ascii="Times New Roman" w:hAnsi="Times New Roman"/>
        </w:rPr>
        <w:t>Both questions 5 and 6 will be answered by using the table below:</w:t>
      </w:r>
    </w:p>
    <w:p w:rsidR="005A717F" w:rsidRDefault="005A717F" w:rsidP="002374AF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2046"/>
        <w:gridCol w:w="1890"/>
      </w:tblGrid>
      <w:tr w:rsidR="008F6CD8" w:rsidRPr="000C3AD1" w:rsidTr="000C3AD1">
        <w:tc>
          <w:tcPr>
            <w:tcW w:w="3192" w:type="dxa"/>
            <w:shd w:val="clear" w:color="auto" w:fill="auto"/>
          </w:tcPr>
          <w:p w:rsidR="008F6CD8" w:rsidRPr="000C3AD1" w:rsidRDefault="008F6CD8" w:rsidP="000C3AD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8F6CD8" w:rsidRPr="000C3AD1" w:rsidRDefault="008F6CD8" w:rsidP="000C3AD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C3AD1">
              <w:rPr>
                <w:rFonts w:ascii="Times New Roman" w:hAnsi="Times New Roman"/>
                <w:b/>
              </w:rPr>
              <w:t>Normal LDL</w:t>
            </w:r>
            <w:r w:rsidR="00841F08" w:rsidRPr="000C3AD1">
              <w:rPr>
                <w:rFonts w:ascii="Times New Roman" w:hAnsi="Times New Roman"/>
                <w:b/>
              </w:rPr>
              <w:t>-C</w:t>
            </w:r>
          </w:p>
        </w:tc>
        <w:tc>
          <w:tcPr>
            <w:tcW w:w="1890" w:type="dxa"/>
            <w:shd w:val="clear" w:color="auto" w:fill="auto"/>
          </w:tcPr>
          <w:p w:rsidR="008F6CD8" w:rsidRPr="000C3AD1" w:rsidRDefault="008F6CD8" w:rsidP="000C3AD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C3AD1">
              <w:rPr>
                <w:rFonts w:ascii="Times New Roman" w:hAnsi="Times New Roman"/>
                <w:b/>
              </w:rPr>
              <w:t>High LDL</w:t>
            </w:r>
            <w:r w:rsidR="00422E71" w:rsidRPr="000C3AD1">
              <w:rPr>
                <w:rFonts w:ascii="Times New Roman" w:hAnsi="Times New Roman"/>
                <w:b/>
              </w:rPr>
              <w:t>-C</w:t>
            </w:r>
          </w:p>
        </w:tc>
      </w:tr>
      <w:tr w:rsidR="008F6CD8" w:rsidRPr="000C3AD1" w:rsidTr="000C3AD1">
        <w:tc>
          <w:tcPr>
            <w:tcW w:w="3192" w:type="dxa"/>
            <w:shd w:val="clear" w:color="auto" w:fill="auto"/>
          </w:tcPr>
          <w:p w:rsidR="008F6CD8" w:rsidRPr="000C3AD1" w:rsidRDefault="003F5B70" w:rsidP="000C3AD1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C3AD1">
              <w:rPr>
                <w:rFonts w:ascii="Times New Roman" w:hAnsi="Times New Roman"/>
                <w:b/>
              </w:rPr>
              <w:t>Survivor</w:t>
            </w:r>
          </w:p>
        </w:tc>
        <w:tc>
          <w:tcPr>
            <w:tcW w:w="2046" w:type="dxa"/>
            <w:shd w:val="clear" w:color="auto" w:fill="auto"/>
          </w:tcPr>
          <w:p w:rsidR="008F6CD8" w:rsidRPr="000C3AD1" w:rsidRDefault="005B2E90" w:rsidP="000C3A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C3AD1">
              <w:rPr>
                <w:rFonts w:ascii="Times New Roman" w:hAnsi="Times New Roman"/>
              </w:rPr>
              <w:t>502</w:t>
            </w:r>
          </w:p>
        </w:tc>
        <w:tc>
          <w:tcPr>
            <w:tcW w:w="1890" w:type="dxa"/>
            <w:shd w:val="clear" w:color="auto" w:fill="auto"/>
          </w:tcPr>
          <w:p w:rsidR="008F6CD8" w:rsidRPr="000C3AD1" w:rsidRDefault="008F6CD8" w:rsidP="000C3A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C3AD1">
              <w:rPr>
                <w:rFonts w:ascii="Times New Roman" w:hAnsi="Times New Roman"/>
              </w:rPr>
              <w:t>92</w:t>
            </w:r>
          </w:p>
        </w:tc>
      </w:tr>
      <w:tr w:rsidR="008F6CD8" w:rsidRPr="000C3AD1" w:rsidTr="000C3AD1">
        <w:tc>
          <w:tcPr>
            <w:tcW w:w="3192" w:type="dxa"/>
            <w:shd w:val="clear" w:color="auto" w:fill="auto"/>
          </w:tcPr>
          <w:p w:rsidR="008F6CD8" w:rsidRPr="000C3AD1" w:rsidRDefault="003F5B70" w:rsidP="000C3AD1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C3AD1">
              <w:rPr>
                <w:rFonts w:ascii="Times New Roman" w:hAnsi="Times New Roman"/>
                <w:b/>
              </w:rPr>
              <w:t>5-Year All-Cause Mortality</w:t>
            </w:r>
          </w:p>
        </w:tc>
        <w:tc>
          <w:tcPr>
            <w:tcW w:w="2046" w:type="dxa"/>
            <w:shd w:val="clear" w:color="auto" w:fill="auto"/>
          </w:tcPr>
          <w:p w:rsidR="008F6CD8" w:rsidRPr="000C3AD1" w:rsidRDefault="005B2E90" w:rsidP="000C3A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C3AD1">
              <w:rPr>
                <w:rFonts w:ascii="Times New Roman" w:hAnsi="Times New Roman"/>
              </w:rPr>
              <w:t>116</w:t>
            </w:r>
          </w:p>
        </w:tc>
        <w:tc>
          <w:tcPr>
            <w:tcW w:w="1890" w:type="dxa"/>
            <w:shd w:val="clear" w:color="auto" w:fill="auto"/>
          </w:tcPr>
          <w:p w:rsidR="008F6CD8" w:rsidRPr="000C3AD1" w:rsidRDefault="008F6CD8" w:rsidP="000C3A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C3AD1">
              <w:rPr>
                <w:rFonts w:ascii="Times New Roman" w:hAnsi="Times New Roman"/>
              </w:rPr>
              <w:t>15</w:t>
            </w:r>
          </w:p>
        </w:tc>
      </w:tr>
    </w:tbl>
    <w:p w:rsidR="005A717F" w:rsidRDefault="005A717F" w:rsidP="002374AF">
      <w:pPr>
        <w:spacing w:line="360" w:lineRule="auto"/>
        <w:rPr>
          <w:rFonts w:ascii="Times New Roman" w:hAnsi="Times New Roman"/>
        </w:rPr>
      </w:pPr>
    </w:p>
    <w:p w:rsidR="000D4564" w:rsidRDefault="00841F08" w:rsidP="002374AF">
      <w:pPr>
        <w:spacing w:line="360" w:lineRule="auto"/>
        <w:rPr>
          <w:rFonts w:ascii="Times New Roman" w:hAnsi="Times New Roman"/>
        </w:rPr>
      </w:pPr>
      <w:commentRangeStart w:id="8"/>
      <w:r>
        <w:rPr>
          <w:rFonts w:ascii="Times New Roman" w:hAnsi="Times New Roman"/>
        </w:rPr>
        <w:t>The probability of death given a high LDL-C</w:t>
      </w:r>
      <w:r w:rsidR="00422E71">
        <w:rPr>
          <w:rFonts w:ascii="Times New Roman" w:hAnsi="Times New Roman"/>
        </w:rPr>
        <w:t xml:space="preserve"> can be calculated by the relative risk</w:t>
      </w:r>
      <w:r w:rsidR="008542EF">
        <w:rPr>
          <w:rFonts w:ascii="Times New Roman" w:hAnsi="Times New Roman"/>
        </w:rPr>
        <w:t xml:space="preserve"> (RR)</w:t>
      </w:r>
      <w:r w:rsidR="00422E71">
        <w:rPr>
          <w:rFonts w:ascii="Times New Roman" w:hAnsi="Times New Roman"/>
        </w:rPr>
        <w:t xml:space="preserve">. </w:t>
      </w:r>
      <w:commentRangeEnd w:id="8"/>
      <w:r w:rsidR="00637229">
        <w:rPr>
          <w:rStyle w:val="CommentReference"/>
        </w:rPr>
        <w:commentReference w:id="8"/>
      </w:r>
      <w:r w:rsidR="00422E71">
        <w:rPr>
          <w:rFonts w:ascii="Times New Roman" w:hAnsi="Times New Roman"/>
        </w:rPr>
        <w:t xml:space="preserve">The </w:t>
      </w:r>
      <w:r w:rsidR="008542EF">
        <w:rPr>
          <w:rFonts w:ascii="Times New Roman" w:hAnsi="Times New Roman"/>
        </w:rPr>
        <w:t>RR</w:t>
      </w:r>
      <w:r w:rsidR="00422E71">
        <w:rPr>
          <w:rFonts w:ascii="Times New Roman" w:hAnsi="Times New Roman"/>
        </w:rPr>
        <w:t xml:space="preserve"> is calculated given the numbers in this table by: </w:t>
      </w:r>
      <w:r w:rsidR="00F02AA3">
        <w:rPr>
          <w:rFonts w:ascii="Times New Roman" w:hAnsi="Times New Roman"/>
        </w:rPr>
        <w:t>[(</w:t>
      </w:r>
      <w:r w:rsidR="00847255">
        <w:rPr>
          <w:rFonts w:ascii="Times New Roman" w:hAnsi="Times New Roman"/>
        </w:rPr>
        <w:t>15 / (15+92)</w:t>
      </w:r>
      <w:r w:rsidR="00357D72">
        <w:rPr>
          <w:rFonts w:ascii="Times New Roman" w:hAnsi="Times New Roman"/>
        </w:rPr>
        <w:t>)</w:t>
      </w:r>
      <w:r w:rsidR="00847255">
        <w:rPr>
          <w:rFonts w:ascii="Times New Roman" w:hAnsi="Times New Roman"/>
        </w:rPr>
        <w:t xml:space="preserve"> / </w:t>
      </w:r>
      <w:r w:rsidR="00357D72">
        <w:rPr>
          <w:rFonts w:ascii="Times New Roman" w:hAnsi="Times New Roman"/>
        </w:rPr>
        <w:t>(116 / (116+502))</w:t>
      </w:r>
      <w:r w:rsidR="00F02AA3">
        <w:rPr>
          <w:rFonts w:ascii="Times New Roman" w:hAnsi="Times New Roman"/>
        </w:rPr>
        <w:t>]</w:t>
      </w:r>
      <w:r w:rsidR="00DC4CAA">
        <w:rPr>
          <w:rFonts w:ascii="Times New Roman" w:hAnsi="Times New Roman"/>
        </w:rPr>
        <w:t>,</w:t>
      </w:r>
      <w:r w:rsidR="004A7370">
        <w:rPr>
          <w:rFonts w:ascii="Times New Roman" w:hAnsi="Times New Roman"/>
        </w:rPr>
        <w:t xml:space="preserve"> which equals </w:t>
      </w:r>
      <w:r w:rsidR="0036412C">
        <w:rPr>
          <w:rFonts w:ascii="Times New Roman" w:hAnsi="Times New Roman"/>
        </w:rPr>
        <w:t>0.7</w:t>
      </w:r>
      <w:r w:rsidR="004D15B6">
        <w:rPr>
          <w:rFonts w:ascii="Times New Roman" w:hAnsi="Times New Roman"/>
        </w:rPr>
        <w:t>5</w:t>
      </w:r>
      <w:r w:rsidR="0036412C">
        <w:rPr>
          <w:rFonts w:ascii="Times New Roman" w:hAnsi="Times New Roman"/>
        </w:rPr>
        <w:t>.</w:t>
      </w:r>
      <w:r w:rsidR="008542EF">
        <w:rPr>
          <w:rFonts w:ascii="Times New Roman" w:hAnsi="Times New Roman"/>
        </w:rPr>
        <w:t xml:space="preserve"> The </w:t>
      </w:r>
      <w:r w:rsidR="009B6424">
        <w:rPr>
          <w:rFonts w:ascii="Times New Roman" w:hAnsi="Times New Roman"/>
        </w:rPr>
        <w:t>CI</w:t>
      </w:r>
      <w:r w:rsidR="008542EF">
        <w:rPr>
          <w:rFonts w:ascii="Times New Roman" w:hAnsi="Times New Roman"/>
        </w:rPr>
        <w:t xml:space="preserve"> was calculated using the </w:t>
      </w:r>
      <w:proofErr w:type="gramStart"/>
      <w:r w:rsidR="008542EF">
        <w:rPr>
          <w:rFonts w:ascii="Times New Roman" w:hAnsi="Times New Roman"/>
        </w:rPr>
        <w:t>log(</w:t>
      </w:r>
      <w:proofErr w:type="gramEnd"/>
      <w:r w:rsidR="008542EF">
        <w:rPr>
          <w:rFonts w:ascii="Times New Roman" w:hAnsi="Times New Roman"/>
        </w:rPr>
        <w:t>RR) transformation</w:t>
      </w:r>
      <w:r w:rsidR="00796053">
        <w:rPr>
          <w:rFonts w:ascii="Times New Roman" w:hAnsi="Times New Roman"/>
        </w:rPr>
        <w:t xml:space="preserve"> to obtain the standard error</w:t>
      </w:r>
      <w:r w:rsidR="00F90AD9">
        <w:rPr>
          <w:rFonts w:ascii="Times New Roman" w:hAnsi="Times New Roman"/>
        </w:rPr>
        <w:t xml:space="preserve"> (SE)</w:t>
      </w:r>
      <w:r w:rsidR="008542EF">
        <w:rPr>
          <w:rFonts w:ascii="Times New Roman" w:hAnsi="Times New Roman"/>
        </w:rPr>
        <w:t>, then</w:t>
      </w:r>
      <w:r w:rsidR="00F90AD9">
        <w:rPr>
          <w:rFonts w:ascii="Times New Roman" w:hAnsi="Times New Roman"/>
        </w:rPr>
        <w:t xml:space="preserve"> the SE was</w:t>
      </w:r>
      <w:r w:rsidR="008542EF">
        <w:rPr>
          <w:rFonts w:ascii="Times New Roman" w:hAnsi="Times New Roman"/>
        </w:rPr>
        <w:t xml:space="preserve"> transformed back to the original units and multiplied by </w:t>
      </w:r>
      <w:commentRangeStart w:id="9"/>
      <w:r w:rsidR="008542EF">
        <w:rPr>
          <w:rFonts w:ascii="Times New Roman" w:hAnsi="Times New Roman"/>
        </w:rPr>
        <w:t xml:space="preserve">1.96 </w:t>
      </w:r>
      <w:commentRangeEnd w:id="9"/>
      <w:r w:rsidR="00CA7895">
        <w:rPr>
          <w:rStyle w:val="CommentReference"/>
        </w:rPr>
        <w:commentReference w:id="9"/>
      </w:r>
      <w:r w:rsidR="008542EF">
        <w:rPr>
          <w:rFonts w:ascii="Times New Roman" w:hAnsi="Times New Roman"/>
        </w:rPr>
        <w:t xml:space="preserve">to obtain a </w:t>
      </w:r>
      <w:r w:rsidR="00F45AF7">
        <w:rPr>
          <w:rFonts w:ascii="Times New Roman" w:hAnsi="Times New Roman"/>
        </w:rPr>
        <w:t xml:space="preserve">95% </w:t>
      </w:r>
      <w:r w:rsidR="00CC4850">
        <w:rPr>
          <w:rFonts w:ascii="Times New Roman" w:hAnsi="Times New Roman"/>
        </w:rPr>
        <w:t xml:space="preserve">CI </w:t>
      </w:r>
      <w:r w:rsidR="00F45AF7">
        <w:rPr>
          <w:rFonts w:ascii="Times New Roman" w:hAnsi="Times New Roman"/>
        </w:rPr>
        <w:t>of 0.45</w:t>
      </w:r>
      <w:r w:rsidR="009E16AF">
        <w:rPr>
          <w:rFonts w:ascii="Times New Roman" w:hAnsi="Times New Roman"/>
        </w:rPr>
        <w:t xml:space="preserve"> to 1.23 </w:t>
      </w:r>
      <w:r w:rsidR="00BE09F4">
        <w:rPr>
          <w:rFonts w:ascii="Times New Roman" w:hAnsi="Times New Roman"/>
        </w:rPr>
        <w:t xml:space="preserve">risk </w:t>
      </w:r>
      <w:r w:rsidR="009E16AF">
        <w:rPr>
          <w:rFonts w:ascii="Times New Roman" w:hAnsi="Times New Roman"/>
        </w:rPr>
        <w:t>of death during the interval given a high LDL-</w:t>
      </w:r>
      <w:commentRangeStart w:id="10"/>
      <w:r w:rsidR="009E16AF">
        <w:rPr>
          <w:rFonts w:ascii="Times New Roman" w:hAnsi="Times New Roman"/>
        </w:rPr>
        <w:t>C</w:t>
      </w:r>
      <w:commentRangeEnd w:id="10"/>
      <w:r w:rsidR="00F55633">
        <w:rPr>
          <w:rStyle w:val="CommentReference"/>
        </w:rPr>
        <w:commentReference w:id="10"/>
      </w:r>
      <w:r w:rsidR="009E16AF">
        <w:rPr>
          <w:rFonts w:ascii="Times New Roman" w:hAnsi="Times New Roman"/>
        </w:rPr>
        <w:t>.</w:t>
      </w:r>
    </w:p>
    <w:p w:rsidR="0036412C" w:rsidRDefault="0036412C" w:rsidP="002374AF">
      <w:pPr>
        <w:spacing w:line="360" w:lineRule="auto"/>
        <w:rPr>
          <w:rFonts w:ascii="Times New Roman" w:hAnsi="Times New Roman"/>
        </w:rPr>
      </w:pPr>
    </w:p>
    <w:p w:rsidR="0036412C" w:rsidRDefault="0045744C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</w:t>
      </w:r>
      <w:r w:rsidR="00FF60CD">
        <w:rPr>
          <w:rFonts w:ascii="Times New Roman" w:hAnsi="Times New Roman"/>
        </w:rPr>
        <w:t xml:space="preserve">The odds of death given a high LDL-C can </w:t>
      </w:r>
      <w:r w:rsidR="00DC4CAA">
        <w:rPr>
          <w:rFonts w:ascii="Times New Roman" w:hAnsi="Times New Roman"/>
        </w:rPr>
        <w:t>be calculated by the odds ratio</w:t>
      </w:r>
      <w:r w:rsidR="003215A3">
        <w:rPr>
          <w:rFonts w:ascii="Times New Roman" w:hAnsi="Times New Roman"/>
        </w:rPr>
        <w:t xml:space="preserve"> (OR)</w:t>
      </w:r>
      <w:r w:rsidR="00DC4CAA">
        <w:rPr>
          <w:rFonts w:ascii="Times New Roman" w:hAnsi="Times New Roman"/>
        </w:rPr>
        <w:t xml:space="preserve">, given by: [(502*15) / (92*116)], which equals </w:t>
      </w:r>
      <w:r w:rsidR="00237A9C">
        <w:rPr>
          <w:rFonts w:ascii="Times New Roman" w:hAnsi="Times New Roman"/>
        </w:rPr>
        <w:t>0.706.</w:t>
      </w:r>
      <w:r w:rsidR="001845E1">
        <w:rPr>
          <w:rFonts w:ascii="Times New Roman" w:hAnsi="Times New Roman"/>
        </w:rPr>
        <w:t xml:space="preserve"> </w:t>
      </w:r>
      <w:r w:rsidR="00CE6D5B">
        <w:rPr>
          <w:rFonts w:ascii="Times New Roman" w:hAnsi="Times New Roman"/>
        </w:rPr>
        <w:t>The CI was calculated given the m</w:t>
      </w:r>
      <w:r w:rsidR="005777E8">
        <w:rPr>
          <w:rFonts w:ascii="Times New Roman" w:hAnsi="Times New Roman"/>
        </w:rPr>
        <w:t xml:space="preserve">ethod </w:t>
      </w:r>
      <w:r w:rsidR="00A54018">
        <w:rPr>
          <w:rFonts w:ascii="Times New Roman" w:hAnsi="Times New Roman"/>
        </w:rPr>
        <w:t>described</w:t>
      </w:r>
      <w:r w:rsidR="005777E8">
        <w:rPr>
          <w:rFonts w:ascii="Times New Roman" w:hAnsi="Times New Roman"/>
        </w:rPr>
        <w:t xml:space="preserve"> in the answer to #5, yielding a 95% CI of </w:t>
      </w:r>
      <w:r w:rsidR="003215A3">
        <w:rPr>
          <w:rFonts w:ascii="Times New Roman" w:hAnsi="Times New Roman"/>
        </w:rPr>
        <w:t>0.39 to 1.26 for the OR of death during the interval given a high LDL-</w:t>
      </w:r>
      <w:commentRangeStart w:id="11"/>
      <w:r w:rsidR="003215A3">
        <w:rPr>
          <w:rFonts w:ascii="Times New Roman" w:hAnsi="Times New Roman"/>
        </w:rPr>
        <w:t>C</w:t>
      </w:r>
      <w:commentRangeEnd w:id="11"/>
      <w:r w:rsidR="002A280A">
        <w:rPr>
          <w:rStyle w:val="CommentReference"/>
        </w:rPr>
        <w:commentReference w:id="11"/>
      </w:r>
      <w:r w:rsidR="003215A3">
        <w:rPr>
          <w:rFonts w:ascii="Times New Roman" w:hAnsi="Times New Roman"/>
        </w:rPr>
        <w:t>.</w:t>
      </w:r>
    </w:p>
    <w:p w:rsidR="00E52821" w:rsidRDefault="00E52821" w:rsidP="002374AF">
      <w:pPr>
        <w:spacing w:line="360" w:lineRule="auto"/>
        <w:rPr>
          <w:rFonts w:ascii="Times New Roman" w:hAnsi="Times New Roman"/>
        </w:rPr>
      </w:pPr>
    </w:p>
    <w:p w:rsidR="00E52821" w:rsidRDefault="00E52821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225D7F">
        <w:rPr>
          <w:rFonts w:ascii="Times New Roman" w:hAnsi="Times New Roman"/>
        </w:rPr>
        <w:t>The instantaneous hazard of death was calculated from a Kaplan-Meier survival function in R using the package “</w:t>
      </w:r>
      <w:proofErr w:type="spellStart"/>
      <w:r w:rsidR="00225D7F">
        <w:rPr>
          <w:rFonts w:ascii="Times New Roman" w:hAnsi="Times New Roman"/>
        </w:rPr>
        <w:t>epiR</w:t>
      </w:r>
      <w:proofErr w:type="spellEnd"/>
      <w:r w:rsidR="00225D7F">
        <w:rPr>
          <w:rFonts w:ascii="Times New Roman" w:hAnsi="Times New Roman"/>
        </w:rPr>
        <w:t>”</w:t>
      </w:r>
      <w:r w:rsidR="00E83785">
        <w:rPr>
          <w:rFonts w:ascii="Times New Roman" w:hAnsi="Times New Roman"/>
        </w:rPr>
        <w:t xml:space="preserve"> and the </w:t>
      </w:r>
      <w:r w:rsidR="002B2301">
        <w:rPr>
          <w:rFonts w:ascii="Times New Roman" w:hAnsi="Times New Roman"/>
        </w:rPr>
        <w:t xml:space="preserve">library </w:t>
      </w:r>
      <w:r w:rsidR="00E83785">
        <w:rPr>
          <w:rFonts w:ascii="Times New Roman" w:hAnsi="Times New Roman"/>
        </w:rPr>
        <w:t>function “</w:t>
      </w:r>
      <w:proofErr w:type="spellStart"/>
      <w:r w:rsidR="00E83785">
        <w:rPr>
          <w:rFonts w:ascii="Times New Roman" w:hAnsi="Times New Roman"/>
        </w:rPr>
        <w:t>epi.insthaz</w:t>
      </w:r>
      <w:proofErr w:type="spellEnd"/>
      <w:r w:rsidR="00E83785">
        <w:rPr>
          <w:rFonts w:ascii="Times New Roman" w:hAnsi="Times New Roman"/>
        </w:rPr>
        <w:t xml:space="preserve">”. </w:t>
      </w:r>
      <w:r w:rsidR="0044353B">
        <w:rPr>
          <w:rFonts w:ascii="Times New Roman" w:hAnsi="Times New Roman"/>
        </w:rPr>
        <w:t xml:space="preserve">This instantaneous hazard of death was calculated separately </w:t>
      </w:r>
      <w:r w:rsidR="007812F7">
        <w:rPr>
          <w:rFonts w:ascii="Times New Roman" w:hAnsi="Times New Roman"/>
        </w:rPr>
        <w:t xml:space="preserve">for both the high LDL-C (&gt;160 mg/dl) and the low LDL-C group and compared. The 95% CI was calculated using a z-score method with a critical value of 1.96. </w:t>
      </w:r>
      <w:r w:rsidR="00685E1F">
        <w:rPr>
          <w:rFonts w:ascii="Times New Roman" w:hAnsi="Times New Roman"/>
        </w:rPr>
        <w:t>From these methods, an instantaneous hazard of all-cause mortality of 1.07 x 10</w:t>
      </w:r>
      <w:r w:rsidR="00685E1F" w:rsidRPr="006470F2">
        <w:rPr>
          <w:rFonts w:ascii="Times New Roman" w:hAnsi="Times New Roman"/>
          <w:vertAlign w:val="superscript"/>
        </w:rPr>
        <w:t>-4</w:t>
      </w:r>
      <w:r w:rsidR="00685E1F">
        <w:rPr>
          <w:rFonts w:ascii="Times New Roman" w:hAnsi="Times New Roman"/>
        </w:rPr>
        <w:t xml:space="preserve"> with a 95% CI of 3.52 x 10</w:t>
      </w:r>
      <w:r w:rsidR="00685E1F" w:rsidRPr="001C2E4B">
        <w:rPr>
          <w:rFonts w:ascii="Times New Roman" w:hAnsi="Times New Roman"/>
          <w:vertAlign w:val="superscript"/>
        </w:rPr>
        <w:t>-5</w:t>
      </w:r>
      <w:r w:rsidR="00685E1F">
        <w:rPr>
          <w:rFonts w:ascii="Times New Roman" w:hAnsi="Times New Roman"/>
        </w:rPr>
        <w:t xml:space="preserve"> to 0.0302 was obtained for the subjects with normal LDL-C.</w:t>
      </w:r>
      <w:r w:rsidR="00AB4378">
        <w:rPr>
          <w:rFonts w:ascii="Times New Roman" w:hAnsi="Times New Roman"/>
        </w:rPr>
        <w:t xml:space="preserve"> In comparison, the group with high LDL-C had an instantaneous hazard of 5.88 x 10</w:t>
      </w:r>
      <w:r w:rsidR="00AB4378" w:rsidRPr="00AB4378">
        <w:rPr>
          <w:rFonts w:ascii="Times New Roman" w:hAnsi="Times New Roman"/>
          <w:vertAlign w:val="superscript"/>
        </w:rPr>
        <w:t>-5</w:t>
      </w:r>
      <w:r w:rsidR="00AB4378">
        <w:rPr>
          <w:rFonts w:ascii="Times New Roman" w:hAnsi="Times New Roman"/>
        </w:rPr>
        <w:t xml:space="preserve"> with a 95% CI of 1.04 x 10</w:t>
      </w:r>
      <w:r w:rsidR="00AB4378" w:rsidRPr="00AB4378">
        <w:rPr>
          <w:rFonts w:ascii="Times New Roman" w:hAnsi="Times New Roman"/>
          <w:vertAlign w:val="superscript"/>
        </w:rPr>
        <w:t>-5</w:t>
      </w:r>
      <w:r w:rsidR="00AB4378">
        <w:rPr>
          <w:rFonts w:ascii="Times New Roman" w:hAnsi="Times New Roman"/>
        </w:rPr>
        <w:t xml:space="preserve"> to 0.063.</w:t>
      </w:r>
      <w:r w:rsidR="00DA48C7">
        <w:rPr>
          <w:rFonts w:ascii="Times New Roman" w:hAnsi="Times New Roman"/>
        </w:rPr>
        <w:t xml:space="preserve"> Thus, the group with high LDL-C had a lower instantaneous risk of death when compared with the group with normal LDL-C </w:t>
      </w:r>
      <w:commentRangeStart w:id="12"/>
      <w:r w:rsidR="00DA48C7">
        <w:rPr>
          <w:rFonts w:ascii="Times New Roman" w:hAnsi="Times New Roman"/>
        </w:rPr>
        <w:t>levels</w:t>
      </w:r>
      <w:commentRangeEnd w:id="12"/>
      <w:r w:rsidR="00446F1D">
        <w:rPr>
          <w:rStyle w:val="CommentReference"/>
        </w:rPr>
        <w:commentReference w:id="12"/>
      </w:r>
      <w:r w:rsidR="00DA48C7">
        <w:rPr>
          <w:rFonts w:ascii="Times New Roman" w:hAnsi="Times New Roman"/>
        </w:rPr>
        <w:t>.</w:t>
      </w:r>
    </w:p>
    <w:p w:rsidR="00200C3F" w:rsidRDefault="00200C3F" w:rsidP="002374AF">
      <w:pPr>
        <w:spacing w:line="360" w:lineRule="auto"/>
        <w:rPr>
          <w:rFonts w:ascii="Times New Roman" w:hAnsi="Times New Roman"/>
        </w:rPr>
      </w:pPr>
    </w:p>
    <w:p w:rsidR="007B605F" w:rsidRPr="00B64560" w:rsidRDefault="00200C3F" w:rsidP="002374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B64560">
        <w:rPr>
          <w:rFonts w:ascii="Times New Roman" w:hAnsi="Times New Roman"/>
        </w:rPr>
        <w:t xml:space="preserve"> </w:t>
      </w:r>
      <w:r w:rsidR="00B64560">
        <w:rPr>
          <w:rFonts w:ascii="Times New Roman" w:hAnsi="Times New Roman"/>
          <w:i/>
        </w:rPr>
        <w:t>A priori</w:t>
      </w:r>
      <w:r w:rsidR="00B64560">
        <w:rPr>
          <w:rFonts w:ascii="Times New Roman" w:hAnsi="Times New Roman"/>
        </w:rPr>
        <w:t xml:space="preserve">, I would have chosen to perform a two-sample two-sided t-test without the assumption of equal variance to test the </w:t>
      </w:r>
      <w:r w:rsidR="002430F8">
        <w:rPr>
          <w:rFonts w:ascii="Times New Roman" w:hAnsi="Times New Roman"/>
        </w:rPr>
        <w:t xml:space="preserve">alternative </w:t>
      </w:r>
      <w:r w:rsidR="00B64560">
        <w:rPr>
          <w:rFonts w:ascii="Times New Roman" w:hAnsi="Times New Roman"/>
        </w:rPr>
        <w:t xml:space="preserve">hypothesis that </w:t>
      </w:r>
      <w:r w:rsidR="00F42F76">
        <w:rPr>
          <w:rFonts w:ascii="Times New Roman" w:hAnsi="Times New Roman"/>
        </w:rPr>
        <w:t>the</w:t>
      </w:r>
      <w:r w:rsidR="00570EE4">
        <w:rPr>
          <w:rFonts w:ascii="Times New Roman" w:hAnsi="Times New Roman"/>
        </w:rPr>
        <w:t xml:space="preserve"> </w:t>
      </w:r>
      <w:r w:rsidR="00B64560">
        <w:rPr>
          <w:rFonts w:ascii="Times New Roman" w:hAnsi="Times New Roman"/>
        </w:rPr>
        <w:t xml:space="preserve">mean LDL-C are different </w:t>
      </w:r>
      <w:r w:rsidR="000E7549">
        <w:rPr>
          <w:rFonts w:ascii="Times New Roman" w:hAnsi="Times New Roman"/>
        </w:rPr>
        <w:t xml:space="preserve">between those who died during the 5 year interval and those who did not. </w:t>
      </w:r>
      <w:r w:rsidR="007B605F">
        <w:rPr>
          <w:rFonts w:ascii="Times New Roman" w:hAnsi="Times New Roman"/>
        </w:rPr>
        <w:t>Continuous variables (not stratifying based on “high” or “low” HDL) offer greater statistical power to reject the null hypothesis.</w:t>
      </w:r>
      <w:r w:rsidR="00AC72C7">
        <w:rPr>
          <w:rFonts w:ascii="Times New Roman" w:hAnsi="Times New Roman"/>
        </w:rPr>
        <w:t xml:space="preserve"> Note that i</w:t>
      </w:r>
      <w:r w:rsidR="007B605F">
        <w:rPr>
          <w:rFonts w:ascii="Times New Roman" w:hAnsi="Times New Roman"/>
        </w:rPr>
        <w:t xml:space="preserve">f </w:t>
      </w:r>
      <w:proofErr w:type="gramStart"/>
      <w:r w:rsidR="007B605F">
        <w:rPr>
          <w:rFonts w:ascii="Times New Roman" w:hAnsi="Times New Roman"/>
        </w:rPr>
        <w:t xml:space="preserve">regression </w:t>
      </w:r>
      <w:r w:rsidR="006410DD">
        <w:rPr>
          <w:rFonts w:ascii="Times New Roman" w:hAnsi="Times New Roman"/>
        </w:rPr>
        <w:t>were</w:t>
      </w:r>
      <w:proofErr w:type="gramEnd"/>
      <w:r w:rsidR="007B605F">
        <w:rPr>
          <w:rFonts w:ascii="Times New Roman" w:hAnsi="Times New Roman"/>
        </w:rPr>
        <w:t xml:space="preserve"> an option to answer this question, I would have used regression methods to adjust for potential covariates that are also associated with the outcome of death during the 5-year interval (see the descriptive </w:t>
      </w:r>
      <w:commentRangeStart w:id="13"/>
      <w:r w:rsidR="007B605F">
        <w:rPr>
          <w:rFonts w:ascii="Times New Roman" w:hAnsi="Times New Roman"/>
        </w:rPr>
        <w:t>table</w:t>
      </w:r>
      <w:commentRangeEnd w:id="13"/>
      <w:r w:rsidR="00CD3C9B">
        <w:rPr>
          <w:rStyle w:val="CommentReference"/>
        </w:rPr>
        <w:commentReference w:id="13"/>
      </w:r>
      <w:r w:rsidR="007B605F">
        <w:rPr>
          <w:rFonts w:ascii="Times New Roman" w:hAnsi="Times New Roman"/>
        </w:rPr>
        <w:t xml:space="preserve">). </w:t>
      </w:r>
    </w:p>
    <w:sectPr w:rsidR="007B605F" w:rsidRPr="00B64560" w:rsidSect="004641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D93B0F" w:rsidRDefault="00D93B0F">
      <w:pPr>
        <w:pStyle w:val="CommentText"/>
      </w:pPr>
      <w:r>
        <w:rPr>
          <w:rStyle w:val="CommentReference"/>
        </w:rPr>
        <w:annotationRef/>
      </w:r>
      <w:r>
        <w:t>Overall Score = 5</w:t>
      </w:r>
      <w:r w:rsidR="009073B7">
        <w:t>1</w:t>
      </w:r>
      <w:r>
        <w:t>/75.</w:t>
      </w:r>
    </w:p>
  </w:comment>
  <w:comment w:id="1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Points: (5/5)</w:t>
      </w:r>
    </w:p>
  </w:comment>
  <w:comment w:id="2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The p-value represents statistical significance – not a difference in means!</w:t>
      </w:r>
    </w:p>
  </w:comment>
  <w:comment w:id="3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Typically, a table of descriptive statistics does not need to include any</w:t>
      </w:r>
      <w:r w:rsidR="00D93B0F">
        <w:t xml:space="preserve"> p</w:t>
      </w:r>
      <w:r>
        <w:t xml:space="preserve">-values or CI. Its purpose is to describe the data at hand in the most economical/simple way possible. 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When reporting p-values, it’s standard to say “&lt;0.001” rather than to use scientific notation.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I would not include methods in the footnote of a table (a paragraph would be more suitable).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 xml:space="preserve">I think it would have been nice to segment CHD and Stroke according to their possible diagnoses. 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Don’t forget to put a title on your table!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A column describing the overall sample also seems appropriate.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Your footnotes for missing data are a little confusing, perhaps there is a better way to report those numbers (e.g. in a paragraph).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 xml:space="preserve">A second paragraph describing the values in the table would have been appropriate – any potential trends or striking differences (or similarities, for that matter), etc.  </w:t>
      </w:r>
    </w:p>
    <w:p w:rsidR="00446F1D" w:rsidRDefault="00446F1D">
      <w:pPr>
        <w:pStyle w:val="CommentText"/>
      </w:pPr>
    </w:p>
    <w:p w:rsidR="00446F1D" w:rsidRDefault="009073B7">
      <w:pPr>
        <w:pStyle w:val="CommentText"/>
      </w:pPr>
      <w:r>
        <w:t>Points: (6</w:t>
      </w:r>
      <w:r w:rsidR="00446F1D">
        <w:t>/10)</w:t>
      </w:r>
    </w:p>
  </w:comment>
  <w:comment w:id="4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at</w:t>
      </w:r>
      <w:proofErr w:type="gramEnd"/>
      <w:r>
        <w:t xml:space="preserve"> least” is more precise.</w:t>
      </w:r>
    </w:p>
  </w:comment>
  <w:comment w:id="5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 xml:space="preserve">Since we are looking for a difference in means between the two groups, it’s important to provide the estimated difference, as well as a CI for that difference (although the estimates you gave within each group are additionally valuable).  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Be sure to state your definition of significance (I’m assuming you determined significance at alpha=0.05).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 xml:space="preserve">Your last sentence could have expanded more on the </w:t>
      </w:r>
      <w:r w:rsidRPr="00195302">
        <w:rPr>
          <w:b/>
        </w:rPr>
        <w:t>association</w:t>
      </w:r>
      <w:r>
        <w:t xml:space="preserve"> b/w LDL and mortality. 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Good job w/ using the appropriate analysis.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Points: (7/10)</w:t>
      </w:r>
    </w:p>
  </w:comment>
  <w:comment w:id="6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 xml:space="preserve">Bold font is not necessary! </w:t>
      </w:r>
    </w:p>
  </w:comment>
  <w:comment w:id="7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Again, you’ll want to provide the estimated difference and it’s confidence interval; better describe the association b/w groups; and state the level for which significance was determined.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Points: (7/10)</w:t>
      </w:r>
    </w:p>
  </w:comment>
  <w:comment w:id="8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This question wants us to compare proportions between groups (different than just stating the RR).</w:t>
      </w:r>
    </w:p>
  </w:comment>
  <w:comment w:id="9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 xml:space="preserve">If you’re going to specify this critical value, you’ll need to say why. </w:t>
      </w:r>
    </w:p>
  </w:comment>
  <w:comment w:id="10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 xml:space="preserve"> It would have been better to simply state your methods (e.g. Chi-Squared, Fisher’s Exact, Wald CI, etc.) than to describe your hand calculations.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P-value?</w:t>
      </w:r>
    </w:p>
    <w:p w:rsidR="00446F1D" w:rsidRDefault="00446F1D">
      <w:pPr>
        <w:pStyle w:val="CommentText"/>
      </w:pPr>
    </w:p>
    <w:p w:rsidR="00446F1D" w:rsidRDefault="00446F1D">
      <w:pPr>
        <w:pStyle w:val="CommentText"/>
      </w:pPr>
      <w:r>
        <w:t>Again, you’ll want to state what these results say about an association b/w LDL and mortality.</w:t>
      </w:r>
    </w:p>
    <w:p w:rsidR="00446F1D" w:rsidRDefault="00446F1D">
      <w:pPr>
        <w:pStyle w:val="CommentText"/>
      </w:pPr>
    </w:p>
    <w:p w:rsidR="00446F1D" w:rsidRDefault="00D93B0F">
      <w:pPr>
        <w:pStyle w:val="CommentText"/>
      </w:pPr>
      <w:r>
        <w:t>Points: (5</w:t>
      </w:r>
      <w:r w:rsidR="00446F1D">
        <w:t>/10)</w:t>
      </w:r>
    </w:p>
  </w:comment>
  <w:comment w:id="11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>
        <w:t>The comments from #5 apply here as well (comment A10).</w:t>
      </w:r>
    </w:p>
    <w:p w:rsidR="00446F1D" w:rsidRDefault="00446F1D">
      <w:pPr>
        <w:pStyle w:val="CommentText"/>
      </w:pPr>
    </w:p>
    <w:p w:rsidR="00446F1D" w:rsidRDefault="00D93B0F">
      <w:pPr>
        <w:pStyle w:val="CommentText"/>
      </w:pPr>
      <w:r>
        <w:t>Points: (5</w:t>
      </w:r>
      <w:r w:rsidR="00446F1D">
        <w:t>/10)</w:t>
      </w:r>
    </w:p>
  </w:comment>
  <w:comment w:id="12" w:author="Author" w:initials="A">
    <w:p w:rsidR="00446F1D" w:rsidRDefault="00446F1D">
      <w:pPr>
        <w:pStyle w:val="CommentText"/>
      </w:pPr>
      <w:r>
        <w:rPr>
          <w:rStyle w:val="CommentReference"/>
        </w:rPr>
        <w:annotationRef/>
      </w:r>
      <w:r w:rsidR="004F15F0">
        <w:t xml:space="preserve">You can use the hazard ratio and its corresponding CI to compare the two groups.  </w:t>
      </w:r>
    </w:p>
    <w:p w:rsidR="004F15F0" w:rsidRDefault="004F15F0">
      <w:pPr>
        <w:pStyle w:val="CommentText"/>
      </w:pPr>
    </w:p>
    <w:p w:rsidR="004F15F0" w:rsidRDefault="004F15F0">
      <w:pPr>
        <w:pStyle w:val="CommentText"/>
      </w:pPr>
      <w:r>
        <w:t>Log rank test w/ p-value?</w:t>
      </w:r>
    </w:p>
    <w:p w:rsidR="004F15F0" w:rsidRDefault="004F15F0">
      <w:pPr>
        <w:pStyle w:val="CommentText"/>
      </w:pPr>
    </w:p>
    <w:p w:rsidR="004F15F0" w:rsidRDefault="004F15F0">
      <w:pPr>
        <w:pStyle w:val="CommentText"/>
      </w:pPr>
      <w:r>
        <w:t xml:space="preserve">A graph plotting survival would be a good visual for describing the association. </w:t>
      </w:r>
    </w:p>
    <w:p w:rsidR="004F15F0" w:rsidRDefault="004F15F0">
      <w:pPr>
        <w:pStyle w:val="CommentText"/>
      </w:pPr>
    </w:p>
    <w:p w:rsidR="004F15F0" w:rsidRDefault="004F15F0">
      <w:pPr>
        <w:pStyle w:val="CommentText"/>
      </w:pPr>
    </w:p>
    <w:p w:rsidR="004F15F0" w:rsidRDefault="004F15F0">
      <w:pPr>
        <w:pStyle w:val="CommentText"/>
      </w:pPr>
      <w:r>
        <w:t>Points: (6/10)</w:t>
      </w:r>
    </w:p>
    <w:p w:rsidR="004F15F0" w:rsidRDefault="004F15F0">
      <w:pPr>
        <w:pStyle w:val="CommentText"/>
      </w:pPr>
    </w:p>
    <w:p w:rsidR="004F15F0" w:rsidRDefault="004F15F0">
      <w:pPr>
        <w:pStyle w:val="CommentText"/>
      </w:pPr>
    </w:p>
  </w:comment>
  <w:comment w:id="13" w:author="Author" w:initials="A">
    <w:p w:rsidR="00CD3C9B" w:rsidRDefault="00CD3C9B">
      <w:pPr>
        <w:pStyle w:val="CommentText"/>
      </w:pPr>
      <w:r>
        <w:rPr>
          <w:rStyle w:val="CommentReference"/>
        </w:rPr>
        <w:annotationRef/>
      </w:r>
      <w:r>
        <w:t>Points: (10/10)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62" w:rsidRDefault="00835662" w:rsidP="00B51376">
      <w:r>
        <w:separator/>
      </w:r>
    </w:p>
  </w:endnote>
  <w:endnote w:type="continuationSeparator" w:id="0">
    <w:p w:rsidR="00835662" w:rsidRDefault="00835662" w:rsidP="00B5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62" w:rsidRDefault="00835662" w:rsidP="00B51376">
      <w:r>
        <w:separator/>
      </w:r>
    </w:p>
  </w:footnote>
  <w:footnote w:type="continuationSeparator" w:id="0">
    <w:p w:rsidR="00835662" w:rsidRDefault="00835662" w:rsidP="00B51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1D" w:rsidRPr="00B51376" w:rsidRDefault="00446F1D">
    <w:pPr>
      <w:pStyle w:val="Header"/>
      <w:rPr>
        <w:rFonts w:ascii="Times New Roman" w:hAnsi="Times New Roman"/>
      </w:rPr>
    </w:pPr>
    <w:r w:rsidRPr="00B51376">
      <w:rPr>
        <w:rFonts w:ascii="Times New Roman" w:hAnsi="Times New Roman"/>
      </w:rPr>
      <w:t>NOTE: R was used for analyses.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D543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17F3"/>
    <w:rsid w:val="0000528B"/>
    <w:rsid w:val="000529C7"/>
    <w:rsid w:val="00053887"/>
    <w:rsid w:val="000657F7"/>
    <w:rsid w:val="000C2B4B"/>
    <w:rsid w:val="000C356F"/>
    <w:rsid w:val="000C3AD1"/>
    <w:rsid w:val="000C3B35"/>
    <w:rsid w:val="000D4564"/>
    <w:rsid w:val="000E06EB"/>
    <w:rsid w:val="000E7549"/>
    <w:rsid w:val="001447B6"/>
    <w:rsid w:val="00150A98"/>
    <w:rsid w:val="00172ADF"/>
    <w:rsid w:val="001845E1"/>
    <w:rsid w:val="0018582D"/>
    <w:rsid w:val="00195302"/>
    <w:rsid w:val="001B27D3"/>
    <w:rsid w:val="001C2E4B"/>
    <w:rsid w:val="001D5AA6"/>
    <w:rsid w:val="00200C3F"/>
    <w:rsid w:val="002078CF"/>
    <w:rsid w:val="0021760F"/>
    <w:rsid w:val="00225D7F"/>
    <w:rsid w:val="00234917"/>
    <w:rsid w:val="002374AF"/>
    <w:rsid w:val="00237A9C"/>
    <w:rsid w:val="002430F8"/>
    <w:rsid w:val="00245EB0"/>
    <w:rsid w:val="002A280A"/>
    <w:rsid w:val="002B2301"/>
    <w:rsid w:val="002B543E"/>
    <w:rsid w:val="002C3367"/>
    <w:rsid w:val="002C3CFB"/>
    <w:rsid w:val="002E4B86"/>
    <w:rsid w:val="002F1C67"/>
    <w:rsid w:val="003215A3"/>
    <w:rsid w:val="00357D72"/>
    <w:rsid w:val="0036412C"/>
    <w:rsid w:val="00365394"/>
    <w:rsid w:val="00374844"/>
    <w:rsid w:val="00386F3F"/>
    <w:rsid w:val="003B156B"/>
    <w:rsid w:val="003F5B70"/>
    <w:rsid w:val="00415490"/>
    <w:rsid w:val="004170BB"/>
    <w:rsid w:val="00422E71"/>
    <w:rsid w:val="0044353B"/>
    <w:rsid w:val="00446F1D"/>
    <w:rsid w:val="0045744C"/>
    <w:rsid w:val="00464118"/>
    <w:rsid w:val="004A7370"/>
    <w:rsid w:val="004D15B6"/>
    <w:rsid w:val="004E1ABA"/>
    <w:rsid w:val="004F15F0"/>
    <w:rsid w:val="00531536"/>
    <w:rsid w:val="00543628"/>
    <w:rsid w:val="005652EE"/>
    <w:rsid w:val="00570EE4"/>
    <w:rsid w:val="0057119B"/>
    <w:rsid w:val="005777E8"/>
    <w:rsid w:val="005958A9"/>
    <w:rsid w:val="005A3B0B"/>
    <w:rsid w:val="005A717F"/>
    <w:rsid w:val="005B2E90"/>
    <w:rsid w:val="005D2638"/>
    <w:rsid w:val="005E51E0"/>
    <w:rsid w:val="00637229"/>
    <w:rsid w:val="006410DD"/>
    <w:rsid w:val="00642D2C"/>
    <w:rsid w:val="006470F2"/>
    <w:rsid w:val="00652F3B"/>
    <w:rsid w:val="00685E1F"/>
    <w:rsid w:val="00694134"/>
    <w:rsid w:val="00695693"/>
    <w:rsid w:val="006C2243"/>
    <w:rsid w:val="006C65A0"/>
    <w:rsid w:val="00701884"/>
    <w:rsid w:val="00720840"/>
    <w:rsid w:val="00722AB7"/>
    <w:rsid w:val="00723C97"/>
    <w:rsid w:val="007537A8"/>
    <w:rsid w:val="007679E8"/>
    <w:rsid w:val="00770612"/>
    <w:rsid w:val="00775926"/>
    <w:rsid w:val="007812F7"/>
    <w:rsid w:val="00796053"/>
    <w:rsid w:val="007A0807"/>
    <w:rsid w:val="007A0D6A"/>
    <w:rsid w:val="007B3557"/>
    <w:rsid w:val="007B605F"/>
    <w:rsid w:val="007C2FB2"/>
    <w:rsid w:val="007C55D5"/>
    <w:rsid w:val="007D6C92"/>
    <w:rsid w:val="007F50F3"/>
    <w:rsid w:val="00835662"/>
    <w:rsid w:val="00841F08"/>
    <w:rsid w:val="00847135"/>
    <w:rsid w:val="00847255"/>
    <w:rsid w:val="008542EF"/>
    <w:rsid w:val="00864992"/>
    <w:rsid w:val="0086592A"/>
    <w:rsid w:val="00881668"/>
    <w:rsid w:val="00885C76"/>
    <w:rsid w:val="008C566E"/>
    <w:rsid w:val="008F6CD8"/>
    <w:rsid w:val="009013A3"/>
    <w:rsid w:val="0090212A"/>
    <w:rsid w:val="009073B7"/>
    <w:rsid w:val="0092284C"/>
    <w:rsid w:val="00941B34"/>
    <w:rsid w:val="00950CC9"/>
    <w:rsid w:val="00956A37"/>
    <w:rsid w:val="0096308B"/>
    <w:rsid w:val="00982CB1"/>
    <w:rsid w:val="009917F3"/>
    <w:rsid w:val="009A0DD5"/>
    <w:rsid w:val="009B6424"/>
    <w:rsid w:val="009E16AF"/>
    <w:rsid w:val="009F721B"/>
    <w:rsid w:val="00A14926"/>
    <w:rsid w:val="00A25C19"/>
    <w:rsid w:val="00A34317"/>
    <w:rsid w:val="00A37741"/>
    <w:rsid w:val="00A4151F"/>
    <w:rsid w:val="00A430B3"/>
    <w:rsid w:val="00A521EA"/>
    <w:rsid w:val="00A54018"/>
    <w:rsid w:val="00AB2014"/>
    <w:rsid w:val="00AB4378"/>
    <w:rsid w:val="00AB6248"/>
    <w:rsid w:val="00AC6C50"/>
    <w:rsid w:val="00AC72C7"/>
    <w:rsid w:val="00AC7360"/>
    <w:rsid w:val="00AD72AC"/>
    <w:rsid w:val="00AE37CC"/>
    <w:rsid w:val="00AE7199"/>
    <w:rsid w:val="00AF3730"/>
    <w:rsid w:val="00AF7ED6"/>
    <w:rsid w:val="00B51376"/>
    <w:rsid w:val="00B513AD"/>
    <w:rsid w:val="00B64560"/>
    <w:rsid w:val="00B6500E"/>
    <w:rsid w:val="00B72D9C"/>
    <w:rsid w:val="00BB08EE"/>
    <w:rsid w:val="00BD558C"/>
    <w:rsid w:val="00BD72E3"/>
    <w:rsid w:val="00BE09F4"/>
    <w:rsid w:val="00C061E6"/>
    <w:rsid w:val="00C117DD"/>
    <w:rsid w:val="00C362B4"/>
    <w:rsid w:val="00C502E1"/>
    <w:rsid w:val="00C81A85"/>
    <w:rsid w:val="00C9184C"/>
    <w:rsid w:val="00CA34CA"/>
    <w:rsid w:val="00CA7895"/>
    <w:rsid w:val="00CB4EB4"/>
    <w:rsid w:val="00CC4850"/>
    <w:rsid w:val="00CD055A"/>
    <w:rsid w:val="00CD3C9B"/>
    <w:rsid w:val="00CE6D5B"/>
    <w:rsid w:val="00D23848"/>
    <w:rsid w:val="00D67F55"/>
    <w:rsid w:val="00D72D16"/>
    <w:rsid w:val="00D77597"/>
    <w:rsid w:val="00D82CB4"/>
    <w:rsid w:val="00D93B0F"/>
    <w:rsid w:val="00DA48C7"/>
    <w:rsid w:val="00DC4CAA"/>
    <w:rsid w:val="00DF361D"/>
    <w:rsid w:val="00E25521"/>
    <w:rsid w:val="00E332AE"/>
    <w:rsid w:val="00E410F2"/>
    <w:rsid w:val="00E52821"/>
    <w:rsid w:val="00E54AF1"/>
    <w:rsid w:val="00E55E71"/>
    <w:rsid w:val="00E76AB3"/>
    <w:rsid w:val="00E83785"/>
    <w:rsid w:val="00E8428F"/>
    <w:rsid w:val="00E93F7E"/>
    <w:rsid w:val="00E97E94"/>
    <w:rsid w:val="00ED2F37"/>
    <w:rsid w:val="00EE37CA"/>
    <w:rsid w:val="00F02AA3"/>
    <w:rsid w:val="00F24545"/>
    <w:rsid w:val="00F3351C"/>
    <w:rsid w:val="00F42F76"/>
    <w:rsid w:val="00F45AF7"/>
    <w:rsid w:val="00F47E94"/>
    <w:rsid w:val="00F54752"/>
    <w:rsid w:val="00F55633"/>
    <w:rsid w:val="00F87B9E"/>
    <w:rsid w:val="00F90AD9"/>
    <w:rsid w:val="00FA22D3"/>
    <w:rsid w:val="00FE0779"/>
    <w:rsid w:val="00FF1DA7"/>
    <w:rsid w:val="00FF314A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13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13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3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137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2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2014-01-15T21:12:00Z</dcterms:created>
  <dcterms:modified xsi:type="dcterms:W3CDTF">2014-01-15T23:45:00Z</dcterms:modified>
</cp:coreProperties>
</file>