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8DC4303" w14:textId="77777777" w:rsidR="00060C82" w:rsidRDefault="004F3143" w:rsidP="004F3143">
      <w:pPr>
        <w:jc w:val="center"/>
        <w:rPr>
          <w:b/>
          <w:u w:val="single"/>
        </w:rPr>
      </w:pPr>
      <w:commentRangeStart w:id="0"/>
      <w:r w:rsidRPr="004F3143">
        <w:rPr>
          <w:b/>
          <w:u w:val="single"/>
        </w:rPr>
        <w:t>Homework</w:t>
      </w:r>
      <w:commentRangeEnd w:id="0"/>
      <w:r w:rsidR="00A13171">
        <w:rPr>
          <w:rStyle w:val="CommentReference"/>
        </w:rPr>
        <w:commentReference w:id="0"/>
      </w:r>
      <w:r w:rsidRPr="004F3143">
        <w:rPr>
          <w:b/>
          <w:u w:val="single"/>
        </w:rPr>
        <w:t xml:space="preserve"> #1</w:t>
      </w:r>
    </w:p>
    <w:p w14:paraId="6503AB32" w14:textId="77777777" w:rsidR="00390D56" w:rsidRDefault="00390D56" w:rsidP="004F3143"/>
    <w:p w14:paraId="58CB8696" w14:textId="77777777" w:rsidR="009C6DB5" w:rsidRDefault="004F3143" w:rsidP="009C6DB5">
      <w:commentRangeStart w:id="1"/>
      <w:r>
        <w:t>1</w:t>
      </w:r>
      <w:commentRangeEnd w:id="1"/>
      <w:r w:rsidR="0054002A">
        <w:rPr>
          <w:rStyle w:val="CommentReference"/>
        </w:rPr>
        <w:commentReference w:id="1"/>
      </w:r>
      <w:r>
        <w:t>.</w:t>
      </w:r>
      <w:r w:rsidR="009C6DB5">
        <w:t xml:space="preserve"> In order to determine why it is valid to dichotomize the time</w:t>
      </w:r>
      <w:r w:rsidR="009C6DB5" w:rsidRPr="009C6DB5">
        <w:t xml:space="preserve"> </w:t>
      </w:r>
      <w:r w:rsidR="009C6DB5" w:rsidRPr="008C060B">
        <w:t xml:space="preserve">to death according to death within 5 years of </w:t>
      </w:r>
      <w:r w:rsidR="009C6DB5">
        <w:t>study enrollment, we cross-tabulated the binary variables</w:t>
      </w:r>
      <w:r w:rsidR="00F57F7B">
        <w:t xml:space="preserve"> which indicated</w:t>
      </w:r>
      <w:r w:rsidR="009C6DB5">
        <w:t xml:space="preserve"> </w:t>
      </w:r>
      <w:r w:rsidR="00F57F7B">
        <w:t>whether or not a patient</w:t>
      </w:r>
      <w:r w:rsidR="009C6DB5">
        <w:t xml:space="preserve"> survived greater than 5 years after the start of enrollment</w:t>
      </w:r>
      <w:r w:rsidR="00F57F7B">
        <w:t xml:space="preserve"> and whether or not a </w:t>
      </w:r>
      <w:r w:rsidR="00F67768">
        <w:t>patient was observed to die during the study. If the patient was not observed to die during the study because the study ended before they died, then that patient’s time to death was censored.</w:t>
      </w:r>
    </w:p>
    <w:tbl>
      <w:tblPr>
        <w:tblStyle w:val="TableGrid"/>
        <w:tblW w:w="0" w:type="auto"/>
        <w:tblLook w:val="04A0" w:firstRow="1" w:lastRow="0" w:firstColumn="1" w:lastColumn="0" w:noHBand="0" w:noVBand="1"/>
      </w:tblPr>
      <w:tblGrid>
        <w:gridCol w:w="3116"/>
        <w:gridCol w:w="3117"/>
        <w:gridCol w:w="3117"/>
      </w:tblGrid>
      <w:tr w:rsidR="009C6DB5" w14:paraId="56A0DA44" w14:textId="77777777" w:rsidTr="009C6DB5">
        <w:tc>
          <w:tcPr>
            <w:tcW w:w="3116" w:type="dxa"/>
          </w:tcPr>
          <w:p w14:paraId="12F71823" w14:textId="77777777" w:rsidR="009C6DB5" w:rsidRDefault="009C6DB5" w:rsidP="004F3143"/>
        </w:tc>
        <w:tc>
          <w:tcPr>
            <w:tcW w:w="3117" w:type="dxa"/>
          </w:tcPr>
          <w:p w14:paraId="2C65C2EB" w14:textId="77777777" w:rsidR="009C6DB5" w:rsidRDefault="00F67768" w:rsidP="004F3143">
            <w:r>
              <w:t>Observed to Die During Study (Uncensored Time to Death)</w:t>
            </w:r>
          </w:p>
        </w:tc>
        <w:tc>
          <w:tcPr>
            <w:tcW w:w="3117" w:type="dxa"/>
          </w:tcPr>
          <w:p w14:paraId="56F380CB" w14:textId="77777777" w:rsidR="009C6DB5" w:rsidRDefault="00F67768" w:rsidP="004F3143">
            <w:r>
              <w:t>Not Observed to Die During Study (Censored Time to Death)</w:t>
            </w:r>
          </w:p>
        </w:tc>
      </w:tr>
      <w:tr w:rsidR="009C6DB5" w14:paraId="3C4009DF" w14:textId="77777777" w:rsidTr="009C6DB5">
        <w:tc>
          <w:tcPr>
            <w:tcW w:w="3116" w:type="dxa"/>
          </w:tcPr>
          <w:p w14:paraId="73E23978" w14:textId="77777777" w:rsidR="009C6DB5" w:rsidRDefault="009C6DB5" w:rsidP="00FD776D">
            <w:r>
              <w:t>Survive</w:t>
            </w:r>
            <w:r w:rsidR="00FD776D">
              <w:t>d</w:t>
            </w:r>
            <w:r>
              <w:t xml:space="preserve"> </w:t>
            </w:r>
            <w:r w:rsidR="00FD776D">
              <w:t>Less</w:t>
            </w:r>
            <w:r>
              <w:t xml:space="preserve"> Than 5 Years After Start of Enrollment</w:t>
            </w:r>
          </w:p>
        </w:tc>
        <w:tc>
          <w:tcPr>
            <w:tcW w:w="3117" w:type="dxa"/>
          </w:tcPr>
          <w:p w14:paraId="48C39778" w14:textId="77777777" w:rsidR="009C6DB5" w:rsidRDefault="00FD776D" w:rsidP="009C6DB5">
            <w:r>
              <w:t>121</w:t>
            </w:r>
          </w:p>
        </w:tc>
        <w:tc>
          <w:tcPr>
            <w:tcW w:w="3117" w:type="dxa"/>
          </w:tcPr>
          <w:p w14:paraId="1296BF92" w14:textId="77777777" w:rsidR="009C6DB5" w:rsidRDefault="00FD776D" w:rsidP="009C6DB5">
            <w:r>
              <w:t>0</w:t>
            </w:r>
          </w:p>
        </w:tc>
      </w:tr>
      <w:tr w:rsidR="005968A4" w14:paraId="77975A9B" w14:textId="77777777" w:rsidTr="009C6DB5">
        <w:tc>
          <w:tcPr>
            <w:tcW w:w="3116" w:type="dxa"/>
          </w:tcPr>
          <w:p w14:paraId="7FC794F0" w14:textId="77777777" w:rsidR="005968A4" w:rsidRDefault="005968A4" w:rsidP="005968A4">
            <w:r>
              <w:t>Survived Greater Than 5 Years After Start of Enrollment</w:t>
            </w:r>
          </w:p>
        </w:tc>
        <w:tc>
          <w:tcPr>
            <w:tcW w:w="3117" w:type="dxa"/>
          </w:tcPr>
          <w:p w14:paraId="26A9AEBB" w14:textId="77777777" w:rsidR="005968A4" w:rsidRDefault="005968A4" w:rsidP="005968A4">
            <w:r>
              <w:t>12</w:t>
            </w:r>
          </w:p>
        </w:tc>
        <w:tc>
          <w:tcPr>
            <w:tcW w:w="3117" w:type="dxa"/>
          </w:tcPr>
          <w:p w14:paraId="56A0F301" w14:textId="77777777" w:rsidR="005968A4" w:rsidRDefault="005968A4" w:rsidP="005968A4">
            <w:r>
              <w:t>602</w:t>
            </w:r>
          </w:p>
        </w:tc>
      </w:tr>
    </w:tbl>
    <w:p w14:paraId="047BE612" w14:textId="77777777" w:rsidR="009C6DB5" w:rsidRDefault="009C6DB5" w:rsidP="004F3143"/>
    <w:p w14:paraId="2035FA76" w14:textId="77777777" w:rsidR="00E81DC5" w:rsidRDefault="008C060B" w:rsidP="004F3143">
      <w:r w:rsidRPr="008C060B">
        <w:t xml:space="preserve">It is valid to dichotomize the time to death according to death within 5 years of </w:t>
      </w:r>
      <w:r w:rsidR="00115789">
        <w:t>study enrollment</w:t>
      </w:r>
      <w:r w:rsidRPr="008C060B">
        <w:t xml:space="preserve"> because all right censoring of the observations of time to death occur for patients who have already been </w:t>
      </w:r>
      <w:r w:rsidR="00115789">
        <w:t>enrolled</w:t>
      </w:r>
      <w:r w:rsidRPr="008C060B">
        <w:t xml:space="preserve"> for at least 5 years. </w:t>
      </w:r>
      <w:r w:rsidR="00FD776D">
        <w:t xml:space="preserve">This is clear from the above table, which shows that for each of the 121 patients who survived less than 5 years after the start of enrollment, death was observed during the study, so there was no censoring of the time to death in this population. </w:t>
      </w:r>
      <w:r w:rsidR="005968A4">
        <w:t xml:space="preserve">By contrast, of the 614 patients who survived greater than 5 years after the start of enrollment, </w:t>
      </w:r>
      <w:r w:rsidR="004F6A95">
        <w:t>only 12 patients were observed to die during the study, while the remaining 602 patients were not observed to die during the study. So for all 602 of these patients, their time to death is censored, but we can say with certainty that it is greater than 5 years.</w:t>
      </w:r>
    </w:p>
    <w:p w14:paraId="51D64401" w14:textId="77777777" w:rsidR="009C6DB5" w:rsidRDefault="009C6DB5" w:rsidP="004F3143"/>
    <w:p w14:paraId="23FBAA9D" w14:textId="77777777" w:rsidR="00390D56" w:rsidRDefault="00390D56" w:rsidP="004F3143"/>
    <w:p w14:paraId="08CD111F" w14:textId="77777777" w:rsidR="003635E2" w:rsidRDefault="003635E2">
      <w:r>
        <w:br w:type="page"/>
      </w:r>
    </w:p>
    <w:p w14:paraId="3E167BB3" w14:textId="77777777" w:rsidR="00F22115" w:rsidRPr="002F5844" w:rsidRDefault="004F3143" w:rsidP="004F3143">
      <w:commentRangeStart w:id="2"/>
      <w:r>
        <w:lastRenderedPageBreak/>
        <w:t>2</w:t>
      </w:r>
      <w:commentRangeEnd w:id="2"/>
      <w:r w:rsidR="0054002A">
        <w:rPr>
          <w:rStyle w:val="CommentReference"/>
        </w:rPr>
        <w:commentReference w:id="2"/>
      </w:r>
      <w:r>
        <w:t>.</w:t>
      </w:r>
      <w:r w:rsidR="00AD4DE3">
        <w:t xml:space="preserve"> </w:t>
      </w:r>
      <w:r w:rsidR="00F22115" w:rsidRPr="00390D56">
        <w:rPr>
          <w:b/>
        </w:rPr>
        <w:t>Table 1: Descriptive Statistics</w:t>
      </w:r>
      <w:r w:rsidR="004716B9" w:rsidRPr="00390D56">
        <w:rPr>
          <w:b/>
        </w:rPr>
        <w:t xml:space="preserve"> Dichotomized</w:t>
      </w:r>
      <w:r w:rsidR="00F22115" w:rsidRPr="00390D56">
        <w:rPr>
          <w:b/>
        </w:rPr>
        <w:t xml:space="preserve"> by LDL Level</w:t>
      </w:r>
    </w:p>
    <w:tbl>
      <w:tblPr>
        <w:tblStyle w:val="TableGrid"/>
        <w:tblW w:w="11340" w:type="dxa"/>
        <w:tblInd w:w="-365" w:type="dxa"/>
        <w:tblLayout w:type="fixed"/>
        <w:tblLook w:val="04A0" w:firstRow="1" w:lastRow="0" w:firstColumn="1" w:lastColumn="0" w:noHBand="0" w:noVBand="1"/>
      </w:tblPr>
      <w:tblGrid>
        <w:gridCol w:w="1260"/>
        <w:gridCol w:w="810"/>
        <w:gridCol w:w="810"/>
        <w:gridCol w:w="810"/>
        <w:gridCol w:w="720"/>
        <w:gridCol w:w="810"/>
        <w:gridCol w:w="990"/>
        <w:gridCol w:w="900"/>
        <w:gridCol w:w="900"/>
        <w:gridCol w:w="720"/>
        <w:gridCol w:w="630"/>
        <w:gridCol w:w="990"/>
        <w:gridCol w:w="990"/>
      </w:tblGrid>
      <w:tr w:rsidR="002210CC" w14:paraId="2496E41B" w14:textId="77777777" w:rsidTr="0069079A">
        <w:trPr>
          <w:trHeight w:val="784"/>
        </w:trPr>
        <w:tc>
          <w:tcPr>
            <w:tcW w:w="1260" w:type="dxa"/>
          </w:tcPr>
          <w:p w14:paraId="7F9446A8" w14:textId="77777777" w:rsidR="002210CC" w:rsidRPr="00B15D63" w:rsidRDefault="002210CC" w:rsidP="002210CC">
            <w:pPr>
              <w:rPr>
                <w:b/>
              </w:rPr>
            </w:pPr>
          </w:p>
        </w:tc>
        <w:tc>
          <w:tcPr>
            <w:tcW w:w="4950" w:type="dxa"/>
            <w:gridSpan w:val="6"/>
          </w:tcPr>
          <w:p w14:paraId="7667A9EB" w14:textId="77777777" w:rsidR="002210CC" w:rsidRDefault="002210CC" w:rsidP="002210CC">
            <w:pPr>
              <w:rPr>
                <w:b/>
              </w:rPr>
            </w:pPr>
            <w:r>
              <w:rPr>
                <w:b/>
              </w:rPr>
              <w:t>Low LDL (LDL &lt; 160 mg/</w:t>
            </w:r>
            <w:proofErr w:type="spellStart"/>
            <w:r>
              <w:rPr>
                <w:b/>
              </w:rPr>
              <w:t>dL</w:t>
            </w:r>
            <w:proofErr w:type="spellEnd"/>
            <w:r>
              <w:rPr>
                <w:b/>
              </w:rPr>
              <w:t>)</w:t>
            </w:r>
          </w:p>
          <w:p w14:paraId="01EE8533" w14:textId="77777777" w:rsidR="002210CC" w:rsidRPr="00B15D63" w:rsidRDefault="002210CC" w:rsidP="002210CC">
            <w:pPr>
              <w:rPr>
                <w:b/>
              </w:rPr>
            </w:pPr>
            <w:proofErr w:type="gramStart"/>
            <w:r>
              <w:rPr>
                <w:b/>
              </w:rPr>
              <w:t>n</w:t>
            </w:r>
            <w:proofErr w:type="gramEnd"/>
            <w:r>
              <w:rPr>
                <w:b/>
              </w:rPr>
              <w:t>=618</w:t>
            </w:r>
          </w:p>
        </w:tc>
        <w:tc>
          <w:tcPr>
            <w:tcW w:w="5130" w:type="dxa"/>
            <w:gridSpan w:val="6"/>
          </w:tcPr>
          <w:p w14:paraId="3678AD80" w14:textId="77777777" w:rsidR="002210CC" w:rsidRDefault="002210CC" w:rsidP="002210CC">
            <w:pPr>
              <w:rPr>
                <w:b/>
              </w:rPr>
            </w:pPr>
            <w:r>
              <w:rPr>
                <w:b/>
              </w:rPr>
              <w:t>High LDL (LDL ≥ 160 mg/</w:t>
            </w:r>
            <w:proofErr w:type="spellStart"/>
            <w:r>
              <w:rPr>
                <w:b/>
              </w:rPr>
              <w:t>dL</w:t>
            </w:r>
            <w:proofErr w:type="spellEnd"/>
            <w:r>
              <w:rPr>
                <w:b/>
              </w:rPr>
              <w:t>)</w:t>
            </w:r>
          </w:p>
          <w:p w14:paraId="4EA4D547" w14:textId="77777777" w:rsidR="002210CC" w:rsidRPr="00B15D63" w:rsidRDefault="002210CC" w:rsidP="002210CC">
            <w:pPr>
              <w:rPr>
                <w:b/>
              </w:rPr>
            </w:pPr>
            <w:proofErr w:type="gramStart"/>
            <w:r>
              <w:rPr>
                <w:b/>
              </w:rPr>
              <w:t>n</w:t>
            </w:r>
            <w:proofErr w:type="gramEnd"/>
            <w:r>
              <w:rPr>
                <w:b/>
              </w:rPr>
              <w:t>=117</w:t>
            </w:r>
          </w:p>
        </w:tc>
      </w:tr>
      <w:tr w:rsidR="0069079A" w14:paraId="067FEF2C" w14:textId="77777777" w:rsidTr="0069079A">
        <w:trPr>
          <w:trHeight w:val="784"/>
        </w:trPr>
        <w:tc>
          <w:tcPr>
            <w:tcW w:w="1260" w:type="dxa"/>
          </w:tcPr>
          <w:p w14:paraId="4BB99515" w14:textId="77777777" w:rsidR="002210CC" w:rsidRPr="00B15D63" w:rsidRDefault="002210CC" w:rsidP="002210CC">
            <w:pPr>
              <w:rPr>
                <w:b/>
              </w:rPr>
            </w:pPr>
            <w:r w:rsidRPr="00B15D63">
              <w:rPr>
                <w:b/>
              </w:rPr>
              <w:t>Variable</w:t>
            </w:r>
          </w:p>
          <w:p w14:paraId="29992617" w14:textId="77777777" w:rsidR="002210CC" w:rsidRPr="00B15D63" w:rsidRDefault="002210CC" w:rsidP="002210CC">
            <w:pPr>
              <w:rPr>
                <w:b/>
              </w:rPr>
            </w:pPr>
            <w:r>
              <w:rPr>
                <w:b/>
              </w:rPr>
              <w:t>(</w:t>
            </w:r>
            <w:proofErr w:type="gramStart"/>
            <w:r>
              <w:rPr>
                <w:b/>
              </w:rPr>
              <w:t>units</w:t>
            </w:r>
            <w:proofErr w:type="gramEnd"/>
            <w:r>
              <w:rPr>
                <w:b/>
              </w:rPr>
              <w:t>, number missing)</w:t>
            </w:r>
          </w:p>
        </w:tc>
        <w:tc>
          <w:tcPr>
            <w:tcW w:w="810" w:type="dxa"/>
          </w:tcPr>
          <w:p w14:paraId="73570390" w14:textId="77777777" w:rsidR="002210CC" w:rsidRPr="00B15D63" w:rsidRDefault="002210CC" w:rsidP="002210CC">
            <w:pPr>
              <w:rPr>
                <w:b/>
              </w:rPr>
            </w:pPr>
            <w:proofErr w:type="gramStart"/>
            <w:r>
              <w:rPr>
                <w:b/>
              </w:rPr>
              <w:t>n</w:t>
            </w:r>
            <w:proofErr w:type="gramEnd"/>
            <w:r>
              <w:rPr>
                <w:b/>
              </w:rPr>
              <w:t xml:space="preserve"> (%)</w:t>
            </w:r>
          </w:p>
        </w:tc>
        <w:tc>
          <w:tcPr>
            <w:tcW w:w="810" w:type="dxa"/>
          </w:tcPr>
          <w:p w14:paraId="6C30A8E4" w14:textId="77777777" w:rsidR="002210CC" w:rsidRPr="00B15D63" w:rsidRDefault="002210CC" w:rsidP="002210CC">
            <w:pPr>
              <w:rPr>
                <w:b/>
              </w:rPr>
            </w:pPr>
            <w:r>
              <w:rPr>
                <w:b/>
              </w:rPr>
              <w:t>M</w:t>
            </w:r>
            <w:r w:rsidRPr="00B15D63">
              <w:rPr>
                <w:b/>
              </w:rPr>
              <w:t>ean</w:t>
            </w:r>
          </w:p>
        </w:tc>
        <w:tc>
          <w:tcPr>
            <w:tcW w:w="810" w:type="dxa"/>
          </w:tcPr>
          <w:p w14:paraId="21CC1D27" w14:textId="77777777" w:rsidR="002210CC" w:rsidRPr="00B15D63" w:rsidRDefault="002210CC" w:rsidP="002210CC">
            <w:pPr>
              <w:rPr>
                <w:b/>
              </w:rPr>
            </w:pPr>
            <w:r>
              <w:rPr>
                <w:b/>
              </w:rPr>
              <w:t>SD</w:t>
            </w:r>
          </w:p>
        </w:tc>
        <w:tc>
          <w:tcPr>
            <w:tcW w:w="720" w:type="dxa"/>
          </w:tcPr>
          <w:p w14:paraId="2E87316B" w14:textId="77777777" w:rsidR="002210CC" w:rsidRPr="00B15D63" w:rsidRDefault="002210CC" w:rsidP="002210CC">
            <w:pPr>
              <w:rPr>
                <w:b/>
              </w:rPr>
            </w:pPr>
            <w:r>
              <w:rPr>
                <w:b/>
              </w:rPr>
              <w:t>M</w:t>
            </w:r>
            <w:r w:rsidRPr="00B15D63">
              <w:rPr>
                <w:b/>
              </w:rPr>
              <w:t>in</w:t>
            </w:r>
          </w:p>
        </w:tc>
        <w:tc>
          <w:tcPr>
            <w:tcW w:w="810" w:type="dxa"/>
          </w:tcPr>
          <w:p w14:paraId="137F9DF5" w14:textId="77777777" w:rsidR="002210CC" w:rsidRPr="00B15D63" w:rsidRDefault="002210CC" w:rsidP="002210CC">
            <w:pPr>
              <w:rPr>
                <w:b/>
              </w:rPr>
            </w:pPr>
            <w:r>
              <w:rPr>
                <w:b/>
              </w:rPr>
              <w:t>M</w:t>
            </w:r>
            <w:r w:rsidRPr="00B15D63">
              <w:rPr>
                <w:b/>
              </w:rPr>
              <w:t>ax</w:t>
            </w:r>
          </w:p>
        </w:tc>
        <w:tc>
          <w:tcPr>
            <w:tcW w:w="990" w:type="dxa"/>
          </w:tcPr>
          <w:p w14:paraId="21DB6971" w14:textId="77777777" w:rsidR="002210CC" w:rsidRPr="00B15D63" w:rsidRDefault="002210CC" w:rsidP="002210CC">
            <w:pPr>
              <w:rPr>
                <w:b/>
              </w:rPr>
            </w:pPr>
            <w:r>
              <w:rPr>
                <w:b/>
              </w:rPr>
              <w:t>Median</w:t>
            </w:r>
          </w:p>
        </w:tc>
        <w:tc>
          <w:tcPr>
            <w:tcW w:w="900" w:type="dxa"/>
          </w:tcPr>
          <w:p w14:paraId="7968D8AF" w14:textId="77777777" w:rsidR="002210CC" w:rsidRPr="00B15D63" w:rsidRDefault="002210CC" w:rsidP="002210CC">
            <w:pPr>
              <w:rPr>
                <w:b/>
              </w:rPr>
            </w:pPr>
            <w:proofErr w:type="gramStart"/>
            <w:r>
              <w:rPr>
                <w:b/>
              </w:rPr>
              <w:t>n</w:t>
            </w:r>
            <w:proofErr w:type="gramEnd"/>
            <w:r>
              <w:rPr>
                <w:b/>
              </w:rPr>
              <w:t xml:space="preserve"> (%)</w:t>
            </w:r>
          </w:p>
        </w:tc>
        <w:tc>
          <w:tcPr>
            <w:tcW w:w="900" w:type="dxa"/>
          </w:tcPr>
          <w:p w14:paraId="464D9A19" w14:textId="77777777" w:rsidR="002210CC" w:rsidRPr="00B15D63" w:rsidRDefault="002210CC" w:rsidP="002210CC">
            <w:pPr>
              <w:rPr>
                <w:b/>
              </w:rPr>
            </w:pPr>
            <w:r>
              <w:rPr>
                <w:b/>
              </w:rPr>
              <w:t>M</w:t>
            </w:r>
            <w:r w:rsidRPr="00B15D63">
              <w:rPr>
                <w:b/>
              </w:rPr>
              <w:t>ean</w:t>
            </w:r>
          </w:p>
        </w:tc>
        <w:tc>
          <w:tcPr>
            <w:tcW w:w="720" w:type="dxa"/>
          </w:tcPr>
          <w:p w14:paraId="2A1D99E9" w14:textId="77777777" w:rsidR="002210CC" w:rsidRPr="00B15D63" w:rsidRDefault="002210CC" w:rsidP="002210CC">
            <w:pPr>
              <w:rPr>
                <w:b/>
              </w:rPr>
            </w:pPr>
            <w:r>
              <w:rPr>
                <w:b/>
              </w:rPr>
              <w:t>SD</w:t>
            </w:r>
          </w:p>
        </w:tc>
        <w:tc>
          <w:tcPr>
            <w:tcW w:w="630" w:type="dxa"/>
          </w:tcPr>
          <w:p w14:paraId="4CA6378A" w14:textId="77777777" w:rsidR="002210CC" w:rsidRPr="00B15D63" w:rsidRDefault="002210CC" w:rsidP="002210CC">
            <w:pPr>
              <w:rPr>
                <w:b/>
              </w:rPr>
            </w:pPr>
            <w:r>
              <w:rPr>
                <w:b/>
              </w:rPr>
              <w:t>M</w:t>
            </w:r>
            <w:r w:rsidRPr="00B15D63">
              <w:rPr>
                <w:b/>
              </w:rPr>
              <w:t>in</w:t>
            </w:r>
          </w:p>
        </w:tc>
        <w:tc>
          <w:tcPr>
            <w:tcW w:w="990" w:type="dxa"/>
          </w:tcPr>
          <w:p w14:paraId="1FAD964E" w14:textId="77777777" w:rsidR="002210CC" w:rsidRPr="00B15D63" w:rsidRDefault="002210CC" w:rsidP="002210CC">
            <w:pPr>
              <w:rPr>
                <w:b/>
              </w:rPr>
            </w:pPr>
            <w:r>
              <w:rPr>
                <w:b/>
              </w:rPr>
              <w:t>M</w:t>
            </w:r>
            <w:r w:rsidRPr="00B15D63">
              <w:rPr>
                <w:b/>
              </w:rPr>
              <w:t>ax</w:t>
            </w:r>
          </w:p>
        </w:tc>
        <w:tc>
          <w:tcPr>
            <w:tcW w:w="990" w:type="dxa"/>
          </w:tcPr>
          <w:p w14:paraId="616BFAC3" w14:textId="77777777" w:rsidR="002210CC" w:rsidRPr="00B15D63" w:rsidRDefault="002210CC" w:rsidP="002210CC">
            <w:pPr>
              <w:rPr>
                <w:b/>
              </w:rPr>
            </w:pPr>
            <w:r>
              <w:rPr>
                <w:b/>
              </w:rPr>
              <w:t>Median</w:t>
            </w:r>
          </w:p>
        </w:tc>
      </w:tr>
      <w:tr w:rsidR="0069079A" w14:paraId="04913BD8" w14:textId="77777777" w:rsidTr="0069079A">
        <w:trPr>
          <w:trHeight w:val="265"/>
        </w:trPr>
        <w:tc>
          <w:tcPr>
            <w:tcW w:w="1260" w:type="dxa"/>
          </w:tcPr>
          <w:p w14:paraId="750726C6" w14:textId="77777777" w:rsidR="002210CC" w:rsidRPr="00B15D63" w:rsidRDefault="002210CC" w:rsidP="002210CC">
            <w:pPr>
              <w:rPr>
                <w:b/>
              </w:rPr>
            </w:pPr>
            <w:r w:rsidRPr="00B15D63">
              <w:rPr>
                <w:b/>
              </w:rPr>
              <w:t>Age (in years)</w:t>
            </w:r>
          </w:p>
        </w:tc>
        <w:tc>
          <w:tcPr>
            <w:tcW w:w="810" w:type="dxa"/>
          </w:tcPr>
          <w:p w14:paraId="2E67782F" w14:textId="77777777" w:rsidR="002210CC" w:rsidRPr="008C060B" w:rsidRDefault="002210CC" w:rsidP="002210CC"/>
        </w:tc>
        <w:tc>
          <w:tcPr>
            <w:tcW w:w="810" w:type="dxa"/>
          </w:tcPr>
          <w:p w14:paraId="527A7F76" w14:textId="77777777" w:rsidR="002210CC" w:rsidRDefault="002210CC" w:rsidP="002210CC">
            <w:r w:rsidRPr="008C060B">
              <w:t>74.51</w:t>
            </w:r>
          </w:p>
        </w:tc>
        <w:tc>
          <w:tcPr>
            <w:tcW w:w="810" w:type="dxa"/>
          </w:tcPr>
          <w:p w14:paraId="4078AA48" w14:textId="77777777" w:rsidR="002210CC" w:rsidRDefault="002210CC" w:rsidP="002210CC">
            <w:r w:rsidRPr="008C060B">
              <w:t>5.39</w:t>
            </w:r>
          </w:p>
        </w:tc>
        <w:tc>
          <w:tcPr>
            <w:tcW w:w="720" w:type="dxa"/>
          </w:tcPr>
          <w:p w14:paraId="702972E1" w14:textId="77777777" w:rsidR="002210CC" w:rsidRDefault="002210CC" w:rsidP="002210CC">
            <w:r>
              <w:t>65</w:t>
            </w:r>
          </w:p>
        </w:tc>
        <w:tc>
          <w:tcPr>
            <w:tcW w:w="810" w:type="dxa"/>
          </w:tcPr>
          <w:p w14:paraId="01292312" w14:textId="77777777" w:rsidR="002210CC" w:rsidRDefault="002210CC" w:rsidP="002210CC">
            <w:r w:rsidRPr="008C060B">
              <w:t>99</w:t>
            </w:r>
          </w:p>
        </w:tc>
        <w:tc>
          <w:tcPr>
            <w:tcW w:w="990" w:type="dxa"/>
          </w:tcPr>
          <w:p w14:paraId="22330A6F" w14:textId="77777777" w:rsidR="002210CC" w:rsidRDefault="002210CC" w:rsidP="002210CC">
            <w:r>
              <w:t>73</w:t>
            </w:r>
          </w:p>
        </w:tc>
        <w:tc>
          <w:tcPr>
            <w:tcW w:w="900" w:type="dxa"/>
          </w:tcPr>
          <w:p w14:paraId="1B241434" w14:textId="77777777" w:rsidR="002210CC" w:rsidRPr="008C060B" w:rsidRDefault="002210CC" w:rsidP="002210CC"/>
        </w:tc>
        <w:tc>
          <w:tcPr>
            <w:tcW w:w="900" w:type="dxa"/>
          </w:tcPr>
          <w:p w14:paraId="5227BFA1" w14:textId="77777777" w:rsidR="002210CC" w:rsidRDefault="002210CC" w:rsidP="002210CC">
            <w:r w:rsidRPr="008C060B">
              <w:t>74.8</w:t>
            </w:r>
            <w:r>
              <w:t>4</w:t>
            </w:r>
          </w:p>
        </w:tc>
        <w:tc>
          <w:tcPr>
            <w:tcW w:w="720" w:type="dxa"/>
          </w:tcPr>
          <w:p w14:paraId="59EF768A" w14:textId="77777777" w:rsidR="002210CC" w:rsidRDefault="002210CC" w:rsidP="002210CC">
            <w:r w:rsidRPr="008C060B">
              <w:t>5.7</w:t>
            </w:r>
            <w:r>
              <w:t>8</w:t>
            </w:r>
          </w:p>
        </w:tc>
        <w:tc>
          <w:tcPr>
            <w:tcW w:w="630" w:type="dxa"/>
          </w:tcPr>
          <w:p w14:paraId="52A375A2" w14:textId="77777777" w:rsidR="002210CC" w:rsidRDefault="002210CC" w:rsidP="002210CC">
            <w:r>
              <w:t>65</w:t>
            </w:r>
          </w:p>
        </w:tc>
        <w:tc>
          <w:tcPr>
            <w:tcW w:w="990" w:type="dxa"/>
          </w:tcPr>
          <w:p w14:paraId="63E49819" w14:textId="77777777" w:rsidR="002210CC" w:rsidRDefault="002210CC" w:rsidP="002210CC">
            <w:r>
              <w:t>94</w:t>
            </w:r>
          </w:p>
        </w:tc>
        <w:tc>
          <w:tcPr>
            <w:tcW w:w="990" w:type="dxa"/>
          </w:tcPr>
          <w:p w14:paraId="53ABE587" w14:textId="77777777" w:rsidR="002210CC" w:rsidRDefault="002210CC" w:rsidP="002210CC">
            <w:r>
              <w:t>74</w:t>
            </w:r>
          </w:p>
        </w:tc>
      </w:tr>
      <w:tr w:rsidR="0069079A" w14:paraId="659C8D87" w14:textId="77777777" w:rsidTr="0069079A">
        <w:trPr>
          <w:trHeight w:val="251"/>
        </w:trPr>
        <w:tc>
          <w:tcPr>
            <w:tcW w:w="1260" w:type="dxa"/>
          </w:tcPr>
          <w:p w14:paraId="52B1921A" w14:textId="77777777" w:rsidR="002210CC" w:rsidRPr="00B15D63" w:rsidRDefault="002210CC" w:rsidP="002210CC">
            <w:pPr>
              <w:rPr>
                <w:b/>
              </w:rPr>
            </w:pPr>
            <w:r w:rsidRPr="00B15D63">
              <w:rPr>
                <w:b/>
              </w:rPr>
              <w:t>Weight (in lbs)</w:t>
            </w:r>
          </w:p>
        </w:tc>
        <w:tc>
          <w:tcPr>
            <w:tcW w:w="810" w:type="dxa"/>
          </w:tcPr>
          <w:p w14:paraId="013ED7F9" w14:textId="77777777" w:rsidR="002210CC" w:rsidRDefault="002210CC" w:rsidP="002210CC"/>
        </w:tc>
        <w:tc>
          <w:tcPr>
            <w:tcW w:w="810" w:type="dxa"/>
          </w:tcPr>
          <w:p w14:paraId="62F02DD7" w14:textId="77777777" w:rsidR="002210CC" w:rsidRDefault="002210CC" w:rsidP="002210CC">
            <w:r>
              <w:t>159.4</w:t>
            </w:r>
          </w:p>
        </w:tc>
        <w:tc>
          <w:tcPr>
            <w:tcW w:w="810" w:type="dxa"/>
          </w:tcPr>
          <w:p w14:paraId="331B8EC3" w14:textId="77777777" w:rsidR="002210CC" w:rsidRDefault="002210CC" w:rsidP="002210CC">
            <w:r w:rsidRPr="008C060B">
              <w:t>30.</w:t>
            </w:r>
            <w:r>
              <w:t>78</w:t>
            </w:r>
          </w:p>
        </w:tc>
        <w:tc>
          <w:tcPr>
            <w:tcW w:w="720" w:type="dxa"/>
          </w:tcPr>
          <w:p w14:paraId="4340A53B" w14:textId="77777777" w:rsidR="002210CC" w:rsidRDefault="002210CC" w:rsidP="002210CC">
            <w:r>
              <w:t>86</w:t>
            </w:r>
          </w:p>
        </w:tc>
        <w:tc>
          <w:tcPr>
            <w:tcW w:w="810" w:type="dxa"/>
          </w:tcPr>
          <w:p w14:paraId="220FB2D5" w14:textId="77777777" w:rsidR="002210CC" w:rsidRDefault="002210CC" w:rsidP="002210CC">
            <w:r>
              <w:t>264</w:t>
            </w:r>
          </w:p>
        </w:tc>
        <w:tc>
          <w:tcPr>
            <w:tcW w:w="990" w:type="dxa"/>
          </w:tcPr>
          <w:p w14:paraId="4F4C6C85" w14:textId="77777777" w:rsidR="002210CC" w:rsidRDefault="002210CC" w:rsidP="002210CC">
            <w:r>
              <w:t>158</w:t>
            </w:r>
          </w:p>
        </w:tc>
        <w:tc>
          <w:tcPr>
            <w:tcW w:w="900" w:type="dxa"/>
          </w:tcPr>
          <w:p w14:paraId="41EC0DAC" w14:textId="77777777" w:rsidR="002210CC" w:rsidRPr="008C060B" w:rsidRDefault="002210CC" w:rsidP="002210CC"/>
        </w:tc>
        <w:tc>
          <w:tcPr>
            <w:tcW w:w="900" w:type="dxa"/>
          </w:tcPr>
          <w:p w14:paraId="17D553C8" w14:textId="77777777" w:rsidR="002210CC" w:rsidRDefault="002210CC" w:rsidP="002210CC">
            <w:r w:rsidRPr="008C060B">
              <w:t>163.</w:t>
            </w:r>
            <w:r>
              <w:t>1</w:t>
            </w:r>
          </w:p>
        </w:tc>
        <w:tc>
          <w:tcPr>
            <w:tcW w:w="720" w:type="dxa"/>
          </w:tcPr>
          <w:p w14:paraId="6DFBE064" w14:textId="77777777" w:rsidR="002210CC" w:rsidRDefault="002210CC" w:rsidP="002210CC">
            <w:r>
              <w:t>30.45</w:t>
            </w:r>
          </w:p>
        </w:tc>
        <w:tc>
          <w:tcPr>
            <w:tcW w:w="630" w:type="dxa"/>
          </w:tcPr>
          <w:p w14:paraId="72DC5A21" w14:textId="77777777" w:rsidR="002210CC" w:rsidRDefault="002210CC" w:rsidP="002210CC">
            <w:r>
              <w:t>74</w:t>
            </w:r>
          </w:p>
        </w:tc>
        <w:tc>
          <w:tcPr>
            <w:tcW w:w="990" w:type="dxa"/>
          </w:tcPr>
          <w:p w14:paraId="0A7AA34C" w14:textId="77777777" w:rsidR="002210CC" w:rsidRDefault="002210CC" w:rsidP="002210CC">
            <w:r>
              <w:t>257</w:t>
            </w:r>
          </w:p>
        </w:tc>
        <w:tc>
          <w:tcPr>
            <w:tcW w:w="990" w:type="dxa"/>
          </w:tcPr>
          <w:p w14:paraId="1DD73F1A" w14:textId="77777777" w:rsidR="002210CC" w:rsidRDefault="002210CC" w:rsidP="002210CC">
            <w:r>
              <w:t>158</w:t>
            </w:r>
          </w:p>
        </w:tc>
      </w:tr>
      <w:tr w:rsidR="0069079A" w14:paraId="26290F4F" w14:textId="77777777" w:rsidTr="0069079A">
        <w:trPr>
          <w:trHeight w:val="251"/>
        </w:trPr>
        <w:tc>
          <w:tcPr>
            <w:tcW w:w="1260" w:type="dxa"/>
          </w:tcPr>
          <w:p w14:paraId="41EE6004" w14:textId="77777777" w:rsidR="002210CC" w:rsidRPr="00B15D63" w:rsidRDefault="002210CC" w:rsidP="002210CC">
            <w:pPr>
              <w:rPr>
                <w:b/>
              </w:rPr>
            </w:pPr>
            <w:r w:rsidRPr="00B15D63">
              <w:rPr>
                <w:b/>
              </w:rPr>
              <w:t>Pack Years (in years</w:t>
            </w:r>
            <w:r>
              <w:rPr>
                <w:b/>
              </w:rPr>
              <w:t>, 1 missing</w:t>
            </w:r>
            <w:r w:rsidRPr="00B15D63">
              <w:rPr>
                <w:b/>
              </w:rPr>
              <w:t>)</w:t>
            </w:r>
          </w:p>
        </w:tc>
        <w:tc>
          <w:tcPr>
            <w:tcW w:w="810" w:type="dxa"/>
          </w:tcPr>
          <w:p w14:paraId="70E64979" w14:textId="77777777" w:rsidR="002210CC" w:rsidRPr="008C060B" w:rsidRDefault="002210CC" w:rsidP="002210CC"/>
        </w:tc>
        <w:tc>
          <w:tcPr>
            <w:tcW w:w="810" w:type="dxa"/>
          </w:tcPr>
          <w:p w14:paraId="4D9DA6DC" w14:textId="77777777" w:rsidR="002210CC" w:rsidRDefault="002210CC" w:rsidP="002210CC">
            <w:r w:rsidRPr="008C060B">
              <w:t>19.88</w:t>
            </w:r>
          </w:p>
        </w:tc>
        <w:tc>
          <w:tcPr>
            <w:tcW w:w="810" w:type="dxa"/>
          </w:tcPr>
          <w:p w14:paraId="34172229" w14:textId="77777777" w:rsidR="002210CC" w:rsidRDefault="002210CC" w:rsidP="002210CC">
            <w:r w:rsidRPr="008C060B">
              <w:t>27.6</w:t>
            </w:r>
            <w:r>
              <w:t>2</w:t>
            </w:r>
          </w:p>
        </w:tc>
        <w:tc>
          <w:tcPr>
            <w:tcW w:w="720" w:type="dxa"/>
          </w:tcPr>
          <w:p w14:paraId="7686495F" w14:textId="77777777" w:rsidR="002210CC" w:rsidRDefault="002210CC" w:rsidP="002210CC">
            <w:r>
              <w:t>0</w:t>
            </w:r>
          </w:p>
        </w:tc>
        <w:tc>
          <w:tcPr>
            <w:tcW w:w="810" w:type="dxa"/>
          </w:tcPr>
          <w:p w14:paraId="18B9B07C" w14:textId="77777777" w:rsidR="002210CC" w:rsidRDefault="002210CC" w:rsidP="002210CC">
            <w:r>
              <w:t>240</w:t>
            </w:r>
          </w:p>
        </w:tc>
        <w:tc>
          <w:tcPr>
            <w:tcW w:w="990" w:type="dxa"/>
          </w:tcPr>
          <w:p w14:paraId="26B438F9" w14:textId="77777777" w:rsidR="002210CC" w:rsidRDefault="002210CC" w:rsidP="002210CC">
            <w:r>
              <w:t>7</w:t>
            </w:r>
          </w:p>
        </w:tc>
        <w:tc>
          <w:tcPr>
            <w:tcW w:w="900" w:type="dxa"/>
          </w:tcPr>
          <w:p w14:paraId="6AFA7D93" w14:textId="77777777" w:rsidR="002210CC" w:rsidRDefault="002210CC" w:rsidP="002210CC"/>
        </w:tc>
        <w:tc>
          <w:tcPr>
            <w:tcW w:w="900" w:type="dxa"/>
          </w:tcPr>
          <w:p w14:paraId="26B0576E" w14:textId="77777777" w:rsidR="002210CC" w:rsidRDefault="002210CC" w:rsidP="002210CC">
            <w:r>
              <w:t>18.09</w:t>
            </w:r>
          </w:p>
        </w:tc>
        <w:tc>
          <w:tcPr>
            <w:tcW w:w="720" w:type="dxa"/>
          </w:tcPr>
          <w:p w14:paraId="5616E782" w14:textId="77777777" w:rsidR="002210CC" w:rsidRDefault="002210CC" w:rsidP="002210CC">
            <w:r w:rsidRPr="008C060B">
              <w:t>24.2</w:t>
            </w:r>
            <w:r>
              <w:t>6</w:t>
            </w:r>
          </w:p>
        </w:tc>
        <w:tc>
          <w:tcPr>
            <w:tcW w:w="630" w:type="dxa"/>
          </w:tcPr>
          <w:p w14:paraId="47BC4A2E" w14:textId="77777777" w:rsidR="002210CC" w:rsidRDefault="002210CC" w:rsidP="002210CC">
            <w:r>
              <w:t>0</w:t>
            </w:r>
          </w:p>
        </w:tc>
        <w:tc>
          <w:tcPr>
            <w:tcW w:w="990" w:type="dxa"/>
          </w:tcPr>
          <w:p w14:paraId="1D76AC64" w14:textId="77777777" w:rsidR="002210CC" w:rsidRDefault="002210CC" w:rsidP="002210CC">
            <w:r>
              <w:t>102</w:t>
            </w:r>
          </w:p>
        </w:tc>
        <w:tc>
          <w:tcPr>
            <w:tcW w:w="990" w:type="dxa"/>
          </w:tcPr>
          <w:p w14:paraId="6CC03E75" w14:textId="77777777" w:rsidR="002210CC" w:rsidRDefault="002210CC" w:rsidP="002210CC">
            <w:r w:rsidRPr="008C060B">
              <w:t>3.75</w:t>
            </w:r>
          </w:p>
        </w:tc>
      </w:tr>
      <w:tr w:rsidR="0069079A" w14:paraId="2AB10D9E" w14:textId="77777777" w:rsidTr="0069079A">
        <w:trPr>
          <w:trHeight w:val="518"/>
        </w:trPr>
        <w:tc>
          <w:tcPr>
            <w:tcW w:w="1260" w:type="dxa"/>
          </w:tcPr>
          <w:p w14:paraId="103D0678" w14:textId="77777777" w:rsidR="002210CC" w:rsidRPr="00B15D63" w:rsidRDefault="002210CC" w:rsidP="002210CC">
            <w:pPr>
              <w:rPr>
                <w:b/>
              </w:rPr>
            </w:pPr>
            <w:r w:rsidRPr="00B15D63">
              <w:rPr>
                <w:b/>
              </w:rPr>
              <w:t>Years Since Quitting Smoking (in years)</w:t>
            </w:r>
          </w:p>
        </w:tc>
        <w:tc>
          <w:tcPr>
            <w:tcW w:w="810" w:type="dxa"/>
          </w:tcPr>
          <w:p w14:paraId="102DE8FD" w14:textId="77777777" w:rsidR="002210CC" w:rsidRPr="008C060B" w:rsidRDefault="002210CC" w:rsidP="002210CC"/>
        </w:tc>
        <w:tc>
          <w:tcPr>
            <w:tcW w:w="810" w:type="dxa"/>
          </w:tcPr>
          <w:p w14:paraId="4C4FD8A6" w14:textId="77777777" w:rsidR="002210CC" w:rsidRDefault="002210CC" w:rsidP="002210CC">
            <w:r w:rsidRPr="008C060B">
              <w:t>9.65</w:t>
            </w:r>
            <w:r>
              <w:t>4</w:t>
            </w:r>
          </w:p>
        </w:tc>
        <w:tc>
          <w:tcPr>
            <w:tcW w:w="810" w:type="dxa"/>
          </w:tcPr>
          <w:p w14:paraId="2E372EA0" w14:textId="77777777" w:rsidR="002210CC" w:rsidRDefault="002210CC" w:rsidP="002210CC">
            <w:r w:rsidRPr="008C060B">
              <w:t>14.1</w:t>
            </w:r>
            <w:r>
              <w:t>7</w:t>
            </w:r>
          </w:p>
        </w:tc>
        <w:tc>
          <w:tcPr>
            <w:tcW w:w="720" w:type="dxa"/>
          </w:tcPr>
          <w:p w14:paraId="16046D32" w14:textId="77777777" w:rsidR="002210CC" w:rsidRDefault="002210CC" w:rsidP="002210CC">
            <w:r>
              <w:t>0</w:t>
            </w:r>
          </w:p>
        </w:tc>
        <w:tc>
          <w:tcPr>
            <w:tcW w:w="810" w:type="dxa"/>
          </w:tcPr>
          <w:p w14:paraId="42DDCC10" w14:textId="77777777" w:rsidR="002210CC" w:rsidRDefault="002210CC" w:rsidP="002210CC">
            <w:r>
              <w:t>56</w:t>
            </w:r>
          </w:p>
        </w:tc>
        <w:tc>
          <w:tcPr>
            <w:tcW w:w="990" w:type="dxa"/>
          </w:tcPr>
          <w:p w14:paraId="51EA64CB" w14:textId="77777777" w:rsidR="002210CC" w:rsidRDefault="002210CC" w:rsidP="002210CC">
            <w:r>
              <w:t>0</w:t>
            </w:r>
          </w:p>
        </w:tc>
        <w:tc>
          <w:tcPr>
            <w:tcW w:w="900" w:type="dxa"/>
          </w:tcPr>
          <w:p w14:paraId="28299790" w14:textId="77777777" w:rsidR="002210CC" w:rsidRPr="008C060B" w:rsidRDefault="002210CC" w:rsidP="002210CC"/>
        </w:tc>
        <w:tc>
          <w:tcPr>
            <w:tcW w:w="900" w:type="dxa"/>
          </w:tcPr>
          <w:p w14:paraId="5EA844A7" w14:textId="77777777" w:rsidR="002210CC" w:rsidRDefault="002210CC" w:rsidP="002210CC">
            <w:r w:rsidRPr="008C060B">
              <w:t>9.70</w:t>
            </w:r>
            <w:r>
              <w:t>1</w:t>
            </w:r>
          </w:p>
        </w:tc>
        <w:tc>
          <w:tcPr>
            <w:tcW w:w="720" w:type="dxa"/>
          </w:tcPr>
          <w:p w14:paraId="785EB699" w14:textId="77777777" w:rsidR="002210CC" w:rsidRDefault="002210CC" w:rsidP="002210CC">
            <w:r w:rsidRPr="008C060B">
              <w:t>13.81</w:t>
            </w:r>
          </w:p>
        </w:tc>
        <w:tc>
          <w:tcPr>
            <w:tcW w:w="630" w:type="dxa"/>
          </w:tcPr>
          <w:p w14:paraId="648FF60E" w14:textId="77777777" w:rsidR="002210CC" w:rsidRDefault="002210CC" w:rsidP="002210CC">
            <w:r>
              <w:t>0</w:t>
            </w:r>
          </w:p>
        </w:tc>
        <w:tc>
          <w:tcPr>
            <w:tcW w:w="990" w:type="dxa"/>
          </w:tcPr>
          <w:p w14:paraId="01DF5546" w14:textId="77777777" w:rsidR="002210CC" w:rsidRDefault="002210CC" w:rsidP="002210CC">
            <w:r>
              <w:t>56</w:t>
            </w:r>
          </w:p>
        </w:tc>
        <w:tc>
          <w:tcPr>
            <w:tcW w:w="990" w:type="dxa"/>
          </w:tcPr>
          <w:p w14:paraId="6FD71E44" w14:textId="77777777" w:rsidR="002210CC" w:rsidRDefault="002210CC" w:rsidP="002210CC">
            <w:r>
              <w:t>0</w:t>
            </w:r>
          </w:p>
        </w:tc>
      </w:tr>
      <w:tr w:rsidR="0069079A" w14:paraId="655534EC" w14:textId="77777777" w:rsidTr="0069079A">
        <w:trPr>
          <w:trHeight w:val="518"/>
        </w:trPr>
        <w:tc>
          <w:tcPr>
            <w:tcW w:w="1260" w:type="dxa"/>
          </w:tcPr>
          <w:p w14:paraId="65643AFE" w14:textId="77777777" w:rsidR="002210CC" w:rsidRPr="00B15D63" w:rsidRDefault="002210CC" w:rsidP="002210CC">
            <w:pPr>
              <w:rPr>
                <w:b/>
              </w:rPr>
            </w:pPr>
            <w:r w:rsidRPr="00B15D63">
              <w:rPr>
                <w:b/>
              </w:rPr>
              <w:t>Gender (Male=1)</w:t>
            </w:r>
          </w:p>
        </w:tc>
        <w:tc>
          <w:tcPr>
            <w:tcW w:w="810" w:type="dxa"/>
          </w:tcPr>
          <w:p w14:paraId="5137FEE2" w14:textId="77777777" w:rsidR="002210CC" w:rsidRPr="008C060B" w:rsidRDefault="002210CC" w:rsidP="002210CC"/>
        </w:tc>
        <w:tc>
          <w:tcPr>
            <w:tcW w:w="810" w:type="dxa"/>
          </w:tcPr>
          <w:p w14:paraId="6C3A116B" w14:textId="77777777" w:rsidR="002210CC" w:rsidRDefault="002210CC" w:rsidP="002210CC">
            <w:r>
              <w:t>0.510</w:t>
            </w:r>
          </w:p>
        </w:tc>
        <w:tc>
          <w:tcPr>
            <w:tcW w:w="810" w:type="dxa"/>
          </w:tcPr>
          <w:p w14:paraId="0ABB369A" w14:textId="77777777" w:rsidR="002210CC" w:rsidRDefault="002210CC" w:rsidP="002210CC"/>
        </w:tc>
        <w:tc>
          <w:tcPr>
            <w:tcW w:w="720" w:type="dxa"/>
          </w:tcPr>
          <w:p w14:paraId="4B2A67D2" w14:textId="77777777" w:rsidR="002210CC" w:rsidRDefault="002210CC" w:rsidP="002210CC">
            <w:r>
              <w:t>0</w:t>
            </w:r>
          </w:p>
        </w:tc>
        <w:tc>
          <w:tcPr>
            <w:tcW w:w="810" w:type="dxa"/>
          </w:tcPr>
          <w:p w14:paraId="34DDADC5" w14:textId="77777777" w:rsidR="002210CC" w:rsidRDefault="002210CC" w:rsidP="002210CC">
            <w:r>
              <w:t>1</w:t>
            </w:r>
          </w:p>
        </w:tc>
        <w:tc>
          <w:tcPr>
            <w:tcW w:w="990" w:type="dxa"/>
          </w:tcPr>
          <w:p w14:paraId="3760272C" w14:textId="77777777" w:rsidR="002210CC" w:rsidRDefault="002210CC" w:rsidP="002210CC"/>
        </w:tc>
        <w:tc>
          <w:tcPr>
            <w:tcW w:w="900" w:type="dxa"/>
          </w:tcPr>
          <w:p w14:paraId="7ECB9D32" w14:textId="77777777" w:rsidR="002210CC" w:rsidRPr="008C060B" w:rsidRDefault="002210CC" w:rsidP="002210CC"/>
        </w:tc>
        <w:tc>
          <w:tcPr>
            <w:tcW w:w="900" w:type="dxa"/>
          </w:tcPr>
          <w:p w14:paraId="645A7BAD" w14:textId="77777777" w:rsidR="002210CC" w:rsidRDefault="002210CC" w:rsidP="002210CC">
            <w:r>
              <w:t>0.436</w:t>
            </w:r>
          </w:p>
        </w:tc>
        <w:tc>
          <w:tcPr>
            <w:tcW w:w="720" w:type="dxa"/>
          </w:tcPr>
          <w:p w14:paraId="7E478711" w14:textId="77777777" w:rsidR="002210CC" w:rsidRDefault="002210CC" w:rsidP="002210CC"/>
        </w:tc>
        <w:tc>
          <w:tcPr>
            <w:tcW w:w="630" w:type="dxa"/>
          </w:tcPr>
          <w:p w14:paraId="1915949C" w14:textId="77777777" w:rsidR="002210CC" w:rsidRDefault="002210CC" w:rsidP="002210CC">
            <w:r>
              <w:t>0</w:t>
            </w:r>
          </w:p>
        </w:tc>
        <w:tc>
          <w:tcPr>
            <w:tcW w:w="990" w:type="dxa"/>
          </w:tcPr>
          <w:p w14:paraId="6BF2DAD8" w14:textId="77777777" w:rsidR="002210CC" w:rsidRDefault="002210CC" w:rsidP="002210CC">
            <w:r>
              <w:t>1</w:t>
            </w:r>
          </w:p>
        </w:tc>
        <w:tc>
          <w:tcPr>
            <w:tcW w:w="990" w:type="dxa"/>
          </w:tcPr>
          <w:p w14:paraId="5EC276D2" w14:textId="77777777" w:rsidR="002210CC" w:rsidRDefault="002210CC" w:rsidP="002210CC"/>
        </w:tc>
      </w:tr>
      <w:tr w:rsidR="0069079A" w14:paraId="097FED05" w14:textId="77777777" w:rsidTr="0069079A">
        <w:trPr>
          <w:trHeight w:val="518"/>
        </w:trPr>
        <w:tc>
          <w:tcPr>
            <w:tcW w:w="1260" w:type="dxa"/>
          </w:tcPr>
          <w:p w14:paraId="10DC2B63" w14:textId="77777777" w:rsidR="002210CC" w:rsidRPr="00B15D63" w:rsidRDefault="002210CC" w:rsidP="002210CC">
            <w:pPr>
              <w:rPr>
                <w:b/>
              </w:rPr>
            </w:pPr>
            <w:r w:rsidRPr="00B15D63">
              <w:rPr>
                <w:b/>
              </w:rPr>
              <w:t>History of CHF (Yes=1)</w:t>
            </w:r>
          </w:p>
        </w:tc>
        <w:tc>
          <w:tcPr>
            <w:tcW w:w="810" w:type="dxa"/>
          </w:tcPr>
          <w:p w14:paraId="69792CC9" w14:textId="77777777" w:rsidR="002210CC" w:rsidRPr="008C060B" w:rsidRDefault="002210CC" w:rsidP="002210CC"/>
        </w:tc>
        <w:tc>
          <w:tcPr>
            <w:tcW w:w="810" w:type="dxa"/>
          </w:tcPr>
          <w:p w14:paraId="68B80138" w14:textId="77777777" w:rsidR="002210CC" w:rsidRDefault="002210CC" w:rsidP="002210CC">
            <w:r>
              <w:t>0.060</w:t>
            </w:r>
          </w:p>
        </w:tc>
        <w:tc>
          <w:tcPr>
            <w:tcW w:w="810" w:type="dxa"/>
          </w:tcPr>
          <w:p w14:paraId="7613B841" w14:textId="77777777" w:rsidR="002210CC" w:rsidRDefault="002210CC" w:rsidP="002210CC"/>
        </w:tc>
        <w:tc>
          <w:tcPr>
            <w:tcW w:w="720" w:type="dxa"/>
          </w:tcPr>
          <w:p w14:paraId="6D907991" w14:textId="77777777" w:rsidR="002210CC" w:rsidRDefault="002210CC" w:rsidP="002210CC">
            <w:r>
              <w:t>0</w:t>
            </w:r>
          </w:p>
        </w:tc>
        <w:tc>
          <w:tcPr>
            <w:tcW w:w="810" w:type="dxa"/>
          </w:tcPr>
          <w:p w14:paraId="5A949581" w14:textId="77777777" w:rsidR="002210CC" w:rsidRDefault="002210CC" w:rsidP="002210CC">
            <w:r>
              <w:t>1</w:t>
            </w:r>
          </w:p>
        </w:tc>
        <w:tc>
          <w:tcPr>
            <w:tcW w:w="990" w:type="dxa"/>
          </w:tcPr>
          <w:p w14:paraId="11384A03" w14:textId="77777777" w:rsidR="002210CC" w:rsidRDefault="002210CC" w:rsidP="002210CC"/>
        </w:tc>
        <w:tc>
          <w:tcPr>
            <w:tcW w:w="900" w:type="dxa"/>
          </w:tcPr>
          <w:p w14:paraId="377C07E4" w14:textId="77777777" w:rsidR="002210CC" w:rsidRPr="008C060B" w:rsidRDefault="002210CC" w:rsidP="002210CC"/>
        </w:tc>
        <w:tc>
          <w:tcPr>
            <w:tcW w:w="900" w:type="dxa"/>
          </w:tcPr>
          <w:p w14:paraId="2C479583" w14:textId="77777777" w:rsidR="002210CC" w:rsidRDefault="002210CC" w:rsidP="002210CC">
            <w:r>
              <w:t>0.034</w:t>
            </w:r>
          </w:p>
        </w:tc>
        <w:tc>
          <w:tcPr>
            <w:tcW w:w="720" w:type="dxa"/>
          </w:tcPr>
          <w:p w14:paraId="513F9AB4" w14:textId="77777777" w:rsidR="002210CC" w:rsidRDefault="002210CC" w:rsidP="002210CC"/>
        </w:tc>
        <w:tc>
          <w:tcPr>
            <w:tcW w:w="630" w:type="dxa"/>
          </w:tcPr>
          <w:p w14:paraId="101EDC9C" w14:textId="77777777" w:rsidR="002210CC" w:rsidRDefault="002210CC" w:rsidP="002210CC">
            <w:r>
              <w:t>0</w:t>
            </w:r>
          </w:p>
        </w:tc>
        <w:tc>
          <w:tcPr>
            <w:tcW w:w="990" w:type="dxa"/>
          </w:tcPr>
          <w:p w14:paraId="0B0211C2" w14:textId="77777777" w:rsidR="002210CC" w:rsidRDefault="002210CC" w:rsidP="002210CC">
            <w:r>
              <w:t>1</w:t>
            </w:r>
          </w:p>
        </w:tc>
        <w:tc>
          <w:tcPr>
            <w:tcW w:w="990" w:type="dxa"/>
          </w:tcPr>
          <w:p w14:paraId="69700515" w14:textId="77777777" w:rsidR="002210CC" w:rsidRDefault="002210CC" w:rsidP="002210CC"/>
        </w:tc>
      </w:tr>
      <w:tr w:rsidR="0069079A" w14:paraId="0E2048EA" w14:textId="77777777" w:rsidTr="0069079A">
        <w:trPr>
          <w:trHeight w:val="518"/>
        </w:trPr>
        <w:tc>
          <w:tcPr>
            <w:tcW w:w="1260" w:type="dxa"/>
          </w:tcPr>
          <w:p w14:paraId="0BB48BFF" w14:textId="77777777" w:rsidR="002210CC" w:rsidRPr="00B15D63" w:rsidRDefault="002210CC" w:rsidP="002210CC">
            <w:pPr>
              <w:rPr>
                <w:b/>
              </w:rPr>
            </w:pPr>
            <w:r w:rsidRPr="00B15D63">
              <w:rPr>
                <w:b/>
              </w:rPr>
              <w:t>History of CHD</w:t>
            </w:r>
          </w:p>
        </w:tc>
        <w:tc>
          <w:tcPr>
            <w:tcW w:w="810" w:type="dxa"/>
          </w:tcPr>
          <w:p w14:paraId="286B6B70" w14:textId="77777777" w:rsidR="002210CC" w:rsidRPr="008C060B" w:rsidRDefault="002210CC" w:rsidP="002210CC"/>
        </w:tc>
        <w:tc>
          <w:tcPr>
            <w:tcW w:w="810" w:type="dxa"/>
          </w:tcPr>
          <w:p w14:paraId="3C056B33" w14:textId="77777777" w:rsidR="002210CC" w:rsidRPr="008C060B" w:rsidRDefault="002210CC" w:rsidP="002210CC"/>
        </w:tc>
        <w:tc>
          <w:tcPr>
            <w:tcW w:w="810" w:type="dxa"/>
          </w:tcPr>
          <w:p w14:paraId="36EE5041" w14:textId="77777777" w:rsidR="002210CC" w:rsidRPr="008C060B" w:rsidRDefault="002210CC" w:rsidP="002210CC"/>
        </w:tc>
        <w:tc>
          <w:tcPr>
            <w:tcW w:w="720" w:type="dxa"/>
          </w:tcPr>
          <w:p w14:paraId="6F89A773" w14:textId="77777777" w:rsidR="002210CC" w:rsidRDefault="002210CC" w:rsidP="002210CC"/>
        </w:tc>
        <w:tc>
          <w:tcPr>
            <w:tcW w:w="810" w:type="dxa"/>
          </w:tcPr>
          <w:p w14:paraId="0EE9DED1" w14:textId="77777777" w:rsidR="002210CC" w:rsidRDefault="002210CC" w:rsidP="002210CC"/>
        </w:tc>
        <w:tc>
          <w:tcPr>
            <w:tcW w:w="990" w:type="dxa"/>
          </w:tcPr>
          <w:p w14:paraId="3D15AB1A" w14:textId="77777777" w:rsidR="002210CC" w:rsidRDefault="002210CC" w:rsidP="002210CC"/>
        </w:tc>
        <w:tc>
          <w:tcPr>
            <w:tcW w:w="900" w:type="dxa"/>
          </w:tcPr>
          <w:p w14:paraId="0351E09C" w14:textId="77777777" w:rsidR="002210CC" w:rsidRPr="008C060B" w:rsidRDefault="002210CC" w:rsidP="002210CC"/>
        </w:tc>
        <w:tc>
          <w:tcPr>
            <w:tcW w:w="900" w:type="dxa"/>
          </w:tcPr>
          <w:p w14:paraId="7722842E" w14:textId="77777777" w:rsidR="002210CC" w:rsidRPr="008C060B" w:rsidRDefault="002210CC" w:rsidP="002210CC"/>
        </w:tc>
        <w:tc>
          <w:tcPr>
            <w:tcW w:w="720" w:type="dxa"/>
          </w:tcPr>
          <w:p w14:paraId="0235CBCF" w14:textId="77777777" w:rsidR="002210CC" w:rsidRPr="008C060B" w:rsidRDefault="002210CC" w:rsidP="002210CC"/>
        </w:tc>
        <w:tc>
          <w:tcPr>
            <w:tcW w:w="630" w:type="dxa"/>
          </w:tcPr>
          <w:p w14:paraId="64D86863" w14:textId="77777777" w:rsidR="002210CC" w:rsidRDefault="002210CC" w:rsidP="002210CC"/>
        </w:tc>
        <w:tc>
          <w:tcPr>
            <w:tcW w:w="990" w:type="dxa"/>
          </w:tcPr>
          <w:p w14:paraId="5D2993E7" w14:textId="77777777" w:rsidR="002210CC" w:rsidRDefault="002210CC" w:rsidP="002210CC"/>
        </w:tc>
        <w:tc>
          <w:tcPr>
            <w:tcW w:w="990" w:type="dxa"/>
          </w:tcPr>
          <w:p w14:paraId="1F1BF204" w14:textId="77777777" w:rsidR="002210CC" w:rsidRDefault="002210CC" w:rsidP="002210CC"/>
        </w:tc>
      </w:tr>
      <w:tr w:rsidR="0069079A" w14:paraId="565362AF" w14:textId="77777777" w:rsidTr="0069079A">
        <w:trPr>
          <w:trHeight w:val="518"/>
        </w:trPr>
        <w:tc>
          <w:tcPr>
            <w:tcW w:w="1260" w:type="dxa"/>
          </w:tcPr>
          <w:p w14:paraId="0799FB19" w14:textId="77777777" w:rsidR="002210CC" w:rsidRPr="00B24D9D" w:rsidRDefault="002210CC" w:rsidP="002210CC">
            <w:pPr>
              <w:rPr>
                <w:b/>
              </w:rPr>
            </w:pPr>
            <w:r>
              <w:rPr>
                <w:b/>
              </w:rPr>
              <w:t>No History</w:t>
            </w:r>
          </w:p>
        </w:tc>
        <w:tc>
          <w:tcPr>
            <w:tcW w:w="810" w:type="dxa"/>
          </w:tcPr>
          <w:p w14:paraId="3942A980" w14:textId="77777777" w:rsidR="002210CC" w:rsidRDefault="002210CC" w:rsidP="002210CC">
            <w:r>
              <w:t>488</w:t>
            </w:r>
          </w:p>
          <w:p w14:paraId="4D6D6EE9" w14:textId="77777777" w:rsidR="002210CC" w:rsidRPr="008C060B" w:rsidRDefault="002210CC" w:rsidP="002210CC">
            <w:r>
              <w:t>(79%)</w:t>
            </w:r>
          </w:p>
        </w:tc>
        <w:tc>
          <w:tcPr>
            <w:tcW w:w="810" w:type="dxa"/>
          </w:tcPr>
          <w:p w14:paraId="7A44D18F" w14:textId="77777777" w:rsidR="002210CC" w:rsidRPr="008C060B" w:rsidRDefault="002210CC" w:rsidP="002210CC"/>
        </w:tc>
        <w:tc>
          <w:tcPr>
            <w:tcW w:w="810" w:type="dxa"/>
          </w:tcPr>
          <w:p w14:paraId="3D2850E3" w14:textId="77777777" w:rsidR="002210CC" w:rsidRPr="008C060B" w:rsidRDefault="002210CC" w:rsidP="002210CC"/>
        </w:tc>
        <w:tc>
          <w:tcPr>
            <w:tcW w:w="720" w:type="dxa"/>
          </w:tcPr>
          <w:p w14:paraId="4EB3EAB5" w14:textId="77777777" w:rsidR="002210CC" w:rsidRDefault="002210CC" w:rsidP="002210CC"/>
        </w:tc>
        <w:tc>
          <w:tcPr>
            <w:tcW w:w="810" w:type="dxa"/>
          </w:tcPr>
          <w:p w14:paraId="673FFE37" w14:textId="77777777" w:rsidR="002210CC" w:rsidRDefault="002210CC" w:rsidP="002210CC"/>
        </w:tc>
        <w:tc>
          <w:tcPr>
            <w:tcW w:w="990" w:type="dxa"/>
          </w:tcPr>
          <w:p w14:paraId="1D08635E" w14:textId="77777777" w:rsidR="002210CC" w:rsidRDefault="002210CC" w:rsidP="002210CC"/>
        </w:tc>
        <w:tc>
          <w:tcPr>
            <w:tcW w:w="900" w:type="dxa"/>
          </w:tcPr>
          <w:p w14:paraId="65D8C964" w14:textId="77777777" w:rsidR="002210CC" w:rsidRDefault="002210CC" w:rsidP="002210CC">
            <w:r>
              <w:t>92</w:t>
            </w:r>
          </w:p>
          <w:p w14:paraId="48B2DCAA" w14:textId="77777777" w:rsidR="002210CC" w:rsidRPr="008C060B" w:rsidRDefault="002210CC" w:rsidP="002210CC">
            <w:r>
              <w:t>(79%)</w:t>
            </w:r>
          </w:p>
        </w:tc>
        <w:tc>
          <w:tcPr>
            <w:tcW w:w="900" w:type="dxa"/>
          </w:tcPr>
          <w:p w14:paraId="10C84FB6" w14:textId="77777777" w:rsidR="002210CC" w:rsidRPr="008C060B" w:rsidRDefault="002210CC" w:rsidP="002210CC"/>
        </w:tc>
        <w:tc>
          <w:tcPr>
            <w:tcW w:w="720" w:type="dxa"/>
          </w:tcPr>
          <w:p w14:paraId="6FA6A672" w14:textId="77777777" w:rsidR="002210CC" w:rsidRPr="008C060B" w:rsidRDefault="002210CC" w:rsidP="002210CC"/>
        </w:tc>
        <w:tc>
          <w:tcPr>
            <w:tcW w:w="630" w:type="dxa"/>
          </w:tcPr>
          <w:p w14:paraId="674C5F7E" w14:textId="77777777" w:rsidR="002210CC" w:rsidRDefault="002210CC" w:rsidP="002210CC"/>
        </w:tc>
        <w:tc>
          <w:tcPr>
            <w:tcW w:w="990" w:type="dxa"/>
          </w:tcPr>
          <w:p w14:paraId="77F85D2E" w14:textId="77777777" w:rsidR="002210CC" w:rsidRDefault="002210CC" w:rsidP="002210CC"/>
        </w:tc>
        <w:tc>
          <w:tcPr>
            <w:tcW w:w="990" w:type="dxa"/>
          </w:tcPr>
          <w:p w14:paraId="0E1BA9F2" w14:textId="77777777" w:rsidR="002210CC" w:rsidRDefault="002210CC" w:rsidP="002210CC"/>
        </w:tc>
      </w:tr>
      <w:tr w:rsidR="0069079A" w14:paraId="6AD2DECE" w14:textId="77777777" w:rsidTr="0069079A">
        <w:trPr>
          <w:trHeight w:val="518"/>
        </w:trPr>
        <w:tc>
          <w:tcPr>
            <w:tcW w:w="1260" w:type="dxa"/>
          </w:tcPr>
          <w:p w14:paraId="57FDAF23" w14:textId="77777777" w:rsidR="002210CC" w:rsidRPr="00B15D63" w:rsidRDefault="002210CC" w:rsidP="002210CC">
            <w:pPr>
              <w:rPr>
                <w:b/>
              </w:rPr>
            </w:pPr>
            <w:r>
              <w:rPr>
                <w:b/>
              </w:rPr>
              <w:t>Diagnosis of Angina</w:t>
            </w:r>
          </w:p>
        </w:tc>
        <w:tc>
          <w:tcPr>
            <w:tcW w:w="810" w:type="dxa"/>
          </w:tcPr>
          <w:p w14:paraId="3A34AA35" w14:textId="77777777" w:rsidR="002210CC" w:rsidRDefault="002210CC" w:rsidP="002210CC">
            <w:r>
              <w:t>54</w:t>
            </w:r>
          </w:p>
          <w:p w14:paraId="11727A97" w14:textId="77777777" w:rsidR="00243226" w:rsidRPr="008C060B" w:rsidRDefault="00243226" w:rsidP="002210CC">
            <w:r>
              <w:t>(9%)</w:t>
            </w:r>
          </w:p>
        </w:tc>
        <w:tc>
          <w:tcPr>
            <w:tcW w:w="810" w:type="dxa"/>
          </w:tcPr>
          <w:p w14:paraId="6FD5A355" w14:textId="77777777" w:rsidR="002210CC" w:rsidRPr="008C060B" w:rsidRDefault="002210CC" w:rsidP="002210CC"/>
        </w:tc>
        <w:tc>
          <w:tcPr>
            <w:tcW w:w="810" w:type="dxa"/>
          </w:tcPr>
          <w:p w14:paraId="71E7E1B9" w14:textId="77777777" w:rsidR="002210CC" w:rsidRPr="008C060B" w:rsidRDefault="002210CC" w:rsidP="002210CC"/>
        </w:tc>
        <w:tc>
          <w:tcPr>
            <w:tcW w:w="720" w:type="dxa"/>
          </w:tcPr>
          <w:p w14:paraId="67CB5B22" w14:textId="77777777" w:rsidR="002210CC" w:rsidRDefault="002210CC" w:rsidP="002210CC"/>
        </w:tc>
        <w:tc>
          <w:tcPr>
            <w:tcW w:w="810" w:type="dxa"/>
          </w:tcPr>
          <w:p w14:paraId="7F741AF6" w14:textId="77777777" w:rsidR="002210CC" w:rsidRDefault="002210CC" w:rsidP="002210CC"/>
        </w:tc>
        <w:tc>
          <w:tcPr>
            <w:tcW w:w="990" w:type="dxa"/>
          </w:tcPr>
          <w:p w14:paraId="243B59FD" w14:textId="77777777" w:rsidR="002210CC" w:rsidRDefault="002210CC" w:rsidP="002210CC"/>
        </w:tc>
        <w:tc>
          <w:tcPr>
            <w:tcW w:w="900" w:type="dxa"/>
          </w:tcPr>
          <w:p w14:paraId="13F7F3E3" w14:textId="77777777" w:rsidR="002210CC" w:rsidRDefault="002210CC" w:rsidP="002210CC">
            <w:r>
              <w:t>10</w:t>
            </w:r>
          </w:p>
          <w:p w14:paraId="2A540F0D" w14:textId="77777777" w:rsidR="00243226" w:rsidRPr="008C060B" w:rsidRDefault="00243226" w:rsidP="002210CC">
            <w:r>
              <w:t>(9%)</w:t>
            </w:r>
          </w:p>
        </w:tc>
        <w:tc>
          <w:tcPr>
            <w:tcW w:w="900" w:type="dxa"/>
          </w:tcPr>
          <w:p w14:paraId="75D2396A" w14:textId="77777777" w:rsidR="002210CC" w:rsidRPr="008C060B" w:rsidRDefault="002210CC" w:rsidP="002210CC"/>
        </w:tc>
        <w:tc>
          <w:tcPr>
            <w:tcW w:w="720" w:type="dxa"/>
          </w:tcPr>
          <w:p w14:paraId="1CF19397" w14:textId="77777777" w:rsidR="002210CC" w:rsidRPr="008C060B" w:rsidRDefault="002210CC" w:rsidP="002210CC"/>
        </w:tc>
        <w:tc>
          <w:tcPr>
            <w:tcW w:w="630" w:type="dxa"/>
          </w:tcPr>
          <w:p w14:paraId="7AB7D9E6" w14:textId="77777777" w:rsidR="002210CC" w:rsidRDefault="002210CC" w:rsidP="002210CC"/>
        </w:tc>
        <w:tc>
          <w:tcPr>
            <w:tcW w:w="990" w:type="dxa"/>
          </w:tcPr>
          <w:p w14:paraId="7A2F48C8" w14:textId="77777777" w:rsidR="002210CC" w:rsidRDefault="002210CC" w:rsidP="002210CC"/>
        </w:tc>
        <w:tc>
          <w:tcPr>
            <w:tcW w:w="990" w:type="dxa"/>
          </w:tcPr>
          <w:p w14:paraId="03082728" w14:textId="77777777" w:rsidR="002210CC" w:rsidRDefault="002210CC" w:rsidP="002210CC"/>
        </w:tc>
      </w:tr>
      <w:tr w:rsidR="0069079A" w14:paraId="383B30A3" w14:textId="77777777" w:rsidTr="0069079A">
        <w:trPr>
          <w:trHeight w:val="518"/>
        </w:trPr>
        <w:tc>
          <w:tcPr>
            <w:tcW w:w="1260" w:type="dxa"/>
          </w:tcPr>
          <w:p w14:paraId="36BA644C" w14:textId="77777777" w:rsidR="002210CC" w:rsidRPr="00B15D63" w:rsidRDefault="002210CC" w:rsidP="002210CC">
            <w:pPr>
              <w:rPr>
                <w:b/>
              </w:rPr>
            </w:pPr>
            <w:r>
              <w:rPr>
                <w:b/>
              </w:rPr>
              <w:t>Diagnosis of MI</w:t>
            </w:r>
          </w:p>
        </w:tc>
        <w:tc>
          <w:tcPr>
            <w:tcW w:w="810" w:type="dxa"/>
          </w:tcPr>
          <w:p w14:paraId="27A691E6" w14:textId="77777777" w:rsidR="002210CC" w:rsidRDefault="002210CC" w:rsidP="002210CC">
            <w:r>
              <w:t>76</w:t>
            </w:r>
          </w:p>
          <w:p w14:paraId="3C37F9AC" w14:textId="77777777" w:rsidR="00243226" w:rsidRPr="008C060B" w:rsidRDefault="00243226" w:rsidP="002210CC">
            <w:r>
              <w:t>(12%)</w:t>
            </w:r>
          </w:p>
        </w:tc>
        <w:tc>
          <w:tcPr>
            <w:tcW w:w="810" w:type="dxa"/>
          </w:tcPr>
          <w:p w14:paraId="4A722283" w14:textId="77777777" w:rsidR="002210CC" w:rsidRPr="008C060B" w:rsidRDefault="002210CC" w:rsidP="002210CC"/>
        </w:tc>
        <w:tc>
          <w:tcPr>
            <w:tcW w:w="810" w:type="dxa"/>
          </w:tcPr>
          <w:p w14:paraId="17A2CC11" w14:textId="77777777" w:rsidR="002210CC" w:rsidRPr="008C060B" w:rsidRDefault="002210CC" w:rsidP="002210CC"/>
        </w:tc>
        <w:tc>
          <w:tcPr>
            <w:tcW w:w="720" w:type="dxa"/>
          </w:tcPr>
          <w:p w14:paraId="5B7B5ECC" w14:textId="77777777" w:rsidR="002210CC" w:rsidRDefault="002210CC" w:rsidP="002210CC"/>
        </w:tc>
        <w:tc>
          <w:tcPr>
            <w:tcW w:w="810" w:type="dxa"/>
          </w:tcPr>
          <w:p w14:paraId="26F0A1E9" w14:textId="77777777" w:rsidR="002210CC" w:rsidRDefault="002210CC" w:rsidP="002210CC"/>
        </w:tc>
        <w:tc>
          <w:tcPr>
            <w:tcW w:w="990" w:type="dxa"/>
          </w:tcPr>
          <w:p w14:paraId="78802D66" w14:textId="77777777" w:rsidR="002210CC" w:rsidRDefault="002210CC" w:rsidP="002210CC"/>
        </w:tc>
        <w:tc>
          <w:tcPr>
            <w:tcW w:w="900" w:type="dxa"/>
          </w:tcPr>
          <w:p w14:paraId="685AA660" w14:textId="77777777" w:rsidR="002210CC" w:rsidRDefault="002210CC" w:rsidP="002210CC">
            <w:r>
              <w:t>15</w:t>
            </w:r>
          </w:p>
          <w:p w14:paraId="78ADA8AF" w14:textId="77777777" w:rsidR="00243226" w:rsidRPr="008C060B" w:rsidRDefault="00243226" w:rsidP="002210CC">
            <w:r>
              <w:t>(13%)</w:t>
            </w:r>
          </w:p>
        </w:tc>
        <w:tc>
          <w:tcPr>
            <w:tcW w:w="900" w:type="dxa"/>
          </w:tcPr>
          <w:p w14:paraId="392D2C6C" w14:textId="77777777" w:rsidR="002210CC" w:rsidRPr="008C060B" w:rsidRDefault="002210CC" w:rsidP="002210CC"/>
        </w:tc>
        <w:tc>
          <w:tcPr>
            <w:tcW w:w="720" w:type="dxa"/>
          </w:tcPr>
          <w:p w14:paraId="150E05FA" w14:textId="77777777" w:rsidR="002210CC" w:rsidRPr="008C060B" w:rsidRDefault="002210CC" w:rsidP="002210CC"/>
        </w:tc>
        <w:tc>
          <w:tcPr>
            <w:tcW w:w="630" w:type="dxa"/>
          </w:tcPr>
          <w:p w14:paraId="5607FA05" w14:textId="77777777" w:rsidR="002210CC" w:rsidRDefault="002210CC" w:rsidP="002210CC"/>
        </w:tc>
        <w:tc>
          <w:tcPr>
            <w:tcW w:w="990" w:type="dxa"/>
          </w:tcPr>
          <w:p w14:paraId="0B0F867C" w14:textId="77777777" w:rsidR="002210CC" w:rsidRDefault="002210CC" w:rsidP="002210CC"/>
        </w:tc>
        <w:tc>
          <w:tcPr>
            <w:tcW w:w="990" w:type="dxa"/>
          </w:tcPr>
          <w:p w14:paraId="6DA6EF67" w14:textId="77777777" w:rsidR="002210CC" w:rsidRDefault="002210CC" w:rsidP="002210CC"/>
        </w:tc>
      </w:tr>
      <w:tr w:rsidR="0069079A" w14:paraId="2F05958A" w14:textId="77777777" w:rsidTr="0069079A">
        <w:trPr>
          <w:trHeight w:val="518"/>
        </w:trPr>
        <w:tc>
          <w:tcPr>
            <w:tcW w:w="1260" w:type="dxa"/>
          </w:tcPr>
          <w:p w14:paraId="51C5BE8C" w14:textId="77777777" w:rsidR="002210CC" w:rsidRPr="00B15D63" w:rsidRDefault="002210CC" w:rsidP="002210CC">
            <w:pPr>
              <w:rPr>
                <w:b/>
              </w:rPr>
            </w:pPr>
            <w:r>
              <w:rPr>
                <w:b/>
              </w:rPr>
              <w:t>History of Stroke</w:t>
            </w:r>
          </w:p>
        </w:tc>
        <w:tc>
          <w:tcPr>
            <w:tcW w:w="810" w:type="dxa"/>
          </w:tcPr>
          <w:p w14:paraId="2A2BD8D4" w14:textId="77777777" w:rsidR="002210CC" w:rsidRPr="008C060B" w:rsidRDefault="002210CC" w:rsidP="002210CC"/>
        </w:tc>
        <w:tc>
          <w:tcPr>
            <w:tcW w:w="810" w:type="dxa"/>
          </w:tcPr>
          <w:p w14:paraId="6F29F9EE" w14:textId="77777777" w:rsidR="002210CC" w:rsidRPr="008C060B" w:rsidRDefault="002210CC" w:rsidP="002210CC"/>
        </w:tc>
        <w:tc>
          <w:tcPr>
            <w:tcW w:w="810" w:type="dxa"/>
          </w:tcPr>
          <w:p w14:paraId="38661327" w14:textId="77777777" w:rsidR="002210CC" w:rsidRPr="008C060B" w:rsidRDefault="002210CC" w:rsidP="002210CC"/>
        </w:tc>
        <w:tc>
          <w:tcPr>
            <w:tcW w:w="720" w:type="dxa"/>
          </w:tcPr>
          <w:p w14:paraId="3EF98407" w14:textId="77777777" w:rsidR="002210CC" w:rsidRDefault="002210CC" w:rsidP="002210CC"/>
        </w:tc>
        <w:tc>
          <w:tcPr>
            <w:tcW w:w="810" w:type="dxa"/>
          </w:tcPr>
          <w:p w14:paraId="054AD79D" w14:textId="77777777" w:rsidR="002210CC" w:rsidRDefault="002210CC" w:rsidP="002210CC"/>
        </w:tc>
        <w:tc>
          <w:tcPr>
            <w:tcW w:w="990" w:type="dxa"/>
          </w:tcPr>
          <w:p w14:paraId="233E580F" w14:textId="77777777" w:rsidR="002210CC" w:rsidRDefault="002210CC" w:rsidP="002210CC"/>
        </w:tc>
        <w:tc>
          <w:tcPr>
            <w:tcW w:w="900" w:type="dxa"/>
          </w:tcPr>
          <w:p w14:paraId="29C50FDE" w14:textId="77777777" w:rsidR="002210CC" w:rsidRPr="008C060B" w:rsidRDefault="002210CC" w:rsidP="002210CC"/>
        </w:tc>
        <w:tc>
          <w:tcPr>
            <w:tcW w:w="900" w:type="dxa"/>
          </w:tcPr>
          <w:p w14:paraId="07FE7804" w14:textId="77777777" w:rsidR="002210CC" w:rsidRPr="008C060B" w:rsidRDefault="002210CC" w:rsidP="002210CC"/>
        </w:tc>
        <w:tc>
          <w:tcPr>
            <w:tcW w:w="720" w:type="dxa"/>
          </w:tcPr>
          <w:p w14:paraId="484EE60D" w14:textId="77777777" w:rsidR="002210CC" w:rsidRPr="008C060B" w:rsidRDefault="002210CC" w:rsidP="002210CC"/>
        </w:tc>
        <w:tc>
          <w:tcPr>
            <w:tcW w:w="630" w:type="dxa"/>
          </w:tcPr>
          <w:p w14:paraId="15DC6E32" w14:textId="77777777" w:rsidR="002210CC" w:rsidRDefault="002210CC" w:rsidP="002210CC"/>
        </w:tc>
        <w:tc>
          <w:tcPr>
            <w:tcW w:w="990" w:type="dxa"/>
          </w:tcPr>
          <w:p w14:paraId="447C361A" w14:textId="77777777" w:rsidR="002210CC" w:rsidRDefault="002210CC" w:rsidP="002210CC"/>
        </w:tc>
        <w:tc>
          <w:tcPr>
            <w:tcW w:w="990" w:type="dxa"/>
          </w:tcPr>
          <w:p w14:paraId="6C34574A" w14:textId="77777777" w:rsidR="002210CC" w:rsidRDefault="002210CC" w:rsidP="002210CC"/>
        </w:tc>
      </w:tr>
      <w:tr w:rsidR="0069079A" w14:paraId="54AF37A0" w14:textId="77777777" w:rsidTr="0069079A">
        <w:trPr>
          <w:trHeight w:val="518"/>
        </w:trPr>
        <w:tc>
          <w:tcPr>
            <w:tcW w:w="1260" w:type="dxa"/>
          </w:tcPr>
          <w:p w14:paraId="04469917" w14:textId="77777777" w:rsidR="002210CC" w:rsidRPr="00B24D9D" w:rsidRDefault="002210CC" w:rsidP="002210CC">
            <w:pPr>
              <w:rPr>
                <w:b/>
              </w:rPr>
            </w:pPr>
            <w:r>
              <w:rPr>
                <w:b/>
              </w:rPr>
              <w:t>No History</w:t>
            </w:r>
          </w:p>
        </w:tc>
        <w:tc>
          <w:tcPr>
            <w:tcW w:w="810" w:type="dxa"/>
          </w:tcPr>
          <w:p w14:paraId="236BC58C" w14:textId="77777777" w:rsidR="002210CC" w:rsidRDefault="002210CC" w:rsidP="002210CC">
            <w:r>
              <w:t>541</w:t>
            </w:r>
          </w:p>
          <w:p w14:paraId="78865C8E" w14:textId="77777777" w:rsidR="00243226" w:rsidRPr="008C060B" w:rsidRDefault="002B317B" w:rsidP="002210CC">
            <w:r>
              <w:t>(88%)</w:t>
            </w:r>
          </w:p>
        </w:tc>
        <w:tc>
          <w:tcPr>
            <w:tcW w:w="810" w:type="dxa"/>
          </w:tcPr>
          <w:p w14:paraId="5599A57A" w14:textId="77777777" w:rsidR="002210CC" w:rsidRPr="008C060B" w:rsidRDefault="002210CC" w:rsidP="002210CC"/>
        </w:tc>
        <w:tc>
          <w:tcPr>
            <w:tcW w:w="810" w:type="dxa"/>
          </w:tcPr>
          <w:p w14:paraId="026E16C3" w14:textId="77777777" w:rsidR="002210CC" w:rsidRPr="008C060B" w:rsidRDefault="002210CC" w:rsidP="002210CC"/>
        </w:tc>
        <w:tc>
          <w:tcPr>
            <w:tcW w:w="720" w:type="dxa"/>
          </w:tcPr>
          <w:p w14:paraId="546BD75C" w14:textId="77777777" w:rsidR="002210CC" w:rsidRDefault="002210CC" w:rsidP="002210CC"/>
        </w:tc>
        <w:tc>
          <w:tcPr>
            <w:tcW w:w="810" w:type="dxa"/>
          </w:tcPr>
          <w:p w14:paraId="4831B7D2" w14:textId="77777777" w:rsidR="002210CC" w:rsidRDefault="002210CC" w:rsidP="002210CC"/>
        </w:tc>
        <w:tc>
          <w:tcPr>
            <w:tcW w:w="990" w:type="dxa"/>
          </w:tcPr>
          <w:p w14:paraId="3665C423" w14:textId="77777777" w:rsidR="002210CC" w:rsidRDefault="002210CC" w:rsidP="002210CC"/>
        </w:tc>
        <w:tc>
          <w:tcPr>
            <w:tcW w:w="900" w:type="dxa"/>
          </w:tcPr>
          <w:p w14:paraId="79224C2D" w14:textId="77777777" w:rsidR="002210CC" w:rsidRDefault="002210CC" w:rsidP="002210CC">
            <w:r>
              <w:t>95</w:t>
            </w:r>
          </w:p>
          <w:p w14:paraId="33D155E8" w14:textId="77777777" w:rsidR="002B317B" w:rsidRPr="008C060B" w:rsidRDefault="002B317B" w:rsidP="002210CC">
            <w:r>
              <w:t>(81%)</w:t>
            </w:r>
          </w:p>
        </w:tc>
        <w:tc>
          <w:tcPr>
            <w:tcW w:w="900" w:type="dxa"/>
          </w:tcPr>
          <w:p w14:paraId="00D96CFE" w14:textId="77777777" w:rsidR="002210CC" w:rsidRPr="008C060B" w:rsidRDefault="002210CC" w:rsidP="002210CC"/>
        </w:tc>
        <w:tc>
          <w:tcPr>
            <w:tcW w:w="720" w:type="dxa"/>
          </w:tcPr>
          <w:p w14:paraId="3036F93B" w14:textId="77777777" w:rsidR="002210CC" w:rsidRPr="008C060B" w:rsidRDefault="002210CC" w:rsidP="002210CC"/>
        </w:tc>
        <w:tc>
          <w:tcPr>
            <w:tcW w:w="630" w:type="dxa"/>
          </w:tcPr>
          <w:p w14:paraId="480425AD" w14:textId="77777777" w:rsidR="002210CC" w:rsidRDefault="002210CC" w:rsidP="002210CC"/>
        </w:tc>
        <w:tc>
          <w:tcPr>
            <w:tcW w:w="990" w:type="dxa"/>
          </w:tcPr>
          <w:p w14:paraId="622629A3" w14:textId="77777777" w:rsidR="002210CC" w:rsidRDefault="002210CC" w:rsidP="002210CC"/>
        </w:tc>
        <w:tc>
          <w:tcPr>
            <w:tcW w:w="990" w:type="dxa"/>
          </w:tcPr>
          <w:p w14:paraId="6D1834D1" w14:textId="77777777" w:rsidR="002210CC" w:rsidRDefault="002210CC" w:rsidP="002210CC"/>
        </w:tc>
      </w:tr>
      <w:tr w:rsidR="0069079A" w14:paraId="00FF45AE" w14:textId="77777777" w:rsidTr="0069079A">
        <w:trPr>
          <w:trHeight w:val="518"/>
        </w:trPr>
        <w:tc>
          <w:tcPr>
            <w:tcW w:w="1260" w:type="dxa"/>
          </w:tcPr>
          <w:p w14:paraId="60F5DF26" w14:textId="77777777" w:rsidR="002210CC" w:rsidRPr="00B15D63" w:rsidRDefault="002210CC" w:rsidP="002210CC">
            <w:pPr>
              <w:rPr>
                <w:b/>
              </w:rPr>
            </w:pPr>
            <w:r>
              <w:rPr>
                <w:b/>
              </w:rPr>
              <w:t>Diagnosis of TIA</w:t>
            </w:r>
          </w:p>
        </w:tc>
        <w:tc>
          <w:tcPr>
            <w:tcW w:w="810" w:type="dxa"/>
          </w:tcPr>
          <w:p w14:paraId="537E8F78" w14:textId="77777777" w:rsidR="002210CC" w:rsidRDefault="002210CC" w:rsidP="002210CC">
            <w:r>
              <w:t>18</w:t>
            </w:r>
          </w:p>
          <w:p w14:paraId="3952C031" w14:textId="77777777" w:rsidR="002B317B" w:rsidRPr="008C060B" w:rsidRDefault="004D12FB" w:rsidP="002210CC">
            <w:r>
              <w:t>(3%)</w:t>
            </w:r>
          </w:p>
        </w:tc>
        <w:tc>
          <w:tcPr>
            <w:tcW w:w="810" w:type="dxa"/>
          </w:tcPr>
          <w:p w14:paraId="36A3EA39" w14:textId="77777777" w:rsidR="002210CC" w:rsidRPr="008C060B" w:rsidRDefault="002210CC" w:rsidP="002210CC"/>
        </w:tc>
        <w:tc>
          <w:tcPr>
            <w:tcW w:w="810" w:type="dxa"/>
          </w:tcPr>
          <w:p w14:paraId="495D5F0E" w14:textId="77777777" w:rsidR="002210CC" w:rsidRPr="008C060B" w:rsidRDefault="002210CC" w:rsidP="002210CC"/>
        </w:tc>
        <w:tc>
          <w:tcPr>
            <w:tcW w:w="720" w:type="dxa"/>
          </w:tcPr>
          <w:p w14:paraId="1E146777" w14:textId="77777777" w:rsidR="002210CC" w:rsidRDefault="002210CC" w:rsidP="002210CC"/>
        </w:tc>
        <w:tc>
          <w:tcPr>
            <w:tcW w:w="810" w:type="dxa"/>
          </w:tcPr>
          <w:p w14:paraId="0FD20FBC" w14:textId="77777777" w:rsidR="002210CC" w:rsidRDefault="002210CC" w:rsidP="002210CC"/>
        </w:tc>
        <w:tc>
          <w:tcPr>
            <w:tcW w:w="990" w:type="dxa"/>
          </w:tcPr>
          <w:p w14:paraId="08B24810" w14:textId="77777777" w:rsidR="002210CC" w:rsidRDefault="002210CC" w:rsidP="002210CC"/>
        </w:tc>
        <w:tc>
          <w:tcPr>
            <w:tcW w:w="900" w:type="dxa"/>
          </w:tcPr>
          <w:p w14:paraId="3A833A19" w14:textId="77777777" w:rsidR="002210CC" w:rsidRDefault="002210CC" w:rsidP="002210CC">
            <w:r>
              <w:t>6</w:t>
            </w:r>
          </w:p>
          <w:p w14:paraId="575891F8" w14:textId="77777777" w:rsidR="004D12FB" w:rsidRPr="008C060B" w:rsidRDefault="004D12FB" w:rsidP="002210CC">
            <w:r>
              <w:t>(5%)</w:t>
            </w:r>
          </w:p>
        </w:tc>
        <w:tc>
          <w:tcPr>
            <w:tcW w:w="900" w:type="dxa"/>
          </w:tcPr>
          <w:p w14:paraId="7BE4BC78" w14:textId="77777777" w:rsidR="002210CC" w:rsidRPr="008C060B" w:rsidRDefault="002210CC" w:rsidP="002210CC"/>
        </w:tc>
        <w:tc>
          <w:tcPr>
            <w:tcW w:w="720" w:type="dxa"/>
          </w:tcPr>
          <w:p w14:paraId="111F3E95" w14:textId="77777777" w:rsidR="002210CC" w:rsidRPr="008C060B" w:rsidRDefault="002210CC" w:rsidP="002210CC"/>
        </w:tc>
        <w:tc>
          <w:tcPr>
            <w:tcW w:w="630" w:type="dxa"/>
          </w:tcPr>
          <w:p w14:paraId="76B09EAF" w14:textId="77777777" w:rsidR="002210CC" w:rsidRDefault="002210CC" w:rsidP="002210CC"/>
        </w:tc>
        <w:tc>
          <w:tcPr>
            <w:tcW w:w="990" w:type="dxa"/>
          </w:tcPr>
          <w:p w14:paraId="70C4A77E" w14:textId="77777777" w:rsidR="002210CC" w:rsidRDefault="002210CC" w:rsidP="002210CC"/>
        </w:tc>
        <w:tc>
          <w:tcPr>
            <w:tcW w:w="990" w:type="dxa"/>
          </w:tcPr>
          <w:p w14:paraId="435A79CB" w14:textId="77777777" w:rsidR="002210CC" w:rsidRDefault="002210CC" w:rsidP="002210CC"/>
        </w:tc>
      </w:tr>
      <w:tr w:rsidR="0069079A" w14:paraId="62C7BDE9" w14:textId="77777777" w:rsidTr="0069079A">
        <w:trPr>
          <w:trHeight w:val="518"/>
        </w:trPr>
        <w:tc>
          <w:tcPr>
            <w:tcW w:w="1260" w:type="dxa"/>
          </w:tcPr>
          <w:p w14:paraId="5C20CB06" w14:textId="77777777" w:rsidR="002210CC" w:rsidRPr="00B15D63" w:rsidRDefault="002210CC" w:rsidP="002210CC">
            <w:pPr>
              <w:rPr>
                <w:b/>
              </w:rPr>
            </w:pPr>
            <w:r>
              <w:rPr>
                <w:b/>
              </w:rPr>
              <w:t>Diagnosis of Stroke</w:t>
            </w:r>
          </w:p>
        </w:tc>
        <w:tc>
          <w:tcPr>
            <w:tcW w:w="810" w:type="dxa"/>
          </w:tcPr>
          <w:p w14:paraId="71198277" w14:textId="77777777" w:rsidR="002210CC" w:rsidRDefault="002210CC" w:rsidP="002210CC">
            <w:r>
              <w:t>59</w:t>
            </w:r>
          </w:p>
          <w:p w14:paraId="7AAEFA00" w14:textId="77777777" w:rsidR="004D12FB" w:rsidRPr="008C060B" w:rsidRDefault="004D12FB" w:rsidP="002210CC">
            <w:r>
              <w:t>(10%)</w:t>
            </w:r>
          </w:p>
        </w:tc>
        <w:tc>
          <w:tcPr>
            <w:tcW w:w="810" w:type="dxa"/>
          </w:tcPr>
          <w:p w14:paraId="25B9CC0F" w14:textId="77777777" w:rsidR="002210CC" w:rsidRPr="008C060B" w:rsidRDefault="002210CC" w:rsidP="002210CC"/>
        </w:tc>
        <w:tc>
          <w:tcPr>
            <w:tcW w:w="810" w:type="dxa"/>
          </w:tcPr>
          <w:p w14:paraId="63D6313E" w14:textId="77777777" w:rsidR="002210CC" w:rsidRPr="008C060B" w:rsidRDefault="002210CC" w:rsidP="002210CC"/>
        </w:tc>
        <w:tc>
          <w:tcPr>
            <w:tcW w:w="720" w:type="dxa"/>
          </w:tcPr>
          <w:p w14:paraId="2B2BF08A" w14:textId="77777777" w:rsidR="002210CC" w:rsidRDefault="002210CC" w:rsidP="002210CC"/>
        </w:tc>
        <w:tc>
          <w:tcPr>
            <w:tcW w:w="810" w:type="dxa"/>
          </w:tcPr>
          <w:p w14:paraId="4FB7AFE1" w14:textId="77777777" w:rsidR="002210CC" w:rsidRDefault="002210CC" w:rsidP="002210CC"/>
        </w:tc>
        <w:tc>
          <w:tcPr>
            <w:tcW w:w="990" w:type="dxa"/>
          </w:tcPr>
          <w:p w14:paraId="54E32B18" w14:textId="77777777" w:rsidR="002210CC" w:rsidRDefault="002210CC" w:rsidP="002210CC"/>
        </w:tc>
        <w:tc>
          <w:tcPr>
            <w:tcW w:w="900" w:type="dxa"/>
          </w:tcPr>
          <w:p w14:paraId="29F92830" w14:textId="77777777" w:rsidR="002210CC" w:rsidRDefault="002210CC" w:rsidP="002210CC">
            <w:r>
              <w:t>16</w:t>
            </w:r>
          </w:p>
          <w:p w14:paraId="56878590" w14:textId="77777777" w:rsidR="004D12FB" w:rsidRPr="008C060B" w:rsidRDefault="004D12FB" w:rsidP="002210CC">
            <w:r>
              <w:t>(14%)</w:t>
            </w:r>
          </w:p>
        </w:tc>
        <w:tc>
          <w:tcPr>
            <w:tcW w:w="900" w:type="dxa"/>
          </w:tcPr>
          <w:p w14:paraId="281BD422" w14:textId="77777777" w:rsidR="002210CC" w:rsidRPr="008C060B" w:rsidRDefault="002210CC" w:rsidP="002210CC"/>
        </w:tc>
        <w:tc>
          <w:tcPr>
            <w:tcW w:w="720" w:type="dxa"/>
          </w:tcPr>
          <w:p w14:paraId="4EA5E8A1" w14:textId="77777777" w:rsidR="002210CC" w:rsidRPr="008C060B" w:rsidRDefault="002210CC" w:rsidP="002210CC"/>
        </w:tc>
        <w:tc>
          <w:tcPr>
            <w:tcW w:w="630" w:type="dxa"/>
          </w:tcPr>
          <w:p w14:paraId="4DDA3EE1" w14:textId="77777777" w:rsidR="002210CC" w:rsidRDefault="002210CC" w:rsidP="002210CC"/>
        </w:tc>
        <w:tc>
          <w:tcPr>
            <w:tcW w:w="990" w:type="dxa"/>
          </w:tcPr>
          <w:p w14:paraId="48AB2823" w14:textId="77777777" w:rsidR="002210CC" w:rsidRDefault="002210CC" w:rsidP="002210CC"/>
        </w:tc>
        <w:tc>
          <w:tcPr>
            <w:tcW w:w="990" w:type="dxa"/>
          </w:tcPr>
          <w:p w14:paraId="692F9DDB" w14:textId="77777777" w:rsidR="002210CC" w:rsidRDefault="002210CC" w:rsidP="002210CC"/>
        </w:tc>
      </w:tr>
      <w:tr w:rsidR="0069079A" w14:paraId="4B7BCFBC" w14:textId="77777777" w:rsidTr="0069079A">
        <w:trPr>
          <w:trHeight w:val="518"/>
        </w:trPr>
        <w:tc>
          <w:tcPr>
            <w:tcW w:w="1260" w:type="dxa"/>
          </w:tcPr>
          <w:p w14:paraId="23CD8E4E" w14:textId="77777777" w:rsidR="002210CC" w:rsidRPr="00B15D63" w:rsidRDefault="002210CC" w:rsidP="002210CC">
            <w:pPr>
              <w:rPr>
                <w:b/>
              </w:rPr>
            </w:pPr>
            <w:r w:rsidRPr="00B15D63">
              <w:rPr>
                <w:b/>
              </w:rPr>
              <w:t>Survived Greater Than 5 Years (Yes=1)</w:t>
            </w:r>
          </w:p>
        </w:tc>
        <w:tc>
          <w:tcPr>
            <w:tcW w:w="810" w:type="dxa"/>
          </w:tcPr>
          <w:p w14:paraId="1FD90714" w14:textId="77777777" w:rsidR="002210CC" w:rsidRPr="008C060B" w:rsidRDefault="002210CC" w:rsidP="002210CC"/>
        </w:tc>
        <w:tc>
          <w:tcPr>
            <w:tcW w:w="810" w:type="dxa"/>
          </w:tcPr>
          <w:p w14:paraId="63F13B57" w14:textId="77777777" w:rsidR="002210CC" w:rsidRDefault="002210CC" w:rsidP="002210CC">
            <w:r>
              <w:t>0.830</w:t>
            </w:r>
          </w:p>
        </w:tc>
        <w:tc>
          <w:tcPr>
            <w:tcW w:w="810" w:type="dxa"/>
          </w:tcPr>
          <w:p w14:paraId="387E77D6" w14:textId="77777777" w:rsidR="002210CC" w:rsidRDefault="002210CC" w:rsidP="002210CC"/>
        </w:tc>
        <w:tc>
          <w:tcPr>
            <w:tcW w:w="720" w:type="dxa"/>
          </w:tcPr>
          <w:p w14:paraId="66C8108D" w14:textId="77777777" w:rsidR="002210CC" w:rsidRDefault="002210CC" w:rsidP="002210CC">
            <w:r>
              <w:t>0</w:t>
            </w:r>
          </w:p>
        </w:tc>
        <w:tc>
          <w:tcPr>
            <w:tcW w:w="810" w:type="dxa"/>
          </w:tcPr>
          <w:p w14:paraId="242FD9D3" w14:textId="77777777" w:rsidR="002210CC" w:rsidRDefault="002210CC" w:rsidP="002210CC">
            <w:r>
              <w:t>1</w:t>
            </w:r>
          </w:p>
        </w:tc>
        <w:tc>
          <w:tcPr>
            <w:tcW w:w="990" w:type="dxa"/>
          </w:tcPr>
          <w:p w14:paraId="5AC43D01" w14:textId="77777777" w:rsidR="002210CC" w:rsidRDefault="002210CC" w:rsidP="002210CC"/>
        </w:tc>
        <w:tc>
          <w:tcPr>
            <w:tcW w:w="900" w:type="dxa"/>
          </w:tcPr>
          <w:p w14:paraId="356548E6" w14:textId="77777777" w:rsidR="002210CC" w:rsidRPr="008C060B" w:rsidRDefault="002210CC" w:rsidP="002210CC"/>
        </w:tc>
        <w:tc>
          <w:tcPr>
            <w:tcW w:w="900" w:type="dxa"/>
          </w:tcPr>
          <w:p w14:paraId="09AA6ADC" w14:textId="77777777" w:rsidR="002210CC" w:rsidRDefault="002210CC" w:rsidP="002210CC">
            <w:r>
              <w:t>0.863</w:t>
            </w:r>
          </w:p>
        </w:tc>
        <w:tc>
          <w:tcPr>
            <w:tcW w:w="720" w:type="dxa"/>
          </w:tcPr>
          <w:p w14:paraId="69D24273" w14:textId="77777777" w:rsidR="002210CC" w:rsidRDefault="002210CC" w:rsidP="002210CC"/>
        </w:tc>
        <w:tc>
          <w:tcPr>
            <w:tcW w:w="630" w:type="dxa"/>
          </w:tcPr>
          <w:p w14:paraId="424C2F63" w14:textId="77777777" w:rsidR="002210CC" w:rsidRDefault="002210CC" w:rsidP="002210CC">
            <w:r>
              <w:t>0</w:t>
            </w:r>
          </w:p>
        </w:tc>
        <w:tc>
          <w:tcPr>
            <w:tcW w:w="990" w:type="dxa"/>
          </w:tcPr>
          <w:p w14:paraId="7FC2BB3C" w14:textId="77777777" w:rsidR="002210CC" w:rsidRDefault="002210CC" w:rsidP="002210CC">
            <w:r>
              <w:t>1</w:t>
            </w:r>
          </w:p>
        </w:tc>
        <w:tc>
          <w:tcPr>
            <w:tcW w:w="990" w:type="dxa"/>
          </w:tcPr>
          <w:p w14:paraId="6C95D791" w14:textId="77777777" w:rsidR="002210CC" w:rsidRDefault="002210CC" w:rsidP="002210CC"/>
        </w:tc>
      </w:tr>
    </w:tbl>
    <w:p w14:paraId="67DD3516" w14:textId="77777777" w:rsidR="002F5844" w:rsidRDefault="002F5844" w:rsidP="004F3143"/>
    <w:p w14:paraId="2C4A8C5F" w14:textId="77777777" w:rsidR="004F3143" w:rsidRDefault="008C060B" w:rsidP="004F3143">
      <w:r w:rsidRPr="008C060B">
        <w:t xml:space="preserve">We chose to dichotomize Table 1 by high </w:t>
      </w:r>
      <w:r w:rsidR="00A23F3A">
        <w:t xml:space="preserve">LDL </w:t>
      </w:r>
      <w:r w:rsidRPr="008C060B">
        <w:t>(</w:t>
      </w:r>
      <w:r w:rsidR="00AE5562">
        <w:t xml:space="preserve">henceforth defined as </w:t>
      </w:r>
      <w:r w:rsidR="00A23F3A">
        <w:t xml:space="preserve">LDL </w:t>
      </w:r>
      <w:r w:rsidR="00992C85">
        <w:t xml:space="preserve">≥ </w:t>
      </w:r>
      <w:r w:rsidRPr="008C060B">
        <w:t>160</w:t>
      </w:r>
      <w:r w:rsidR="00992C85">
        <w:t xml:space="preserve"> mg/</w:t>
      </w:r>
      <w:proofErr w:type="spellStart"/>
      <w:r w:rsidR="00992C85">
        <w:t>dL</w:t>
      </w:r>
      <w:proofErr w:type="spellEnd"/>
      <w:r w:rsidRPr="008C060B">
        <w:t xml:space="preserve">) and low </w:t>
      </w:r>
      <w:r w:rsidR="00A23F3A">
        <w:t xml:space="preserve">LDL </w:t>
      </w:r>
      <w:r w:rsidRPr="008C060B">
        <w:t>(</w:t>
      </w:r>
      <w:r w:rsidR="00AE5562">
        <w:t xml:space="preserve">henceforth defined as </w:t>
      </w:r>
      <w:r w:rsidR="00A23F3A">
        <w:t xml:space="preserve">LDL </w:t>
      </w:r>
      <w:r w:rsidRPr="008C060B">
        <w:t>&lt;</w:t>
      </w:r>
      <w:r w:rsidR="00992C85">
        <w:t xml:space="preserve"> </w:t>
      </w:r>
      <w:r w:rsidRPr="008C060B">
        <w:t>160</w:t>
      </w:r>
      <w:r w:rsidR="00992C85">
        <w:t xml:space="preserve"> mg/</w:t>
      </w:r>
      <w:proofErr w:type="spellStart"/>
      <w:r w:rsidR="00992C85">
        <w:t>dL</w:t>
      </w:r>
      <w:proofErr w:type="spellEnd"/>
      <w:r w:rsidRPr="008C060B">
        <w:t xml:space="preserve">) because the most clinically relevant manner to approach this data is to view 5-year all-cause </w:t>
      </w:r>
      <w:r w:rsidRPr="008C060B">
        <w:lastRenderedPageBreak/>
        <w:t xml:space="preserve">mortality as our response variable and to view the presence of high </w:t>
      </w:r>
      <w:r w:rsidR="00A23F3A">
        <w:t xml:space="preserve">LDL </w:t>
      </w:r>
      <w:r w:rsidRPr="008C060B">
        <w:t>levels as our predictor of interest for the response variable.</w:t>
      </w:r>
    </w:p>
    <w:p w14:paraId="42F7EA42" w14:textId="77777777" w:rsidR="004F3143" w:rsidRDefault="004F3143" w:rsidP="004F3143">
      <w:commentRangeStart w:id="3"/>
      <w:r>
        <w:t>3</w:t>
      </w:r>
      <w:commentRangeEnd w:id="3"/>
      <w:r w:rsidR="0054002A">
        <w:rPr>
          <w:rStyle w:val="CommentReference"/>
        </w:rPr>
        <w:commentReference w:id="3"/>
      </w:r>
      <w:r>
        <w:t>.</w:t>
      </w:r>
      <w:r w:rsidR="00AD4DE3">
        <w:t xml:space="preserve"> </w:t>
      </w:r>
      <w:r w:rsidR="00163061">
        <w:t>To evaluate whether or not there is an association between LDL and 5-year mortality, w</w:t>
      </w:r>
      <w:r w:rsidR="008C060B" w:rsidRPr="008C060B">
        <w:t xml:space="preserve">e performed a </w:t>
      </w:r>
      <w:r w:rsidR="002E52F3">
        <w:t xml:space="preserve">two-sample </w:t>
      </w:r>
      <w:r w:rsidR="008C060B" w:rsidRPr="008C060B">
        <w:t xml:space="preserve">t-test, without assuming equal variance, for the equality of mean </w:t>
      </w:r>
      <w:r w:rsidR="00A23F3A">
        <w:t xml:space="preserve">LDL </w:t>
      </w:r>
      <w:r w:rsidR="008C060B" w:rsidRPr="008C060B">
        <w:t xml:space="preserve">levels between patients who survived for less than 5 years </w:t>
      </w:r>
      <w:r w:rsidR="00017D59">
        <w:t>after</w:t>
      </w:r>
      <w:r w:rsidR="008C060B" w:rsidRPr="008C060B">
        <w:t xml:space="preserve"> </w:t>
      </w:r>
      <w:r w:rsidR="00C46B06">
        <w:t>enrollment</w:t>
      </w:r>
      <w:r w:rsidR="008C060B" w:rsidRPr="008C060B">
        <w:t xml:space="preserve"> and those who survived greater than 5 years </w:t>
      </w:r>
      <w:r w:rsidR="00017D59">
        <w:t>after</w:t>
      </w:r>
      <w:r w:rsidR="008C060B" w:rsidRPr="008C060B">
        <w:t xml:space="preserve"> </w:t>
      </w:r>
      <w:r w:rsidR="00C46B06">
        <w:t>enrollment</w:t>
      </w:r>
      <w:r w:rsidR="008C060B" w:rsidRPr="008C060B">
        <w:t>.</w:t>
      </w:r>
      <w:r w:rsidR="00163061">
        <w:t xml:space="preserve"> This test compared mean LDL levels in the patient groups defined previously by taking their difference.</w:t>
      </w:r>
    </w:p>
    <w:p w14:paraId="3BE2C656" w14:textId="77777777" w:rsidR="00894C32" w:rsidRDefault="00163061" w:rsidP="004F3143">
      <w:r>
        <w:t xml:space="preserve">After performing the t-test, we found that for the 119 patients who survived </w:t>
      </w:r>
      <w:r w:rsidRPr="008C060B">
        <w:t xml:space="preserve">for less than 5 years </w:t>
      </w:r>
      <w:r>
        <w:t>after</w:t>
      </w:r>
      <w:r w:rsidRPr="008C060B">
        <w:t xml:space="preserve"> </w:t>
      </w:r>
      <w:r>
        <w:t>enrollment, the mean LDL level was 118.7 mg/</w:t>
      </w:r>
      <w:proofErr w:type="spellStart"/>
      <w:r>
        <w:t>dL</w:t>
      </w:r>
      <w:proofErr w:type="spellEnd"/>
      <w:r>
        <w:t xml:space="preserve">, and for the 606 patients who survived greater than 5 years after enrollment, </w:t>
      </w:r>
      <w:r w:rsidR="003F5533">
        <w:t>the</w:t>
      </w:r>
      <w:r w:rsidR="004C397D">
        <w:t xml:space="preserve"> mean LDL level was 127.2 mg/</w:t>
      </w:r>
      <w:proofErr w:type="spellStart"/>
      <w:r w:rsidR="004C397D">
        <w:t>dL</w:t>
      </w:r>
      <w:proofErr w:type="spellEnd"/>
      <w:r w:rsidR="004C397D">
        <w:t>,</w:t>
      </w:r>
      <w:r w:rsidR="002373CD">
        <w:t xml:space="preserve"> giving an</w:t>
      </w:r>
      <w:r w:rsidR="004C397D">
        <w:t xml:space="preserve"> average</w:t>
      </w:r>
      <w:r w:rsidR="002373CD">
        <w:t xml:space="preserve"> difference</w:t>
      </w:r>
      <w:r w:rsidR="004C397D">
        <w:t xml:space="preserve"> in </w:t>
      </w:r>
      <w:r w:rsidR="002373CD">
        <w:t>mean LDL levels of 8.5 mg/</w:t>
      </w:r>
      <w:proofErr w:type="spellStart"/>
      <w:r w:rsidR="002373CD">
        <w:t>dL</w:t>
      </w:r>
      <w:proofErr w:type="spellEnd"/>
      <w:r w:rsidR="004C397D">
        <w:t xml:space="preserve"> higher for the group which survived greater than 5 years after enrollment</w:t>
      </w:r>
      <w:r w:rsidR="002373CD">
        <w:t xml:space="preserve">. </w:t>
      </w:r>
      <w:r w:rsidR="004C397D">
        <w:t>A 95% confidence interval for this difference is bounded below by 1.4 mg/</w:t>
      </w:r>
      <w:proofErr w:type="spellStart"/>
      <w:r w:rsidR="004C397D">
        <w:t>dL</w:t>
      </w:r>
      <w:proofErr w:type="spellEnd"/>
      <w:r w:rsidR="004C397D">
        <w:t xml:space="preserve"> higher for the </w:t>
      </w:r>
      <w:proofErr w:type="gramStart"/>
      <w:r w:rsidR="004C397D">
        <w:t>group which</w:t>
      </w:r>
      <w:proofErr w:type="gramEnd"/>
      <w:r w:rsidR="004C397D">
        <w:t xml:space="preserve"> survived greater than 5 years after enrollment and is bounded above by 15.6 mg/</w:t>
      </w:r>
      <w:proofErr w:type="spellStart"/>
      <w:r w:rsidR="004C397D">
        <w:t>dL</w:t>
      </w:r>
      <w:proofErr w:type="spellEnd"/>
      <w:r w:rsidR="004C397D">
        <w:t xml:space="preserve"> higher for the group which survived greater than 5 years after enrollment. This means with 95% confidence, it would not be unusual if the true mean LDL levels for the group which survived greater than 5 years after enrollment were between 1.4 mg/</w:t>
      </w:r>
      <w:proofErr w:type="spellStart"/>
      <w:r w:rsidR="004C397D">
        <w:t>dL</w:t>
      </w:r>
      <w:proofErr w:type="spellEnd"/>
      <w:r w:rsidR="004C397D">
        <w:t xml:space="preserve"> higher or 15.6 mg/</w:t>
      </w:r>
      <w:proofErr w:type="spellStart"/>
      <w:r w:rsidR="004C397D">
        <w:t>dL</w:t>
      </w:r>
      <w:proofErr w:type="spellEnd"/>
      <w:r w:rsidR="004C397D">
        <w:t xml:space="preserve"> higher than the mean LDL levels for the group which survived less than 5 years after enrollment. </w:t>
      </w:r>
      <w:r w:rsidR="000E645D">
        <w:t>This t-test had a statistically significant two-sided p-value of 0.0186, which means that we can with high confidence state that this difference indicates an association between LDL and 5-year mortality.</w:t>
      </w:r>
    </w:p>
    <w:p w14:paraId="05DF9B5A" w14:textId="77777777" w:rsidR="004F3143" w:rsidRDefault="004F3143" w:rsidP="004F3143"/>
    <w:p w14:paraId="6E577175" w14:textId="77777777" w:rsidR="003635E2" w:rsidRDefault="003635E2">
      <w:r>
        <w:br w:type="page"/>
      </w:r>
    </w:p>
    <w:p w14:paraId="2BA88453" w14:textId="77777777" w:rsidR="002E52F3" w:rsidRDefault="004F3143" w:rsidP="004F3143">
      <w:commentRangeStart w:id="4"/>
      <w:r>
        <w:lastRenderedPageBreak/>
        <w:t>4</w:t>
      </w:r>
      <w:commentRangeEnd w:id="4"/>
      <w:r w:rsidR="0054002A">
        <w:rPr>
          <w:rStyle w:val="CommentReference"/>
        </w:rPr>
        <w:commentReference w:id="4"/>
      </w:r>
      <w:r>
        <w:t>.</w:t>
      </w:r>
      <w:r w:rsidR="00AD4DE3">
        <w:t xml:space="preserve"> </w:t>
      </w:r>
      <w:r w:rsidR="00C759F6">
        <w:t>To evaluate whether or not there is an association between LDL levels and 5-year mortality, w</w:t>
      </w:r>
      <w:r w:rsidR="008C060B" w:rsidRPr="008C060B">
        <w:t>e chose to</w:t>
      </w:r>
      <w:r w:rsidR="00C759F6">
        <w:t xml:space="preserve"> compare the geometric means of LDL levels between patients who survived for less than 5 years after enrollment and those who survived greater than 5 years after enrollment.</w:t>
      </w:r>
      <w:r w:rsidR="008C060B" w:rsidRPr="008C060B">
        <w:t xml:space="preserve"> </w:t>
      </w:r>
      <w:r w:rsidR="002E52F3">
        <w:t xml:space="preserve">To compare the geometric mean LDL levels, we took the ratio of geometric mean LDL levels between groups. </w:t>
      </w:r>
      <w:r w:rsidR="002E52F3" w:rsidRPr="008C060B">
        <w:t xml:space="preserve">We did this by taking the natural logarithm of all </w:t>
      </w:r>
      <w:r w:rsidR="002E52F3">
        <w:t xml:space="preserve">LDL </w:t>
      </w:r>
      <w:r w:rsidR="002E52F3" w:rsidRPr="008C060B">
        <w:t xml:space="preserve">levels, and then performing a two-sample t-test </w:t>
      </w:r>
      <w:r w:rsidR="00504360">
        <w:t>(</w:t>
      </w:r>
      <w:r w:rsidR="00C16A20">
        <w:t>without assuming equal variance</w:t>
      </w:r>
      <w:r w:rsidR="00504360">
        <w:t>)</w:t>
      </w:r>
      <w:r w:rsidR="00C16A20">
        <w:t xml:space="preserve"> </w:t>
      </w:r>
      <w:r w:rsidR="002E52F3" w:rsidRPr="008C060B">
        <w:t xml:space="preserve">for the equality of mean </w:t>
      </w:r>
      <w:proofErr w:type="gramStart"/>
      <w:r w:rsidR="002E52F3" w:rsidRPr="008C060B">
        <w:t>log(</w:t>
      </w:r>
      <w:proofErr w:type="gramEnd"/>
      <w:r w:rsidR="002E52F3">
        <w:t>LDL</w:t>
      </w:r>
      <w:r w:rsidR="002E52F3" w:rsidRPr="008C060B">
        <w:t>) levels between the two groups of interest defined previously, which produced a mean difference in log(</w:t>
      </w:r>
      <w:r w:rsidR="002E52F3">
        <w:t>LDL</w:t>
      </w:r>
      <w:r w:rsidR="002E52F3" w:rsidRPr="008C060B">
        <w:t>) levels and a 95% confidence interval for this</w:t>
      </w:r>
      <w:r w:rsidR="00956601">
        <w:t xml:space="preserve"> difference</w:t>
      </w:r>
      <w:r w:rsidR="002E52F3" w:rsidRPr="008C060B">
        <w:t>. To derive the</w:t>
      </w:r>
      <w:r w:rsidR="00714E3F">
        <w:t xml:space="preserve"> ratio of the geometric mean</w:t>
      </w:r>
      <w:r w:rsidR="002E52F3" w:rsidRPr="008C060B">
        <w:t xml:space="preserve"> </w:t>
      </w:r>
      <w:r w:rsidR="002E52F3">
        <w:t xml:space="preserve">LDL </w:t>
      </w:r>
      <w:r w:rsidR="002E52F3" w:rsidRPr="008C060B">
        <w:t xml:space="preserve">levels between these groups, we </w:t>
      </w:r>
      <w:r w:rsidR="00714E3F">
        <w:t>raised</w:t>
      </w:r>
      <w:r w:rsidR="002E52F3" w:rsidRPr="008C060B">
        <w:t xml:space="preserve"> the mean </w:t>
      </w:r>
      <w:proofErr w:type="gramStart"/>
      <w:r w:rsidR="002E52F3" w:rsidRPr="008C060B">
        <w:t>log(</w:t>
      </w:r>
      <w:proofErr w:type="gramEnd"/>
      <w:r w:rsidR="002E52F3">
        <w:t>LDL</w:t>
      </w:r>
      <w:r w:rsidR="002E52F3" w:rsidRPr="008C060B">
        <w:t>) difference and both endpoints of the 95% confidence interval</w:t>
      </w:r>
      <w:r w:rsidR="00714E3F">
        <w:t xml:space="preserve"> as powers of the natural base e</w:t>
      </w:r>
      <w:r w:rsidR="002E52F3" w:rsidRPr="008C060B">
        <w:t>.</w:t>
      </w:r>
      <w:r w:rsidR="00F85226">
        <w:t xml:space="preserve"> This ratio will be the geometric mean LDL level for the group surviving less than 5 years after enrollment divided by the geometric mean LDL level for the group surviving greater than 5 years after enrollment.</w:t>
      </w:r>
    </w:p>
    <w:p w14:paraId="7AE93080" w14:textId="77777777" w:rsidR="004F3143" w:rsidRDefault="00472EDF" w:rsidP="004F3143">
      <w:r>
        <w:t>The two-sample t-test</w:t>
      </w:r>
      <w:r w:rsidR="007B1867">
        <w:t xml:space="preserve"> as</w:t>
      </w:r>
      <w:r>
        <w:t xml:space="preserve"> described above</w:t>
      </w:r>
      <w:r w:rsidR="007B1867">
        <w:t xml:space="preserve"> produced a </w:t>
      </w:r>
      <w:r w:rsidR="008C060B" w:rsidRPr="008C060B">
        <w:t xml:space="preserve">mean difference in </w:t>
      </w:r>
      <w:proofErr w:type="gramStart"/>
      <w:r w:rsidR="008C060B" w:rsidRPr="008C060B">
        <w:t>log(</w:t>
      </w:r>
      <w:proofErr w:type="gramEnd"/>
      <w:r w:rsidR="00A23F3A">
        <w:t>LDL</w:t>
      </w:r>
      <w:r w:rsidR="008C060B" w:rsidRPr="008C060B">
        <w:t>) levels of -</w:t>
      </w:r>
      <w:r w:rsidR="007B1867">
        <w:t>0</w:t>
      </w:r>
      <w:r w:rsidR="008C060B" w:rsidRPr="008C060B">
        <w:t>.092</w:t>
      </w:r>
      <w:r w:rsidR="007B1867">
        <w:t>, where the mean log(LDL) level for the group surviving less than 5 years after enrollment was equal to 4.719 (corresponding to a geometric mean</w:t>
      </w:r>
      <w:r w:rsidR="00F85226">
        <w:t xml:space="preserve"> LDL level</w:t>
      </w:r>
      <w:r w:rsidR="007B1867">
        <w:t xml:space="preserve"> of 112.1) and the mean log(LDL) level for the group surviving greater than 5 years after enrollment was equal to 4.811 (corresponding to a geometric mean</w:t>
      </w:r>
      <w:r w:rsidR="00F85226">
        <w:t xml:space="preserve"> LDL level</w:t>
      </w:r>
      <w:r w:rsidR="007B1867">
        <w:t xml:space="preserve"> of 122.9).</w:t>
      </w:r>
      <w:r w:rsidR="008C060B" w:rsidRPr="008C060B">
        <w:t xml:space="preserve"> </w:t>
      </w:r>
      <w:r w:rsidR="007B1867">
        <w:t>A</w:t>
      </w:r>
      <w:r w:rsidR="008C060B" w:rsidRPr="008C060B">
        <w:t xml:space="preserve"> 95% confidence</w:t>
      </w:r>
      <w:r w:rsidR="00F85226">
        <w:t xml:space="preserve"> interval for this difference is</w:t>
      </w:r>
      <w:r w:rsidR="008C060B" w:rsidRPr="008C060B">
        <w:t xml:space="preserve"> </w:t>
      </w:r>
      <w:r w:rsidR="007B1867">
        <w:t>(</w:t>
      </w:r>
      <w:r w:rsidR="008C060B" w:rsidRPr="008C060B">
        <w:t>-</w:t>
      </w:r>
      <w:r w:rsidR="007B1867">
        <w:t>0</w:t>
      </w:r>
      <w:r w:rsidR="008C060B" w:rsidRPr="008C060B">
        <w:t>.164</w:t>
      </w:r>
      <w:r w:rsidR="007B1867">
        <w:t>,</w:t>
      </w:r>
      <w:r w:rsidR="008C060B" w:rsidRPr="008C060B">
        <w:t xml:space="preserve"> -</w:t>
      </w:r>
      <w:r w:rsidR="007B1867">
        <w:t>0.020)</w:t>
      </w:r>
      <w:r w:rsidR="008C060B" w:rsidRPr="008C060B">
        <w:t xml:space="preserve">. </w:t>
      </w:r>
      <w:r w:rsidR="00F85226">
        <w:t>After deriving</w:t>
      </w:r>
      <w:r w:rsidR="008C060B" w:rsidRPr="008C060B">
        <w:t xml:space="preserve"> </w:t>
      </w:r>
      <w:r w:rsidR="00F85226">
        <w:t>the ratio of the geometric mean</w:t>
      </w:r>
      <w:r w:rsidR="008C060B" w:rsidRPr="008C060B">
        <w:t xml:space="preserve"> </w:t>
      </w:r>
      <w:r w:rsidR="00A23F3A">
        <w:t xml:space="preserve">LDL </w:t>
      </w:r>
      <w:r w:rsidR="008C060B" w:rsidRPr="008C060B">
        <w:t>levels between these groups</w:t>
      </w:r>
      <w:r w:rsidR="00F85226">
        <w:t xml:space="preserve"> as described above</w:t>
      </w:r>
      <w:r w:rsidR="008C060B" w:rsidRPr="008C060B">
        <w:t xml:space="preserve">, we obtained a point estimate of the ratio of geometric means of </w:t>
      </w:r>
      <w:r w:rsidR="00F85226">
        <w:t>0.912</w:t>
      </w:r>
      <w:r w:rsidR="008C060B" w:rsidRPr="008C060B">
        <w:t xml:space="preserve">, and a 95% confidence interval for this ratio of </w:t>
      </w:r>
      <w:r w:rsidR="00F85226">
        <w:t>(0</w:t>
      </w:r>
      <w:r w:rsidR="008C060B" w:rsidRPr="008C060B">
        <w:t>.848</w:t>
      </w:r>
      <w:r w:rsidR="00F85226">
        <w:t>,</w:t>
      </w:r>
      <w:r w:rsidR="008C060B" w:rsidRPr="008C060B">
        <w:t xml:space="preserve"> </w:t>
      </w:r>
      <w:r w:rsidR="00F85226">
        <w:t>0</w:t>
      </w:r>
      <w:r w:rsidR="008C060B" w:rsidRPr="008C060B">
        <w:t>.980</w:t>
      </w:r>
      <w:r w:rsidR="00F85226">
        <w:t>). This means that with 95% confidence, it would not be unusual if the true geometric mean LDL levels for the group surviving less than 5 years after enrollment was between 84.8% and 98.0% as large as the true geometric mean LDL levels for the group surviving greater than 5 years after enrollment. The test for the equality of geometric means produced</w:t>
      </w:r>
      <w:r w:rsidR="008C060B" w:rsidRPr="008C060B">
        <w:t xml:space="preserve"> a</w:t>
      </w:r>
      <w:r w:rsidR="00F85226">
        <w:t xml:space="preserve"> statistically significant two-sided p-value of 0.0128, meaning that we can with high confidence state that this ratio indicates an association between LDL and 5-year mortality.</w:t>
      </w:r>
    </w:p>
    <w:p w14:paraId="5EF6A239" w14:textId="77777777" w:rsidR="004F3143" w:rsidRDefault="004F3143" w:rsidP="004F3143"/>
    <w:p w14:paraId="36BA4B23" w14:textId="77777777" w:rsidR="003635E2" w:rsidRDefault="003635E2">
      <w:r>
        <w:br w:type="page"/>
      </w:r>
    </w:p>
    <w:p w14:paraId="23E13CCE" w14:textId="77777777" w:rsidR="00552FDA" w:rsidRDefault="004F3143" w:rsidP="004F3143">
      <w:commentRangeStart w:id="5"/>
      <w:r>
        <w:lastRenderedPageBreak/>
        <w:t>5</w:t>
      </w:r>
      <w:commentRangeEnd w:id="5"/>
      <w:r w:rsidR="006A1DAF">
        <w:rPr>
          <w:rStyle w:val="CommentReference"/>
        </w:rPr>
        <w:commentReference w:id="5"/>
      </w:r>
      <w:r>
        <w:t>.</w:t>
      </w:r>
      <w:r w:rsidR="00AD4DE3">
        <w:t xml:space="preserve"> </w:t>
      </w:r>
      <w:r w:rsidR="008C060B" w:rsidRPr="008C060B">
        <w:t>We</w:t>
      </w:r>
      <w:r w:rsidR="00552FDA">
        <w:t xml:space="preserve"> evaluated whether or not there is an association between LDL and 5-year all-cause mortality by comparing</w:t>
      </w:r>
      <w:r w:rsidR="008C060B" w:rsidRPr="008C060B">
        <w:t xml:space="preserve"> the probability of all-cause death within 5 years</w:t>
      </w:r>
      <w:r w:rsidR="00386984">
        <w:t xml:space="preserve"> after</w:t>
      </w:r>
      <w:r w:rsidR="00386984" w:rsidRPr="008C060B">
        <w:t xml:space="preserve"> </w:t>
      </w:r>
      <w:r w:rsidR="00386984">
        <w:t>enrollment</w:t>
      </w:r>
      <w:r w:rsidR="008C060B" w:rsidRPr="008C060B">
        <w:t xml:space="preserve">, which we will define as the risk, between groups defined by patients who have high </w:t>
      </w:r>
      <w:r w:rsidR="005C0809">
        <w:t xml:space="preserve">LDL </w:t>
      </w:r>
      <w:r w:rsidR="008C060B" w:rsidRPr="008C060B">
        <w:t xml:space="preserve">and </w:t>
      </w:r>
      <w:commentRangeStart w:id="6"/>
      <w:r w:rsidR="008C060B" w:rsidRPr="008C060B">
        <w:t xml:space="preserve">low </w:t>
      </w:r>
      <w:r w:rsidR="005C0809">
        <w:t>LDL</w:t>
      </w:r>
      <w:commentRangeEnd w:id="6"/>
      <w:r w:rsidR="009343E7">
        <w:rPr>
          <w:rStyle w:val="CommentReference"/>
        </w:rPr>
        <w:commentReference w:id="6"/>
      </w:r>
      <w:r w:rsidR="00552FDA">
        <w:t>.</w:t>
      </w:r>
      <w:r w:rsidR="005C0809">
        <w:t xml:space="preserve"> </w:t>
      </w:r>
      <w:r w:rsidR="007C20EA">
        <w:t>To compare risk of 5-year mortality between these groups, we</w:t>
      </w:r>
      <w:r w:rsidR="008C060B" w:rsidRPr="008C060B">
        <w:t xml:space="preserve"> calculat</w:t>
      </w:r>
      <w:r w:rsidR="007C20EA">
        <w:t>ed</w:t>
      </w:r>
      <w:r w:rsidR="008C060B" w:rsidRPr="008C060B">
        <w:t xml:space="preserve"> a standardized risk difference</w:t>
      </w:r>
      <w:r w:rsidR="007C20EA">
        <w:t xml:space="preserve">. This risk difference will be the risk of 5-year mortality for patients with high LDL subtracted from the risk of 5-year mortality for patients with low </w:t>
      </w:r>
      <w:commentRangeStart w:id="7"/>
      <w:r w:rsidR="007C20EA">
        <w:t>LDL</w:t>
      </w:r>
      <w:commentRangeEnd w:id="7"/>
      <w:r w:rsidR="006A1DAF">
        <w:rPr>
          <w:rStyle w:val="CommentReference"/>
        </w:rPr>
        <w:commentReference w:id="7"/>
      </w:r>
      <w:r w:rsidR="007C20EA">
        <w:t>.</w:t>
      </w:r>
    </w:p>
    <w:p w14:paraId="12E6826E" w14:textId="77777777" w:rsidR="004F3143" w:rsidRDefault="007C20EA" w:rsidP="004F3143">
      <w:r>
        <w:t>We found that the risk of 5-year mortality for patients with high LDL was 0.137 and the risk of 5-year mortality for patients with low LDL was 0.170. We then calculated a</w:t>
      </w:r>
      <w:r w:rsidR="008C060B" w:rsidRPr="008C060B">
        <w:t xml:space="preserve"> point est</w:t>
      </w:r>
      <w:r>
        <w:t>imate for the risk difference of</w:t>
      </w:r>
      <w:r w:rsidR="008C060B" w:rsidRPr="008C060B">
        <w:t xml:space="preserve"> -</w:t>
      </w:r>
      <w:r>
        <w:t>0</w:t>
      </w:r>
      <w:r w:rsidR="008C060B" w:rsidRPr="008C060B">
        <w:t>.033</w:t>
      </w:r>
      <w:r>
        <w:t>, and produced a</w:t>
      </w:r>
      <w:r w:rsidR="008C060B" w:rsidRPr="008C060B">
        <w:t xml:space="preserve"> 95% confidence interval for this difference </w:t>
      </w:r>
      <w:r>
        <w:t>of</w:t>
      </w:r>
      <w:r w:rsidR="008C060B" w:rsidRPr="008C060B">
        <w:t xml:space="preserve"> </w:t>
      </w:r>
      <w:r>
        <w:t>(</w:t>
      </w:r>
      <w:r w:rsidR="008C060B" w:rsidRPr="008C060B">
        <w:t>-</w:t>
      </w:r>
      <w:r>
        <w:t>0</w:t>
      </w:r>
      <w:r w:rsidR="008C060B" w:rsidRPr="008C060B">
        <w:t>.</w:t>
      </w:r>
      <w:commentRangeStart w:id="8"/>
      <w:r w:rsidR="008C060B" w:rsidRPr="008C060B">
        <w:t>102</w:t>
      </w:r>
      <w:commentRangeEnd w:id="8"/>
      <w:r w:rsidR="006A1DAF">
        <w:rPr>
          <w:rStyle w:val="CommentReference"/>
        </w:rPr>
        <w:commentReference w:id="8"/>
      </w:r>
      <w:r>
        <w:t xml:space="preserve">, 0.036). This means that with 95% confidence, it would not be unusual if the true </w:t>
      </w:r>
      <w:r w:rsidR="004B6B4B">
        <w:t xml:space="preserve">risk of 5-year mortality for patients with high LDL </w:t>
      </w:r>
      <w:proofErr w:type="gramStart"/>
      <w:r w:rsidR="004B6B4B">
        <w:t>was</w:t>
      </w:r>
      <w:proofErr w:type="gramEnd"/>
      <w:r w:rsidR="004B6B4B">
        <w:t xml:space="preserve"> between 0.102 lower than and 0.036 higher than the true risk of 5-year mortality for patients with low LDL. The test for equality produced</w:t>
      </w:r>
      <w:r w:rsidR="008C060B" w:rsidRPr="008C060B">
        <w:t xml:space="preserve"> a</w:t>
      </w:r>
      <w:r w:rsidR="00C07545">
        <w:t xml:space="preserve"> statistically insignificant</w:t>
      </w:r>
      <w:r w:rsidR="008C060B" w:rsidRPr="008C060B">
        <w:t xml:space="preserve"> p-value of 0.</w:t>
      </w:r>
      <w:commentRangeStart w:id="9"/>
      <w:r w:rsidR="008C060B" w:rsidRPr="008C060B">
        <w:t>3753</w:t>
      </w:r>
      <w:commentRangeEnd w:id="9"/>
      <w:r w:rsidR="006A1DAF">
        <w:rPr>
          <w:rStyle w:val="CommentReference"/>
        </w:rPr>
        <w:commentReference w:id="9"/>
      </w:r>
      <w:r w:rsidR="004B6B4B">
        <w:t>, which means that we cannot with high confidence reject the null hypothesis that there is no association between LDL levels and 5-year m</w:t>
      </w:r>
      <w:r w:rsidR="00881393">
        <w:t>ortality based on this</w:t>
      </w:r>
      <w:r w:rsidR="004B6B4B">
        <w:t xml:space="preserve"> risk difference</w:t>
      </w:r>
      <w:r w:rsidR="008C060B" w:rsidRPr="008C060B">
        <w:t xml:space="preserve">. </w:t>
      </w:r>
      <w:r w:rsidR="008C060B" w:rsidRPr="008C060B">
        <w:cr/>
      </w:r>
    </w:p>
    <w:p w14:paraId="30267667" w14:textId="77777777" w:rsidR="004F3143" w:rsidRDefault="004F3143" w:rsidP="004F3143"/>
    <w:p w14:paraId="4E9908FC" w14:textId="77777777" w:rsidR="003635E2" w:rsidRDefault="003635E2">
      <w:r>
        <w:br w:type="page"/>
      </w:r>
    </w:p>
    <w:p w14:paraId="5FFA94E5" w14:textId="77777777" w:rsidR="004F3143" w:rsidRDefault="004F3143" w:rsidP="004F3143">
      <w:commentRangeStart w:id="10"/>
      <w:r>
        <w:lastRenderedPageBreak/>
        <w:t>6</w:t>
      </w:r>
      <w:commentRangeEnd w:id="10"/>
      <w:r w:rsidR="003521E0">
        <w:rPr>
          <w:rStyle w:val="CommentReference"/>
        </w:rPr>
        <w:commentReference w:id="10"/>
      </w:r>
      <w:r>
        <w:t>.</w:t>
      </w:r>
      <w:r w:rsidR="00AD4DE3">
        <w:t xml:space="preserve"> </w:t>
      </w:r>
      <w:r w:rsidR="00990ABF" w:rsidRPr="008C060B">
        <w:t>We</w:t>
      </w:r>
      <w:r w:rsidR="00990ABF">
        <w:t xml:space="preserve"> evaluated whether or not there is an association between LDL and 5-year all-cause mortality by comparing</w:t>
      </w:r>
      <w:r w:rsidR="00990ABF" w:rsidRPr="008C060B">
        <w:t xml:space="preserve"> the</w:t>
      </w:r>
      <w:r w:rsidR="008C060B" w:rsidRPr="008C060B">
        <w:t xml:space="preserve"> odds of all-cause death within 5 years</w:t>
      </w:r>
      <w:r w:rsidR="00D87380">
        <w:t xml:space="preserve"> after</w:t>
      </w:r>
      <w:r w:rsidR="00D87380" w:rsidRPr="008C060B">
        <w:t xml:space="preserve"> </w:t>
      </w:r>
      <w:r w:rsidR="00D87380">
        <w:t>enrollment</w:t>
      </w:r>
      <w:r w:rsidR="008C060B" w:rsidRPr="008C060B">
        <w:t xml:space="preserve"> between groups defined by patients who have high </w:t>
      </w:r>
      <w:r w:rsidR="005C0809">
        <w:t xml:space="preserve">LDL </w:t>
      </w:r>
      <w:r w:rsidR="008C060B" w:rsidRPr="008C060B">
        <w:t xml:space="preserve">and low </w:t>
      </w:r>
      <w:r w:rsidR="005C0809">
        <w:t>LDL</w:t>
      </w:r>
      <w:r w:rsidR="00990ABF">
        <w:t>. We compared these odds by</w:t>
      </w:r>
      <w:r w:rsidR="008C060B" w:rsidRPr="008C060B">
        <w:t xml:space="preserve"> </w:t>
      </w:r>
      <w:r w:rsidR="00990ABF">
        <w:t>calculating</w:t>
      </w:r>
      <w:r w:rsidR="008C060B" w:rsidRPr="008C060B">
        <w:t xml:space="preserve"> a</w:t>
      </w:r>
      <w:r w:rsidR="00990ABF">
        <w:t>n odds ratio, which</w:t>
      </w:r>
      <w:r w:rsidR="008C060B" w:rsidRPr="008C060B">
        <w:t xml:space="preserve"> is equal to the odds of all-cause death within 5 years</w:t>
      </w:r>
      <w:r w:rsidR="004B020D">
        <w:t xml:space="preserve"> after</w:t>
      </w:r>
      <w:r w:rsidR="004B020D" w:rsidRPr="008C060B">
        <w:t xml:space="preserve"> </w:t>
      </w:r>
      <w:r w:rsidR="004B020D">
        <w:t>enrollment</w:t>
      </w:r>
      <w:r w:rsidR="008C060B" w:rsidRPr="008C060B">
        <w:t xml:space="preserve"> for patients with high </w:t>
      </w:r>
      <w:r w:rsidR="005C0809">
        <w:t xml:space="preserve">LDL </w:t>
      </w:r>
      <w:r w:rsidR="008C060B" w:rsidRPr="008C060B">
        <w:t>divided by the odds of all-cause death within 5 years</w:t>
      </w:r>
      <w:r w:rsidR="004B020D">
        <w:t xml:space="preserve"> after</w:t>
      </w:r>
      <w:r w:rsidR="004B020D" w:rsidRPr="008C060B">
        <w:t xml:space="preserve"> </w:t>
      </w:r>
      <w:r w:rsidR="004B020D">
        <w:t>enrollment</w:t>
      </w:r>
      <w:r w:rsidR="008C060B" w:rsidRPr="008C060B">
        <w:t xml:space="preserve"> for patients with low </w:t>
      </w:r>
      <w:r w:rsidR="005C0809">
        <w:t>LDL</w:t>
      </w:r>
      <w:r w:rsidR="00056685">
        <w:t>.</w:t>
      </w:r>
    </w:p>
    <w:p w14:paraId="2B2EFDDE" w14:textId="77777777" w:rsidR="00056685" w:rsidRDefault="00FC145C" w:rsidP="004F3143">
      <w:r>
        <w:t xml:space="preserve">We found that the </w:t>
      </w:r>
      <w:proofErr w:type="gramStart"/>
      <w:r>
        <w:t>odds of 5-year mortality for patients with high LDL was</w:t>
      </w:r>
      <w:proofErr w:type="gramEnd"/>
      <w:r>
        <w:t xml:space="preserve"> 0.158 and that the odds of 5-year mortality for patients with low LDL was 0.205. We then calculated a point estimate for </w:t>
      </w:r>
      <w:r w:rsidR="003953C9">
        <w:t xml:space="preserve">the odds ratio of 0.774, with an exact </w:t>
      </w:r>
      <w:r>
        <w:t>95% confidence</w:t>
      </w:r>
      <w:r w:rsidR="00BF4BB6">
        <w:t xml:space="preserve"> interval for the odds ratio of</w:t>
      </w:r>
      <w:r w:rsidR="005A7EEB">
        <w:t xml:space="preserve"> (0.409, 1.387</w:t>
      </w:r>
      <w:r>
        <w:t>).</w:t>
      </w:r>
      <w:r w:rsidR="008B389E">
        <w:t xml:space="preserve"> </w:t>
      </w:r>
      <w:r w:rsidR="00BF4BB6">
        <w:t xml:space="preserve">This means that, with 95% confidence, it would not be unusual if the </w:t>
      </w:r>
      <w:proofErr w:type="gramStart"/>
      <w:r w:rsidR="00BF4BB6">
        <w:t>odds of 5-year mortality for patie</w:t>
      </w:r>
      <w:r w:rsidR="005A7EEB">
        <w:t>nts with high LDL was</w:t>
      </w:r>
      <w:proofErr w:type="gramEnd"/>
      <w:r w:rsidR="005A7EEB">
        <w:t xml:space="preserve"> between 40.9% and 138.7</w:t>
      </w:r>
      <w:r w:rsidR="00BF4BB6">
        <w:t>% as large as the odds of 5-year mortality for patients with low LDL. The test for equality produced</w:t>
      </w:r>
      <w:r w:rsidR="00BF4BB6" w:rsidRPr="008C060B">
        <w:t xml:space="preserve"> a</w:t>
      </w:r>
      <w:r w:rsidR="00BF4BB6">
        <w:t xml:space="preserve"> </w:t>
      </w:r>
      <w:r w:rsidR="00C07545">
        <w:t xml:space="preserve">statistically insignificant </w:t>
      </w:r>
      <w:r w:rsidR="00BF4BB6" w:rsidRPr="008C060B">
        <w:t>p-value of 0.</w:t>
      </w:r>
      <w:commentRangeStart w:id="11"/>
      <w:r w:rsidR="00BF4BB6" w:rsidRPr="008C060B">
        <w:t>3753</w:t>
      </w:r>
      <w:commentRangeEnd w:id="11"/>
      <w:r w:rsidR="003521E0">
        <w:rPr>
          <w:rStyle w:val="CommentReference"/>
        </w:rPr>
        <w:commentReference w:id="11"/>
      </w:r>
      <w:r w:rsidR="00BF4BB6">
        <w:t xml:space="preserve">, which means that we cannot with high confidence reject the null hypothesis that there is no association between LDL levels and 5-year mortality based on this </w:t>
      </w:r>
      <w:r w:rsidR="00FF6EE1">
        <w:t>odds</w:t>
      </w:r>
      <w:r w:rsidR="00BF4BB6">
        <w:t xml:space="preserve"> </w:t>
      </w:r>
      <w:r w:rsidR="00FF6EE1">
        <w:t>ratio</w:t>
      </w:r>
      <w:r w:rsidR="00BF4BB6" w:rsidRPr="008C060B">
        <w:t>.</w:t>
      </w:r>
    </w:p>
    <w:p w14:paraId="44CDFDF9" w14:textId="77777777" w:rsidR="004F3143" w:rsidRDefault="004F3143" w:rsidP="004F3143"/>
    <w:p w14:paraId="2D950882" w14:textId="77777777" w:rsidR="003635E2" w:rsidRDefault="003635E2">
      <w:r>
        <w:br w:type="page"/>
      </w:r>
    </w:p>
    <w:p w14:paraId="49742EE7" w14:textId="77777777" w:rsidR="008867F7" w:rsidRDefault="004F3143" w:rsidP="004F3143">
      <w:commentRangeStart w:id="12"/>
      <w:r>
        <w:lastRenderedPageBreak/>
        <w:t>7</w:t>
      </w:r>
      <w:commentRangeEnd w:id="12"/>
      <w:r w:rsidR="004A3045">
        <w:rPr>
          <w:rStyle w:val="CommentReference"/>
        </w:rPr>
        <w:commentReference w:id="12"/>
      </w:r>
      <w:r>
        <w:t>.</w:t>
      </w:r>
      <w:r w:rsidR="00AD4DE3">
        <w:t xml:space="preserve"> </w:t>
      </w:r>
      <w:r w:rsidR="005C0809">
        <w:t>In order to</w:t>
      </w:r>
      <w:r w:rsidR="008C060B" w:rsidRPr="008C060B">
        <w:t xml:space="preserve"> </w:t>
      </w:r>
      <w:r w:rsidR="00B16E16">
        <w:t>determine whether or not there is an association between LDL levels and 5-year all-cause mortality by comparing</w:t>
      </w:r>
      <w:r w:rsidR="008C060B" w:rsidRPr="008C060B">
        <w:t xml:space="preserve"> the instantaneous risk of all-cause death within 5 years</w:t>
      </w:r>
      <w:r w:rsidR="004B020D">
        <w:t xml:space="preserve"> after</w:t>
      </w:r>
      <w:r w:rsidR="004B020D" w:rsidRPr="008C060B">
        <w:t xml:space="preserve"> </w:t>
      </w:r>
      <w:r w:rsidR="004B020D">
        <w:t>enrollment</w:t>
      </w:r>
      <w:r w:rsidR="008C060B" w:rsidRPr="008C060B">
        <w:t xml:space="preserve"> between groups defined by patients who have high </w:t>
      </w:r>
      <w:r w:rsidR="005C0809">
        <w:t>LDL</w:t>
      </w:r>
      <w:r w:rsidR="008C060B" w:rsidRPr="008C060B">
        <w:t xml:space="preserve"> and low </w:t>
      </w:r>
      <w:r w:rsidR="005C0809">
        <w:t>LDL</w:t>
      </w:r>
      <w:r w:rsidR="008C060B" w:rsidRPr="008C060B">
        <w:t>, w</w:t>
      </w:r>
      <w:r w:rsidR="002853D2">
        <w:t>e performed a log-rank</w:t>
      </w:r>
      <w:r w:rsidR="008C060B" w:rsidRPr="008C060B">
        <w:t xml:space="preserve"> test to compare the overall survival experience of those with high and low </w:t>
      </w:r>
      <w:r w:rsidR="005C0809">
        <w:t>LDL</w:t>
      </w:r>
      <w:r w:rsidR="008C060B" w:rsidRPr="008C060B">
        <w:t>.</w:t>
      </w:r>
      <w:r w:rsidR="008867F7">
        <w:t xml:space="preserve"> </w:t>
      </w:r>
      <w:r w:rsidR="00B308E3">
        <w:t xml:space="preserve">This comparison of the overall survival experience takes into account how close the Kaplan-Meier survival curves are for each group. </w:t>
      </w:r>
      <w:r w:rsidR="008867F7">
        <w:t xml:space="preserve">We also found </w:t>
      </w:r>
      <w:r w:rsidR="00B308E3">
        <w:t>a 95% confidence intervals</w:t>
      </w:r>
      <w:r w:rsidR="008867F7">
        <w:t xml:space="preserve"> for </w:t>
      </w:r>
      <w:r w:rsidR="008867F7" w:rsidRPr="008C060B">
        <w:t>survival probability</w:t>
      </w:r>
      <w:r w:rsidR="00B308E3">
        <w:t xml:space="preserve"> for </w:t>
      </w:r>
      <w:r w:rsidR="008867F7" w:rsidRPr="008C060B">
        <w:t xml:space="preserve">the high </w:t>
      </w:r>
      <w:r w:rsidR="008867F7">
        <w:t xml:space="preserve">LDL </w:t>
      </w:r>
      <w:r w:rsidR="008867F7" w:rsidRPr="008C060B">
        <w:t>group</w:t>
      </w:r>
      <w:r w:rsidR="00B308E3">
        <w:t xml:space="preserve"> and for</w:t>
      </w:r>
      <w:r w:rsidR="008867F7" w:rsidRPr="008C060B">
        <w:t xml:space="preserve"> the low </w:t>
      </w:r>
      <w:r w:rsidR="008867F7">
        <w:t xml:space="preserve">LDL </w:t>
      </w:r>
      <w:r w:rsidR="008867F7" w:rsidRPr="008C060B">
        <w:t>group</w:t>
      </w:r>
      <w:r w:rsidR="00B308E3">
        <w:t xml:space="preserve"> at each of 1, 2, 3, 4, and 5 years after enrollment, and compared these confidence intervals to see if they overlapped</w:t>
      </w:r>
      <w:r w:rsidR="008867F7" w:rsidRPr="008C060B">
        <w:t>.</w:t>
      </w:r>
    </w:p>
    <w:p w14:paraId="09383F4B" w14:textId="77777777" w:rsidR="004F3143" w:rsidRDefault="00A05C69" w:rsidP="004F3143">
      <w:r>
        <w:t>The log-rank</w:t>
      </w:r>
      <w:r w:rsidR="008C060B" w:rsidRPr="008C060B">
        <w:t xml:space="preserve"> test </w:t>
      </w:r>
      <w:r>
        <w:t>gave</w:t>
      </w:r>
      <w:r w:rsidR="008C060B" w:rsidRPr="008C060B">
        <w:t xml:space="preserve"> a statistically insignificant p-value of 0.</w:t>
      </w:r>
      <w:commentRangeStart w:id="13"/>
      <w:r w:rsidR="008C060B" w:rsidRPr="008C060B">
        <w:t>2664</w:t>
      </w:r>
      <w:commentRangeEnd w:id="13"/>
      <w:r w:rsidR="004A3045">
        <w:rPr>
          <w:rStyle w:val="CommentReference"/>
        </w:rPr>
        <w:commentReference w:id="13"/>
      </w:r>
      <w:r w:rsidR="008C060B" w:rsidRPr="008C060B">
        <w:t xml:space="preserve">, </w:t>
      </w:r>
      <w:r>
        <w:t xml:space="preserve">so </w:t>
      </w:r>
      <w:r w:rsidR="008C060B" w:rsidRPr="008C060B">
        <w:t xml:space="preserve">we cannot reject the null hypothesis that the overall survival experience for patients with high </w:t>
      </w:r>
      <w:r w:rsidR="005C0809">
        <w:t xml:space="preserve">LDL </w:t>
      </w:r>
      <w:r w:rsidR="008C060B" w:rsidRPr="008C060B">
        <w:t xml:space="preserve">is equivalent to that of patients with low </w:t>
      </w:r>
      <w:r w:rsidR="005C0809">
        <w:t>LDL</w:t>
      </w:r>
      <w:r w:rsidR="008C060B" w:rsidRPr="008C060B">
        <w:t>. To further sup</w:t>
      </w:r>
      <w:r w:rsidR="00EF1028">
        <w:t>port our inability to reject this</w:t>
      </w:r>
      <w:r w:rsidR="008C060B" w:rsidRPr="008C060B">
        <w:t xml:space="preserve"> null hypothesis, we can see that at</w:t>
      </w:r>
      <w:r w:rsidR="00F64868">
        <w:t xml:space="preserve"> each of 1, 2, 3, 4, and 5</w:t>
      </w:r>
      <w:r w:rsidR="008C060B" w:rsidRPr="008C060B">
        <w:t xml:space="preserve"> years</w:t>
      </w:r>
      <w:r w:rsidR="00A75424">
        <w:t xml:space="preserve"> </w:t>
      </w:r>
      <w:r w:rsidR="00A75424" w:rsidRPr="00A75424">
        <w:t>after enrollment</w:t>
      </w:r>
      <w:r w:rsidR="00AB7D43">
        <w:t>, the 95% confidence interval</w:t>
      </w:r>
      <w:r w:rsidR="008C060B" w:rsidRPr="008C060B">
        <w:t xml:space="preserve"> for survival probability in the high </w:t>
      </w:r>
      <w:r w:rsidR="005C0809">
        <w:t xml:space="preserve">LDL </w:t>
      </w:r>
      <w:r w:rsidR="008C060B" w:rsidRPr="008C060B">
        <w:t xml:space="preserve">group </w:t>
      </w:r>
      <w:r w:rsidR="00AB7D43">
        <w:t>overlap</w:t>
      </w:r>
      <w:r w:rsidR="008C060B" w:rsidRPr="008C060B">
        <w:t xml:space="preserve"> with </w:t>
      </w:r>
      <w:r w:rsidR="00AB7D43">
        <w:t>that</w:t>
      </w:r>
      <w:r w:rsidR="008C060B" w:rsidRPr="008C060B">
        <w:t xml:space="preserve"> of the low </w:t>
      </w:r>
      <w:r w:rsidR="005C0809">
        <w:t xml:space="preserve">LDL </w:t>
      </w:r>
      <w:r w:rsidR="008C060B" w:rsidRPr="008C060B">
        <w:t>group.</w:t>
      </w:r>
      <w:r w:rsidR="00D75CF2">
        <w:t xml:space="preserve"> We note, however, that the fact that these confidence intervals is not sufficient enough to fail to reject the null hypothesis without the statistically insignificant p-value given above.</w:t>
      </w:r>
      <w:r w:rsidR="008C060B" w:rsidRPr="008C060B">
        <w:cr/>
      </w:r>
    </w:p>
    <w:p w14:paraId="4DE0DEE3" w14:textId="77777777" w:rsidR="004F3143" w:rsidRDefault="007D660B" w:rsidP="004F3143">
      <w:r w:rsidRPr="007D660B">
        <w:rPr>
          <w:noProof/>
        </w:rPr>
        <w:drawing>
          <wp:inline distT="0" distB="0" distL="0" distR="0" wp14:anchorId="19DF946E" wp14:editId="314DF1B7">
            <wp:extent cx="6695855" cy="4876218"/>
            <wp:effectExtent l="0" t="0" r="0" b="635"/>
            <wp:docPr id="2" name="Picture 2" descr="C:\Users\tressw\Desktop\Graph.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tressw\Desktop\Graph.pn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6705349" cy="4883132"/>
                    </a:xfrm>
                    <a:prstGeom prst="rect">
                      <a:avLst/>
                    </a:prstGeom>
                    <a:noFill/>
                    <a:ln>
                      <a:noFill/>
                    </a:ln>
                  </pic:spPr>
                </pic:pic>
              </a:graphicData>
            </a:graphic>
          </wp:inline>
        </w:drawing>
      </w:r>
    </w:p>
    <w:p w14:paraId="46D37E9C" w14:textId="77777777" w:rsidR="003635E2" w:rsidRDefault="003635E2">
      <w:r>
        <w:br w:type="page"/>
      </w:r>
    </w:p>
    <w:p w14:paraId="3AACFFD6" w14:textId="77777777" w:rsidR="004F3143" w:rsidRPr="004F3143" w:rsidRDefault="004F3143" w:rsidP="004F3143">
      <w:r>
        <w:lastRenderedPageBreak/>
        <w:t>8</w:t>
      </w:r>
      <w:commentRangeStart w:id="14"/>
      <w:r>
        <w:t>.</w:t>
      </w:r>
      <w:r w:rsidR="00AD4DE3">
        <w:t xml:space="preserve"> </w:t>
      </w:r>
      <w:commentRangeEnd w:id="14"/>
      <w:r w:rsidR="004A3045">
        <w:rPr>
          <w:rStyle w:val="CommentReference"/>
        </w:rPr>
        <w:commentReference w:id="14"/>
      </w:r>
      <w:r w:rsidR="008C060B" w:rsidRPr="008C060B">
        <w:t>We would have preferred</w:t>
      </w:r>
      <w:r w:rsidR="00056685">
        <w:t xml:space="preserve"> a priori</w:t>
      </w:r>
      <w:r w:rsidR="008C060B" w:rsidRPr="008C060B">
        <w:t xml:space="preserve"> the method described in question 7, comparing the instantaneous risk of death between groups defined by high LDL and low LDL, in order to answer the question about an association between mortality and serum LDL. The first reason for this choice is that this analysis seeks to describe the more clinically relevant </w:t>
      </w:r>
      <w:proofErr w:type="gramStart"/>
      <w:r w:rsidR="008C060B" w:rsidRPr="008C060B">
        <w:t>pathway which</w:t>
      </w:r>
      <w:proofErr w:type="gramEnd"/>
      <w:r w:rsidR="008C060B" w:rsidRPr="008C060B">
        <w:t xml:space="preserve"> </w:t>
      </w:r>
      <w:r w:rsidR="00AC7E54">
        <w:t>treats</w:t>
      </w:r>
      <w:r w:rsidR="008C060B" w:rsidRPr="008C060B">
        <w:t xml:space="preserve"> </w:t>
      </w:r>
      <w:r w:rsidR="00AC7E54">
        <w:t xml:space="preserve">5-year </w:t>
      </w:r>
      <w:r w:rsidR="008C060B" w:rsidRPr="008C060B">
        <w:t>mortality as the response and serum LDL as the predictor of interest, which would help address whether high LDL or low LDL is associated with higher mortality. Comparing the instantaneous risk of death allows us to consider the overall survival experience of patients in either group, which means that survival time need not be dichotomized at 5 years</w:t>
      </w:r>
      <w:r w:rsidR="00A75424" w:rsidRPr="00A75424">
        <w:t xml:space="preserve"> after enrollment</w:t>
      </w:r>
      <w:r w:rsidR="008C060B" w:rsidRPr="008C060B">
        <w:t xml:space="preserve">, but </w:t>
      </w:r>
      <w:r w:rsidR="000E1F18">
        <w:t>can remain continuous, which prevents loss of potentially important time-trend information</w:t>
      </w:r>
      <w:r w:rsidR="008C060B" w:rsidRPr="008C060B">
        <w:t>. The p-value derived from the log</w:t>
      </w:r>
      <w:r w:rsidR="00C1671C">
        <w:t>-</w:t>
      </w:r>
      <w:r w:rsidR="008C060B" w:rsidRPr="008C060B">
        <w:t>rank test is useful, but has its limits since it does not accurately detect when survival curves cross</w:t>
      </w:r>
      <w:r w:rsidR="009906E4">
        <w:t>, and thus is overly conservative</w:t>
      </w:r>
      <w:r w:rsidR="008C060B" w:rsidRPr="008C060B">
        <w:t xml:space="preserve">. However, finding 95% confidence intervals for the two survival curves and comparing these confidence intervals to see whether or not they overlap at clinically relevant times (such as </w:t>
      </w:r>
      <w:r w:rsidR="008C38DE">
        <w:t>1, 2, 3, 4, and 5</w:t>
      </w:r>
      <w:r w:rsidR="008C060B" w:rsidRPr="008C060B">
        <w:t xml:space="preserve"> year</w:t>
      </w:r>
      <w:r w:rsidR="008C38DE">
        <w:t>s</w:t>
      </w:r>
      <w:r w:rsidR="008C060B" w:rsidRPr="008C060B">
        <w:t xml:space="preserve"> after </w:t>
      </w:r>
      <w:r w:rsidR="008C38DE">
        <w:t>enrollment</w:t>
      </w:r>
      <w:r w:rsidR="009906E4">
        <w:t xml:space="preserve">) can be </w:t>
      </w:r>
      <w:r w:rsidR="008C060B" w:rsidRPr="008C060B">
        <w:t>useful</w:t>
      </w:r>
      <w:r w:rsidR="009906E4">
        <w:t xml:space="preserve"> in supplementing the conclusion drawn by the </w:t>
      </w:r>
      <w:r w:rsidR="00C1671C">
        <w:t>log-rank test</w:t>
      </w:r>
      <w:r w:rsidR="008C060B" w:rsidRPr="008C060B">
        <w:t>.</w:t>
      </w:r>
    </w:p>
    <w:sectPr w:rsidR="004F3143" w:rsidRPr="004F3143" w:rsidSect="00EE74AF">
      <w:headerReference w:type="even" r:id="rId11"/>
      <w:headerReference w:type="default" r:id="rId12"/>
      <w:footerReference w:type="even" r:id="rId13"/>
      <w:footerReference w:type="default" r:id="rId14"/>
      <w:headerReference w:type="first" r:id="rId15"/>
      <w:footerReference w:type="first" r:id="rId16"/>
      <w:pgSz w:w="12240" w:h="15840"/>
      <w:pgMar w:top="720" w:right="720" w:bottom="720" w:left="720" w:header="720" w:footer="720" w:gutter="0"/>
      <w:cols w:space="720"/>
      <w:docGrid w:linePitch="360"/>
    </w:sectPr>
  </w:body>
</w:document>
</file>

<file path=word/comments.xml><?xml version="1.0" encoding="utf-8"?>
<w:comment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0" w:author="Author" w:initials="A">
    <w:p w14:paraId="07AA524A" w14:textId="6D2491E6" w:rsidR="00A13171" w:rsidRDefault="00A13171">
      <w:pPr>
        <w:pStyle w:val="CommentText"/>
      </w:pPr>
      <w:r>
        <w:rPr>
          <w:rStyle w:val="CommentReference"/>
        </w:rPr>
        <w:annotationRef/>
      </w:r>
      <w:r>
        <w:t xml:space="preserve">66 points total </w:t>
      </w:r>
    </w:p>
  </w:comment>
  <w:comment w:id="1" w:author="Author" w:initials="A">
    <w:p w14:paraId="163EC456" w14:textId="77777777" w:rsidR="006D33CC" w:rsidRDefault="006D33CC">
      <w:pPr>
        <w:pStyle w:val="CommentText"/>
      </w:pPr>
      <w:r>
        <w:rPr>
          <w:rStyle w:val="CommentReference"/>
        </w:rPr>
        <w:annotationRef/>
      </w:r>
      <w:r>
        <w:t>5/5 points</w:t>
      </w:r>
    </w:p>
  </w:comment>
  <w:comment w:id="2" w:author="Author" w:initials="A">
    <w:p w14:paraId="00FEDC55" w14:textId="77777777" w:rsidR="006D33CC" w:rsidRDefault="006D33CC">
      <w:pPr>
        <w:pStyle w:val="CommentText"/>
      </w:pPr>
      <w:r>
        <w:rPr>
          <w:rStyle w:val="CommentReference"/>
        </w:rPr>
        <w:annotationRef/>
      </w:r>
      <w:r>
        <w:t>8/10</w:t>
      </w:r>
    </w:p>
    <w:p w14:paraId="4C574820" w14:textId="77777777" w:rsidR="006D33CC" w:rsidRDefault="006D33CC">
      <w:pPr>
        <w:pStyle w:val="CommentText"/>
      </w:pPr>
      <w:r>
        <w:t>-1 for not mentioning data that is missing</w:t>
      </w:r>
    </w:p>
    <w:p w14:paraId="4B76C3A6" w14:textId="77777777" w:rsidR="006D33CC" w:rsidRDefault="006D33CC">
      <w:pPr>
        <w:pStyle w:val="CommentText"/>
      </w:pPr>
      <w:r>
        <w:t xml:space="preserve">-1 for </w:t>
      </w:r>
      <w:proofErr w:type="gramStart"/>
      <w:r>
        <w:t>reporting  gender</w:t>
      </w:r>
      <w:proofErr w:type="gramEnd"/>
      <w:r>
        <w:t xml:space="preserve"> min/max and as a proportion rather than  percent male/female</w:t>
      </w:r>
    </w:p>
  </w:comment>
  <w:comment w:id="3" w:author="Author" w:initials="A">
    <w:p w14:paraId="263C9C4F" w14:textId="77777777" w:rsidR="006D33CC" w:rsidRDefault="006D33CC">
      <w:pPr>
        <w:pStyle w:val="CommentText"/>
      </w:pPr>
      <w:r>
        <w:rPr>
          <w:rStyle w:val="CommentReference"/>
        </w:rPr>
        <w:annotationRef/>
      </w:r>
      <w:r>
        <w:t>10/10</w:t>
      </w:r>
    </w:p>
  </w:comment>
  <w:comment w:id="4" w:author="Author" w:initials="A">
    <w:p w14:paraId="7E4556D7" w14:textId="77777777" w:rsidR="006D33CC" w:rsidRDefault="006D33CC">
      <w:pPr>
        <w:pStyle w:val="CommentText"/>
      </w:pPr>
      <w:r>
        <w:rPr>
          <w:rStyle w:val="CommentReference"/>
        </w:rPr>
        <w:annotationRef/>
      </w:r>
    </w:p>
    <w:p w14:paraId="452175A2" w14:textId="397683A7" w:rsidR="006D33CC" w:rsidRDefault="006D33CC">
      <w:pPr>
        <w:pStyle w:val="CommentText"/>
      </w:pPr>
      <w:r>
        <w:t xml:space="preserve">10/10 </w:t>
      </w:r>
    </w:p>
  </w:comment>
  <w:comment w:id="5" w:author="Author" w:initials="A">
    <w:p w14:paraId="2FAAA7B0" w14:textId="77777777" w:rsidR="006D33CC" w:rsidRDefault="006D33CC">
      <w:pPr>
        <w:pStyle w:val="CommentText"/>
      </w:pPr>
      <w:r>
        <w:rPr>
          <w:rStyle w:val="CommentReference"/>
        </w:rPr>
        <w:annotationRef/>
      </w:r>
      <w:r>
        <w:t>9/10</w:t>
      </w:r>
    </w:p>
    <w:p w14:paraId="40EFCAA0" w14:textId="77777777" w:rsidR="006D33CC" w:rsidRDefault="006D33CC">
      <w:pPr>
        <w:pStyle w:val="CommentText"/>
      </w:pPr>
      <w:r>
        <w:t xml:space="preserve">-1 for p value being different than key </w:t>
      </w:r>
    </w:p>
  </w:comment>
  <w:comment w:id="6" w:author="Author" w:initials="A">
    <w:p w14:paraId="4A3D4519" w14:textId="77777777" w:rsidR="006D33CC" w:rsidRDefault="006D33CC">
      <w:pPr>
        <w:pStyle w:val="CommentText"/>
      </w:pPr>
      <w:r>
        <w:rPr>
          <w:rStyle w:val="CommentReference"/>
        </w:rPr>
        <w:annotationRef/>
      </w:r>
      <w:proofErr w:type="gramStart"/>
      <w:r>
        <w:t>not</w:t>
      </w:r>
      <w:proofErr w:type="gramEnd"/>
      <w:r>
        <w:t xml:space="preserve"> low </w:t>
      </w:r>
      <w:proofErr w:type="spellStart"/>
      <w:r>
        <w:t>ldl</w:t>
      </w:r>
      <w:proofErr w:type="spellEnd"/>
      <w:r>
        <w:t xml:space="preserve">, but “not high </w:t>
      </w:r>
      <w:proofErr w:type="spellStart"/>
      <w:r>
        <w:t>ldl</w:t>
      </w:r>
      <w:proofErr w:type="spellEnd"/>
      <w:r>
        <w:t xml:space="preserve">” </w:t>
      </w:r>
      <w:proofErr w:type="spellStart"/>
      <w:r>
        <w:t>ie</w:t>
      </w:r>
      <w:proofErr w:type="spellEnd"/>
      <w:r>
        <w:t xml:space="preserve"> less than 160</w:t>
      </w:r>
    </w:p>
  </w:comment>
  <w:comment w:id="7" w:author="Author" w:initials="A">
    <w:p w14:paraId="2B90BC48" w14:textId="77777777" w:rsidR="006D33CC" w:rsidRDefault="006D33CC">
      <w:pPr>
        <w:pStyle w:val="CommentText"/>
      </w:pPr>
      <w:r>
        <w:rPr>
          <w:rStyle w:val="CommentReference"/>
        </w:rPr>
        <w:annotationRef/>
      </w:r>
      <w:proofErr w:type="gramStart"/>
      <w:r>
        <w:t>this</w:t>
      </w:r>
      <w:proofErr w:type="gramEnd"/>
      <w:r>
        <w:t xml:space="preserve"> I believe is done with a chi square test, though you don’t mention this. </w:t>
      </w:r>
    </w:p>
  </w:comment>
  <w:comment w:id="8" w:author="Author" w:initials="A">
    <w:p w14:paraId="6A93D4B8" w14:textId="77777777" w:rsidR="006D33CC" w:rsidRDefault="006D33CC">
      <w:pPr>
        <w:pStyle w:val="CommentText"/>
      </w:pPr>
      <w:r>
        <w:rPr>
          <w:rStyle w:val="CommentReference"/>
        </w:rPr>
        <w:annotationRef/>
      </w:r>
      <w:r>
        <w:t xml:space="preserve">Slightly different values than key, but still accurate </w:t>
      </w:r>
    </w:p>
  </w:comment>
  <w:comment w:id="9" w:author="Author" w:initials="A">
    <w:p w14:paraId="44548A62" w14:textId="77777777" w:rsidR="006D33CC" w:rsidRDefault="006D33CC">
      <w:pPr>
        <w:pStyle w:val="CommentText"/>
      </w:pPr>
      <w:r>
        <w:rPr>
          <w:rStyle w:val="CommentReference"/>
        </w:rPr>
        <w:annotationRef/>
      </w:r>
      <w:r>
        <w:t>Again, values are off</w:t>
      </w:r>
    </w:p>
  </w:comment>
  <w:comment w:id="10" w:author="Author" w:initials="A">
    <w:p w14:paraId="770376E1" w14:textId="54EA97F1" w:rsidR="006D33CC" w:rsidRDefault="006D33CC">
      <w:pPr>
        <w:pStyle w:val="CommentText"/>
      </w:pPr>
      <w:r>
        <w:rPr>
          <w:rStyle w:val="CommentReference"/>
        </w:rPr>
        <w:annotationRef/>
      </w:r>
      <w:r>
        <w:t>9/10</w:t>
      </w:r>
    </w:p>
    <w:p w14:paraId="72B6410E" w14:textId="4BAECF13" w:rsidR="006D33CC" w:rsidRDefault="006D33CC">
      <w:pPr>
        <w:pStyle w:val="CommentText"/>
      </w:pPr>
      <w:r>
        <w:t xml:space="preserve">-1 for inaccurate values </w:t>
      </w:r>
    </w:p>
  </w:comment>
  <w:comment w:id="11" w:author="Author" w:initials="A">
    <w:p w14:paraId="57B6057C" w14:textId="40FAF7DC" w:rsidR="006D33CC" w:rsidRDefault="006D33CC">
      <w:pPr>
        <w:pStyle w:val="CommentText"/>
      </w:pPr>
      <w:r>
        <w:rPr>
          <w:rStyle w:val="CommentReference"/>
        </w:rPr>
        <w:annotationRef/>
      </w:r>
      <w:r>
        <w:t xml:space="preserve">Again, values are close to key but off, possibly due to inaccurately defining groups in </w:t>
      </w:r>
      <w:proofErr w:type="spellStart"/>
      <w:r>
        <w:t>Stata</w:t>
      </w:r>
      <w:proofErr w:type="spellEnd"/>
      <w:r>
        <w:t>?</w:t>
      </w:r>
    </w:p>
  </w:comment>
  <w:comment w:id="12" w:author="Author" w:initials="A">
    <w:p w14:paraId="6D830059" w14:textId="0DE8A654" w:rsidR="006D33CC" w:rsidRDefault="006D33CC">
      <w:pPr>
        <w:pStyle w:val="CommentText"/>
      </w:pPr>
      <w:r>
        <w:rPr>
          <w:rStyle w:val="CommentReference"/>
        </w:rPr>
        <w:annotationRef/>
      </w:r>
      <w:r>
        <w:t>9/10</w:t>
      </w:r>
    </w:p>
    <w:p w14:paraId="0A7D8F21" w14:textId="3141A6FA" w:rsidR="006D33CC" w:rsidRDefault="006D33CC">
      <w:pPr>
        <w:pStyle w:val="CommentText"/>
      </w:pPr>
      <w:r>
        <w:t xml:space="preserve">-1 inaccurate p value </w:t>
      </w:r>
    </w:p>
  </w:comment>
  <w:comment w:id="13" w:author="Author" w:initials="A">
    <w:p w14:paraId="74CEE5ED" w14:textId="24DDD6B7" w:rsidR="006D33CC" w:rsidRDefault="006D33CC">
      <w:pPr>
        <w:pStyle w:val="CommentText"/>
      </w:pPr>
      <w:r>
        <w:rPr>
          <w:rStyle w:val="CommentReference"/>
        </w:rPr>
        <w:annotationRef/>
      </w:r>
      <w:r>
        <w:t xml:space="preserve">Inaccurate </w:t>
      </w:r>
    </w:p>
  </w:comment>
  <w:comment w:id="14" w:author="Author" w:initials="A">
    <w:p w14:paraId="4D2C4C1D" w14:textId="77777777" w:rsidR="006D33CC" w:rsidRDefault="006D33CC">
      <w:pPr>
        <w:pStyle w:val="CommentText"/>
      </w:pPr>
      <w:r>
        <w:rPr>
          <w:rStyle w:val="CommentReference"/>
        </w:rPr>
        <w:annotationRef/>
      </w:r>
      <w:r>
        <w:t>6/10</w:t>
      </w:r>
    </w:p>
    <w:p w14:paraId="4C865A59" w14:textId="77777777" w:rsidR="006D33CC" w:rsidRDefault="006D33CC">
      <w:pPr>
        <w:pStyle w:val="CommentText"/>
      </w:pPr>
      <w:proofErr w:type="gramStart"/>
      <w:r>
        <w:t>mentioned</w:t>
      </w:r>
      <w:proofErr w:type="gramEnd"/>
      <w:r>
        <w:t>:</w:t>
      </w:r>
      <w:r w:rsidR="00A954CC">
        <w:t xml:space="preserve"> more precise not to dichotomize </w:t>
      </w:r>
    </w:p>
    <w:p w14:paraId="447CEE72" w14:textId="77777777" w:rsidR="00A954CC" w:rsidRDefault="00A954CC">
      <w:pPr>
        <w:pStyle w:val="CommentText"/>
      </w:pPr>
      <w:proofErr w:type="gramStart"/>
      <w:r>
        <w:t>condition</w:t>
      </w:r>
      <w:proofErr w:type="gramEnd"/>
      <w:r>
        <w:t xml:space="preserve"> on LDL level</w:t>
      </w:r>
    </w:p>
    <w:p w14:paraId="3EAFA315" w14:textId="7C5F67B6" w:rsidR="00A954CC" w:rsidRDefault="00A954CC">
      <w:pPr>
        <w:pStyle w:val="CommentText"/>
      </w:pPr>
      <w:r>
        <w:t xml:space="preserve">know how to </w:t>
      </w:r>
      <w:r>
        <w:t>do</w:t>
      </w:r>
      <w:bookmarkStart w:id="15" w:name="_GoBack"/>
      <w:bookmarkEnd w:id="15"/>
    </w:p>
  </w:comment>
</w:comments>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B58AE50" w14:textId="77777777" w:rsidR="006D33CC" w:rsidRDefault="006D33CC" w:rsidP="004F3143">
      <w:pPr>
        <w:spacing w:after="0" w:line="240" w:lineRule="auto"/>
      </w:pPr>
      <w:r>
        <w:separator/>
      </w:r>
    </w:p>
  </w:endnote>
  <w:endnote w:type="continuationSeparator" w:id="0">
    <w:p w14:paraId="28882F24" w14:textId="77777777" w:rsidR="006D33CC" w:rsidRDefault="006D33CC" w:rsidP="004F314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auto"/>
    <w:pitch w:val="variable"/>
    <w:sig w:usb0="E10002FF" w:usb1="4000ACFF" w:usb2="00000009" w:usb3="00000000" w:csb0="0000019F" w:csb1="00000000"/>
  </w:font>
  <w:font w:name="Times New Roman">
    <w:panose1 w:val="02020603050405020304"/>
    <w:charset w:val="00"/>
    <w:family w:val="auto"/>
    <w:pitch w:val="variable"/>
    <w:sig w:usb0="E0002AE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0000000000000000000"/>
    <w:charset w:val="02"/>
    <w:family w:val="auto"/>
    <w:pitch w:val="variable"/>
    <w:sig w:usb0="00000000" w:usb1="10000000" w:usb2="00000000" w:usb3="00000000" w:csb0="80000000" w:csb1="00000000"/>
  </w:font>
  <w:font w:name="Lucida Grande">
    <w:panose1 w:val="020B0600040502020204"/>
    <w:charset w:val="00"/>
    <w:family w:val="auto"/>
    <w:pitch w:val="variable"/>
    <w:sig w:usb0="E1000AEF" w:usb1="5000A1FF" w:usb2="00000000" w:usb3="00000000" w:csb0="000001BF" w:csb1="00000000"/>
  </w:font>
  <w:font w:name="Arial">
    <w:panose1 w:val="020B0604020202020204"/>
    <w:charset w:val="00"/>
    <w:family w:val="auto"/>
    <w:pitch w:val="variable"/>
    <w:sig w:usb0="E0002AFF" w:usb1="C0007843" w:usb2="00000009" w:usb3="00000000" w:csb0="000001FF" w:csb1="00000000"/>
  </w:font>
  <w:font w:name="ＭＳ ゴシック">
    <w:panose1 w:val="00000000000000000000"/>
    <w:charset w:val="80"/>
    <w:family w:val="modern"/>
    <w:notTrueType/>
    <w:pitch w:val="fixed"/>
    <w:sig w:usb0="00000001" w:usb1="08070000" w:usb2="00000010" w:usb3="00000000" w:csb0="00020000" w:csb1="00000000"/>
  </w:font>
  <w:font w:name="Calibri Light">
    <w:panose1 w:val="020F0302020204030204"/>
    <w:charset w:val="00"/>
    <w:family w:val="auto"/>
    <w:pitch w:val="variable"/>
    <w:sig w:usb0="00000003" w:usb1="00000000" w:usb2="00000000" w:usb3="00000000" w:csb0="00000001" w:csb1="00000000"/>
  </w:font>
  <w:font w:name="ＭＳ 明朝">
    <w:panose1 w:val="00000000000000000000"/>
    <w:charset w:val="80"/>
    <w:family w:val="roman"/>
    <w:notTrueType/>
    <w:pitch w:val="fixed"/>
    <w:sig w:usb0="00000001" w:usb1="08070000" w:usb2="00000010" w:usb3="00000000" w:csb0="00020000"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5A5A641" w14:textId="77777777" w:rsidR="006D33CC" w:rsidRDefault="006D33CC">
    <w:pPr>
      <w:pStyle w:val="Footer"/>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C91DBE7" w14:textId="77777777" w:rsidR="006D33CC" w:rsidRDefault="006D33CC">
    <w:pPr>
      <w:pStyle w:val="Footer"/>
    </w:pP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5393B40" w14:textId="77777777" w:rsidR="006D33CC" w:rsidRDefault="006D33CC">
    <w:pPr>
      <w:pStyle w:val="Foote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13B19C7" w14:textId="77777777" w:rsidR="006D33CC" w:rsidRDefault="006D33CC" w:rsidP="004F3143">
      <w:pPr>
        <w:spacing w:after="0" w:line="240" w:lineRule="auto"/>
      </w:pPr>
      <w:r>
        <w:separator/>
      </w:r>
    </w:p>
  </w:footnote>
  <w:footnote w:type="continuationSeparator" w:id="0">
    <w:p w14:paraId="197B4623" w14:textId="77777777" w:rsidR="006D33CC" w:rsidRDefault="006D33CC" w:rsidP="004F3143">
      <w:pPr>
        <w:spacing w:after="0" w:line="240" w:lineRule="auto"/>
      </w:pPr>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0F5A077" w14:textId="77777777" w:rsidR="006D33CC" w:rsidRDefault="006D33CC">
    <w:pPr>
      <w:pStyle w:val="Heade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6B1AAB0" w14:textId="77777777" w:rsidR="006D33CC" w:rsidRDefault="006D33CC">
    <w:pPr>
      <w:pStyle w:val="Header"/>
    </w:pP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D95E07D" w14:textId="77777777" w:rsidR="006D33CC" w:rsidRDefault="006D33CC">
    <w:pPr>
      <w:pStyle w:val="Header"/>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4FD2CC2"/>
    <w:multiLevelType w:val="hybridMultilevel"/>
    <w:tmpl w:val="8586FEAE"/>
    <w:lvl w:ilvl="0" w:tplc="2572CB3E">
      <w:start w:val="31"/>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proofState w:spelling="clean" w:grammar="clean"/>
  <w:trackRevisions/>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72745"/>
    <w:rsid w:val="00017D59"/>
    <w:rsid w:val="000524BF"/>
    <w:rsid w:val="00055E0D"/>
    <w:rsid w:val="00056685"/>
    <w:rsid w:val="00060C82"/>
    <w:rsid w:val="000A2EA4"/>
    <w:rsid w:val="000B5E43"/>
    <w:rsid w:val="000E1F18"/>
    <w:rsid w:val="000E645D"/>
    <w:rsid w:val="00115789"/>
    <w:rsid w:val="001378F1"/>
    <w:rsid w:val="00163061"/>
    <w:rsid w:val="0017313A"/>
    <w:rsid w:val="00193516"/>
    <w:rsid w:val="001C3D1C"/>
    <w:rsid w:val="002150E9"/>
    <w:rsid w:val="002210CC"/>
    <w:rsid w:val="00234677"/>
    <w:rsid w:val="002373CD"/>
    <w:rsid w:val="00243226"/>
    <w:rsid w:val="00257559"/>
    <w:rsid w:val="002612E4"/>
    <w:rsid w:val="002853D2"/>
    <w:rsid w:val="002861C3"/>
    <w:rsid w:val="002B317B"/>
    <w:rsid w:val="002C0055"/>
    <w:rsid w:val="002E52F3"/>
    <w:rsid w:val="002F5844"/>
    <w:rsid w:val="003004C2"/>
    <w:rsid w:val="003521E0"/>
    <w:rsid w:val="00360393"/>
    <w:rsid w:val="003635E2"/>
    <w:rsid w:val="00386984"/>
    <w:rsid w:val="00390D56"/>
    <w:rsid w:val="003953C9"/>
    <w:rsid w:val="003E67DF"/>
    <w:rsid w:val="003F5533"/>
    <w:rsid w:val="004406F1"/>
    <w:rsid w:val="004716B9"/>
    <w:rsid w:val="00472EDF"/>
    <w:rsid w:val="004A3045"/>
    <w:rsid w:val="004B020D"/>
    <w:rsid w:val="004B3767"/>
    <w:rsid w:val="004B6B4B"/>
    <w:rsid w:val="004C397D"/>
    <w:rsid w:val="004D12FB"/>
    <w:rsid w:val="004F3143"/>
    <w:rsid w:val="004F4345"/>
    <w:rsid w:val="004F6A95"/>
    <w:rsid w:val="00504360"/>
    <w:rsid w:val="0054002A"/>
    <w:rsid w:val="00552FDA"/>
    <w:rsid w:val="00572745"/>
    <w:rsid w:val="005968A4"/>
    <w:rsid w:val="00597AE0"/>
    <w:rsid w:val="005A75BE"/>
    <w:rsid w:val="005A7EEB"/>
    <w:rsid w:val="005C0809"/>
    <w:rsid w:val="00627C36"/>
    <w:rsid w:val="00637B84"/>
    <w:rsid w:val="006471CA"/>
    <w:rsid w:val="006800AD"/>
    <w:rsid w:val="0069079A"/>
    <w:rsid w:val="00697B89"/>
    <w:rsid w:val="006A1DAF"/>
    <w:rsid w:val="006A658E"/>
    <w:rsid w:val="006D0179"/>
    <w:rsid w:val="006D33CC"/>
    <w:rsid w:val="00714E3F"/>
    <w:rsid w:val="007810F0"/>
    <w:rsid w:val="00795719"/>
    <w:rsid w:val="007B1867"/>
    <w:rsid w:val="007C20EA"/>
    <w:rsid w:val="007C222E"/>
    <w:rsid w:val="007C70A9"/>
    <w:rsid w:val="007D660B"/>
    <w:rsid w:val="00823A22"/>
    <w:rsid w:val="0084727A"/>
    <w:rsid w:val="00850AD6"/>
    <w:rsid w:val="00855E7F"/>
    <w:rsid w:val="00860734"/>
    <w:rsid w:val="00861237"/>
    <w:rsid w:val="00881393"/>
    <w:rsid w:val="008867F7"/>
    <w:rsid w:val="00894C32"/>
    <w:rsid w:val="008B389E"/>
    <w:rsid w:val="008C060B"/>
    <w:rsid w:val="008C38DE"/>
    <w:rsid w:val="009343E7"/>
    <w:rsid w:val="009350A5"/>
    <w:rsid w:val="0094479C"/>
    <w:rsid w:val="00956601"/>
    <w:rsid w:val="0097622E"/>
    <w:rsid w:val="009906E4"/>
    <w:rsid w:val="00990ABF"/>
    <w:rsid w:val="00992C85"/>
    <w:rsid w:val="009C6DB5"/>
    <w:rsid w:val="00A05C69"/>
    <w:rsid w:val="00A11F2D"/>
    <w:rsid w:val="00A13171"/>
    <w:rsid w:val="00A23F3A"/>
    <w:rsid w:val="00A30B36"/>
    <w:rsid w:val="00A47BF9"/>
    <w:rsid w:val="00A544D6"/>
    <w:rsid w:val="00A75424"/>
    <w:rsid w:val="00A954CC"/>
    <w:rsid w:val="00AB7D43"/>
    <w:rsid w:val="00AC7E54"/>
    <w:rsid w:val="00AD4DE3"/>
    <w:rsid w:val="00AE5562"/>
    <w:rsid w:val="00B15D63"/>
    <w:rsid w:val="00B16E16"/>
    <w:rsid w:val="00B24D9D"/>
    <w:rsid w:val="00B308E3"/>
    <w:rsid w:val="00B61DAD"/>
    <w:rsid w:val="00BF4BB6"/>
    <w:rsid w:val="00C04B2B"/>
    <w:rsid w:val="00C07545"/>
    <w:rsid w:val="00C1671C"/>
    <w:rsid w:val="00C16A20"/>
    <w:rsid w:val="00C46B06"/>
    <w:rsid w:val="00C6600F"/>
    <w:rsid w:val="00C759F6"/>
    <w:rsid w:val="00C75EAB"/>
    <w:rsid w:val="00D4033F"/>
    <w:rsid w:val="00D45745"/>
    <w:rsid w:val="00D50695"/>
    <w:rsid w:val="00D75CF2"/>
    <w:rsid w:val="00D87380"/>
    <w:rsid w:val="00DC42AF"/>
    <w:rsid w:val="00E130B0"/>
    <w:rsid w:val="00E55422"/>
    <w:rsid w:val="00E75C5D"/>
    <w:rsid w:val="00E81DC5"/>
    <w:rsid w:val="00EB7062"/>
    <w:rsid w:val="00EC0199"/>
    <w:rsid w:val="00EC7030"/>
    <w:rsid w:val="00EE74AF"/>
    <w:rsid w:val="00EF1028"/>
    <w:rsid w:val="00F22115"/>
    <w:rsid w:val="00F57F7B"/>
    <w:rsid w:val="00F64868"/>
    <w:rsid w:val="00F67768"/>
    <w:rsid w:val="00F700CB"/>
    <w:rsid w:val="00F7350E"/>
    <w:rsid w:val="00F85226"/>
    <w:rsid w:val="00FC145C"/>
    <w:rsid w:val="00FC2481"/>
    <w:rsid w:val="00FD776D"/>
    <w:rsid w:val="00FE2516"/>
    <w:rsid w:val="00FF4A9D"/>
    <w:rsid w:val="00FF6EE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ecimalSymbol w:val="."/>
  <w:listSeparator w:val=","/>
  <w14:docId w14:val="30CFFB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F3143"/>
    <w:pPr>
      <w:tabs>
        <w:tab w:val="center" w:pos="4680"/>
        <w:tab w:val="right" w:pos="9360"/>
      </w:tabs>
      <w:spacing w:after="0" w:line="240" w:lineRule="auto"/>
    </w:pPr>
  </w:style>
  <w:style w:type="character" w:customStyle="1" w:styleId="HeaderChar">
    <w:name w:val="Header Char"/>
    <w:basedOn w:val="DefaultParagraphFont"/>
    <w:link w:val="Header"/>
    <w:uiPriority w:val="99"/>
    <w:rsid w:val="004F3143"/>
  </w:style>
  <w:style w:type="paragraph" w:styleId="Footer">
    <w:name w:val="footer"/>
    <w:basedOn w:val="Normal"/>
    <w:link w:val="FooterChar"/>
    <w:uiPriority w:val="99"/>
    <w:unhideWhenUsed/>
    <w:rsid w:val="004F3143"/>
    <w:pPr>
      <w:tabs>
        <w:tab w:val="center" w:pos="4680"/>
        <w:tab w:val="right" w:pos="9360"/>
      </w:tabs>
      <w:spacing w:after="0" w:line="240" w:lineRule="auto"/>
    </w:pPr>
  </w:style>
  <w:style w:type="character" w:customStyle="1" w:styleId="FooterChar">
    <w:name w:val="Footer Char"/>
    <w:basedOn w:val="DefaultParagraphFont"/>
    <w:link w:val="Footer"/>
    <w:uiPriority w:val="99"/>
    <w:rsid w:val="004F3143"/>
  </w:style>
  <w:style w:type="paragraph" w:styleId="ListParagraph">
    <w:name w:val="List Paragraph"/>
    <w:basedOn w:val="Normal"/>
    <w:uiPriority w:val="34"/>
    <w:qFormat/>
    <w:rsid w:val="00AD4DE3"/>
    <w:pPr>
      <w:ind w:left="720"/>
      <w:contextualSpacing/>
    </w:pPr>
  </w:style>
  <w:style w:type="table" w:styleId="TableGrid">
    <w:name w:val="Table Grid"/>
    <w:basedOn w:val="TableNormal"/>
    <w:uiPriority w:val="39"/>
    <w:rsid w:val="00C04B2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D4033F"/>
    <w:pPr>
      <w:spacing w:after="0" w:line="240" w:lineRule="auto"/>
    </w:pPr>
    <w:rPr>
      <w:rFonts w:ascii="Lucida Grande" w:hAnsi="Lucida Grande"/>
      <w:sz w:val="18"/>
      <w:szCs w:val="18"/>
    </w:rPr>
  </w:style>
  <w:style w:type="character" w:customStyle="1" w:styleId="BalloonTextChar">
    <w:name w:val="Balloon Text Char"/>
    <w:basedOn w:val="DefaultParagraphFont"/>
    <w:link w:val="BalloonText"/>
    <w:uiPriority w:val="99"/>
    <w:semiHidden/>
    <w:rsid w:val="00D4033F"/>
    <w:rPr>
      <w:rFonts w:ascii="Lucida Grande" w:hAnsi="Lucida Grande"/>
      <w:sz w:val="18"/>
      <w:szCs w:val="18"/>
    </w:rPr>
  </w:style>
  <w:style w:type="character" w:styleId="CommentReference">
    <w:name w:val="annotation reference"/>
    <w:basedOn w:val="DefaultParagraphFont"/>
    <w:uiPriority w:val="99"/>
    <w:semiHidden/>
    <w:unhideWhenUsed/>
    <w:rsid w:val="0054002A"/>
    <w:rPr>
      <w:sz w:val="18"/>
      <w:szCs w:val="18"/>
    </w:rPr>
  </w:style>
  <w:style w:type="paragraph" w:styleId="CommentText">
    <w:name w:val="annotation text"/>
    <w:basedOn w:val="Normal"/>
    <w:link w:val="CommentTextChar"/>
    <w:uiPriority w:val="99"/>
    <w:semiHidden/>
    <w:unhideWhenUsed/>
    <w:rsid w:val="0054002A"/>
    <w:pPr>
      <w:spacing w:line="240" w:lineRule="auto"/>
    </w:pPr>
    <w:rPr>
      <w:sz w:val="24"/>
      <w:szCs w:val="24"/>
    </w:rPr>
  </w:style>
  <w:style w:type="character" w:customStyle="1" w:styleId="CommentTextChar">
    <w:name w:val="Comment Text Char"/>
    <w:basedOn w:val="DefaultParagraphFont"/>
    <w:link w:val="CommentText"/>
    <w:uiPriority w:val="99"/>
    <w:semiHidden/>
    <w:rsid w:val="0054002A"/>
    <w:rPr>
      <w:sz w:val="24"/>
      <w:szCs w:val="24"/>
    </w:rPr>
  </w:style>
  <w:style w:type="paragraph" w:styleId="CommentSubject">
    <w:name w:val="annotation subject"/>
    <w:basedOn w:val="CommentText"/>
    <w:next w:val="CommentText"/>
    <w:link w:val="CommentSubjectChar"/>
    <w:uiPriority w:val="99"/>
    <w:semiHidden/>
    <w:unhideWhenUsed/>
    <w:rsid w:val="0054002A"/>
    <w:rPr>
      <w:b/>
      <w:bCs/>
      <w:sz w:val="20"/>
      <w:szCs w:val="20"/>
    </w:rPr>
  </w:style>
  <w:style w:type="character" w:customStyle="1" w:styleId="CommentSubjectChar">
    <w:name w:val="Comment Subject Char"/>
    <w:basedOn w:val="CommentTextChar"/>
    <w:link w:val="CommentSubject"/>
    <w:uiPriority w:val="99"/>
    <w:semiHidden/>
    <w:rsid w:val="0054002A"/>
    <w:rPr>
      <w:b/>
      <w:bCs/>
      <w:sz w:val="20"/>
      <w:szCs w:val="20"/>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F3143"/>
    <w:pPr>
      <w:tabs>
        <w:tab w:val="center" w:pos="4680"/>
        <w:tab w:val="right" w:pos="9360"/>
      </w:tabs>
      <w:spacing w:after="0" w:line="240" w:lineRule="auto"/>
    </w:pPr>
  </w:style>
  <w:style w:type="character" w:customStyle="1" w:styleId="HeaderChar">
    <w:name w:val="Header Char"/>
    <w:basedOn w:val="DefaultParagraphFont"/>
    <w:link w:val="Header"/>
    <w:uiPriority w:val="99"/>
    <w:rsid w:val="004F3143"/>
  </w:style>
  <w:style w:type="paragraph" w:styleId="Footer">
    <w:name w:val="footer"/>
    <w:basedOn w:val="Normal"/>
    <w:link w:val="FooterChar"/>
    <w:uiPriority w:val="99"/>
    <w:unhideWhenUsed/>
    <w:rsid w:val="004F3143"/>
    <w:pPr>
      <w:tabs>
        <w:tab w:val="center" w:pos="4680"/>
        <w:tab w:val="right" w:pos="9360"/>
      </w:tabs>
      <w:spacing w:after="0" w:line="240" w:lineRule="auto"/>
    </w:pPr>
  </w:style>
  <w:style w:type="character" w:customStyle="1" w:styleId="FooterChar">
    <w:name w:val="Footer Char"/>
    <w:basedOn w:val="DefaultParagraphFont"/>
    <w:link w:val="Footer"/>
    <w:uiPriority w:val="99"/>
    <w:rsid w:val="004F3143"/>
  </w:style>
  <w:style w:type="paragraph" w:styleId="ListParagraph">
    <w:name w:val="List Paragraph"/>
    <w:basedOn w:val="Normal"/>
    <w:uiPriority w:val="34"/>
    <w:qFormat/>
    <w:rsid w:val="00AD4DE3"/>
    <w:pPr>
      <w:ind w:left="720"/>
      <w:contextualSpacing/>
    </w:pPr>
  </w:style>
  <w:style w:type="table" w:styleId="TableGrid">
    <w:name w:val="Table Grid"/>
    <w:basedOn w:val="TableNormal"/>
    <w:uiPriority w:val="39"/>
    <w:rsid w:val="00C04B2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D4033F"/>
    <w:pPr>
      <w:spacing w:after="0" w:line="240" w:lineRule="auto"/>
    </w:pPr>
    <w:rPr>
      <w:rFonts w:ascii="Lucida Grande" w:hAnsi="Lucida Grande"/>
      <w:sz w:val="18"/>
      <w:szCs w:val="18"/>
    </w:rPr>
  </w:style>
  <w:style w:type="character" w:customStyle="1" w:styleId="BalloonTextChar">
    <w:name w:val="Balloon Text Char"/>
    <w:basedOn w:val="DefaultParagraphFont"/>
    <w:link w:val="BalloonText"/>
    <w:uiPriority w:val="99"/>
    <w:semiHidden/>
    <w:rsid w:val="00D4033F"/>
    <w:rPr>
      <w:rFonts w:ascii="Lucida Grande" w:hAnsi="Lucida Grande"/>
      <w:sz w:val="18"/>
      <w:szCs w:val="18"/>
    </w:rPr>
  </w:style>
  <w:style w:type="character" w:styleId="CommentReference">
    <w:name w:val="annotation reference"/>
    <w:basedOn w:val="DefaultParagraphFont"/>
    <w:uiPriority w:val="99"/>
    <w:semiHidden/>
    <w:unhideWhenUsed/>
    <w:rsid w:val="0054002A"/>
    <w:rPr>
      <w:sz w:val="18"/>
      <w:szCs w:val="18"/>
    </w:rPr>
  </w:style>
  <w:style w:type="paragraph" w:styleId="CommentText">
    <w:name w:val="annotation text"/>
    <w:basedOn w:val="Normal"/>
    <w:link w:val="CommentTextChar"/>
    <w:uiPriority w:val="99"/>
    <w:semiHidden/>
    <w:unhideWhenUsed/>
    <w:rsid w:val="0054002A"/>
    <w:pPr>
      <w:spacing w:line="240" w:lineRule="auto"/>
    </w:pPr>
    <w:rPr>
      <w:sz w:val="24"/>
      <w:szCs w:val="24"/>
    </w:rPr>
  </w:style>
  <w:style w:type="character" w:customStyle="1" w:styleId="CommentTextChar">
    <w:name w:val="Comment Text Char"/>
    <w:basedOn w:val="DefaultParagraphFont"/>
    <w:link w:val="CommentText"/>
    <w:uiPriority w:val="99"/>
    <w:semiHidden/>
    <w:rsid w:val="0054002A"/>
    <w:rPr>
      <w:sz w:val="24"/>
      <w:szCs w:val="24"/>
    </w:rPr>
  </w:style>
  <w:style w:type="paragraph" w:styleId="CommentSubject">
    <w:name w:val="annotation subject"/>
    <w:basedOn w:val="CommentText"/>
    <w:next w:val="CommentText"/>
    <w:link w:val="CommentSubjectChar"/>
    <w:uiPriority w:val="99"/>
    <w:semiHidden/>
    <w:unhideWhenUsed/>
    <w:rsid w:val="0054002A"/>
    <w:rPr>
      <w:b/>
      <w:bCs/>
      <w:sz w:val="20"/>
      <w:szCs w:val="20"/>
    </w:rPr>
  </w:style>
  <w:style w:type="character" w:customStyle="1" w:styleId="CommentSubjectChar">
    <w:name w:val="Comment Subject Char"/>
    <w:basedOn w:val="CommentTextChar"/>
    <w:link w:val="CommentSubject"/>
    <w:uiPriority w:val="99"/>
    <w:semiHidden/>
    <w:rsid w:val="0054002A"/>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header" Target="header1.xml"/><Relationship Id="rId12" Type="http://schemas.openxmlformats.org/officeDocument/2006/relationships/header" Target="header2.xml"/><Relationship Id="rId13" Type="http://schemas.openxmlformats.org/officeDocument/2006/relationships/footer" Target="footer1.xml"/><Relationship Id="rId14" Type="http://schemas.openxmlformats.org/officeDocument/2006/relationships/footer" Target="footer2.xml"/><Relationship Id="rId15" Type="http://schemas.openxmlformats.org/officeDocument/2006/relationships/header" Target="header3.xml"/><Relationship Id="rId16" Type="http://schemas.openxmlformats.org/officeDocument/2006/relationships/footer" Target="footer3.xml"/><Relationship Id="rId17" Type="http://schemas.openxmlformats.org/officeDocument/2006/relationships/fontTable" Target="fontTable.xml"/><Relationship Id="rId1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 Id="rId9" Type="http://schemas.openxmlformats.org/officeDocument/2006/relationships/comments" Target="comments.xml"/><Relationship Id="rId10"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6B6E6B4-CCB6-D940-9DA5-AA0BFD1E0D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1827</Words>
  <Characters>10415</Characters>
  <Application>Microsoft Macintosh Word</Application>
  <DocSecurity>0</DocSecurity>
  <Lines>86</Lines>
  <Paragraphs>24</Paragraphs>
  <ScaleCrop>false</ScaleCrop>
  <Company/>
  <LinksUpToDate>false</LinksUpToDate>
  <CharactersWithSpaces>12218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2014-01-15T06:24:00Z</dcterms:created>
  <dcterms:modified xsi:type="dcterms:W3CDTF">2014-01-16T05:26:00Z</dcterms:modified>
</cp:coreProperties>
</file>